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2A4337"/>
          <w:sz w:val="44"/>
        </w:rPr>
        <w:t>Q2 SERVICE PRICING AND CALLBACK REVIEW NOTES</w:t>
      </w:r>
    </w:p>
    <w:p>
      <w:r>
        <w:rPr>
          <w:rFonts w:ascii="Arial" w:hAnsi="Arial"/>
          <w:b w:val="0"/>
          <w:i w:val="0"/>
          <w:color w:val="655C55"/>
          <w:sz w:val="26"/>
        </w:rPr>
        <w:t>Operating interpretation for the April–June work-order population — Sofia Alvarez working copy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To: </w:t>
      </w:r>
      <w:r>
        <w:rPr>
          <w:rFonts w:ascii="Arial" w:hAnsi="Arial"/>
          <w:b w:val="0"/>
          <w:i w:val="0"/>
          <w:color w:val="222222"/>
          <w:sz w:val="22"/>
        </w:rPr>
        <w:t>Daniel Cho, CFO; Natalie Brooks, Controller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From: </w:t>
      </w:r>
      <w:r>
        <w:rPr>
          <w:rFonts w:ascii="Arial" w:hAnsi="Arial"/>
          <w:b w:val="0"/>
          <w:i w:val="0"/>
          <w:color w:val="222222"/>
          <w:sz w:val="22"/>
        </w:rPr>
        <w:t>Finance working team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Date: </w:t>
      </w:r>
      <w:r>
        <w:rPr>
          <w:rFonts w:ascii="Arial" w:hAnsi="Arial"/>
          <w:b w:val="0"/>
          <w:i w:val="0"/>
          <w:color w:val="222222"/>
          <w:sz w:val="22"/>
        </w:rPr>
        <w:t>July 1, 2026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Subject: </w:t>
      </w:r>
      <w:r>
        <w:rPr>
          <w:rFonts w:ascii="Arial" w:hAnsi="Arial"/>
          <w:b w:val="0"/>
          <w:i w:val="0"/>
          <w:color w:val="222222"/>
          <w:sz w:val="22"/>
        </w:rPr>
        <w:t>Q2 service pricing and callback review notes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File status: </w:t>
      </w:r>
      <w:r>
        <w:rPr>
          <w:rFonts w:ascii="Arial" w:hAnsi="Arial"/>
          <w:b w:val="0"/>
          <w:i w:val="0"/>
          <w:color w:val="222222"/>
          <w:sz w:val="22"/>
        </w:rPr>
        <w:t>Working draft / reviewer comments and evidence gaps retained</w:t>
      </w:r>
    </w:p>
    <w:p>
      <w:pPr>
        <w:shd w:fill="F3E6D5"/>
      </w:pPr>
      <w:r>
        <w:rPr>
          <w:rFonts w:ascii="Arial" w:hAnsi="Arial"/>
          <w:b/>
          <w:i w:val="0"/>
          <w:color w:val="2A4337"/>
          <w:sz w:val="20"/>
        </w:rPr>
        <w:t>WORKING DRAFT. Amounts and decisions below must be tied to the current accounting-system report and the referenced workpapers before circulation.</w:t>
      </w:r>
    </w:p>
    <w:p>
      <w:pPr>
        <w:pStyle w:val="Heading1"/>
      </w:pPr>
      <w:r>
        <w:t>Population and definitions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Use completed service work orders from April 1 through June 30; do not mix open dispatch calls into completed-call counts.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A first-time fix is a completed work order that is not callback-coded in dispatch.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The operating revenue proxy is closed work-order labor amount plus material amount; it excludes agreement deferrals, sales tax and accounting cut-off adjustments.</w:t>
      </w:r>
    </w:p>
    <w:p>
      <w:pPr>
        <w:pStyle w:val="Heading1"/>
      </w:pPr>
      <w:r>
        <w:t>Questions for finance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Calculate Q2 completed work orders, callback count, first-time-fix rate, billable hours and average labor-plus-material value per completed work order.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Reconcile monthly counts to the retained work-order detail before using the service KPI summary.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Use the proxy only for pricing and mix analysis; do not label it GAAP revenue.</w:t>
      </w:r>
    </w:p>
    <w:p>
      <w:pPr>
        <w:pStyle w:val="Heading1"/>
      </w:pPr>
      <w:r>
        <w:t>Operations context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June billable hours were higher despite fewer completed calls than May, reflecting more controls checkout and small retrofit work.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Callback reason-code clean-up remains open for two technicians, but the coded population is the current review basis.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No manual callback exclusions were approved for the Q2 review.</w:t>
      </w:r>
    </w:p>
    <w:p>
      <w:pPr>
        <w:pStyle w:val="Heading1"/>
      </w:pPr>
      <w:r>
        <w:t>Follow-through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Service management will review technician-level exceptions after the company-level calculation is complete.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Finance should retain the extraction dates and work-order identifiers used in any follow-up cut.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Pricing changes require a separate decision and are not authorized by these notes.</w:t>
      </w:r>
    </w:p>
    <w:p>
      <w:pPr>
        <w:pStyle w:val="Heading1"/>
      </w:pPr>
      <w:r>
        <w:t>Appendix — KPI definitions and prohibited interpretations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50"/>
        <w:gridCol w:w="1450"/>
        <w:gridCol w:w="1200"/>
        <w:gridCol w:w="4860"/>
      </w:tblGrid>
      <w:tr>
        <w:trPr>
          <w:tblHeader w:val="true"/>
        </w:trPr>
        <w:tc>
          <w:tcPr>
            <w:tcW w:type="dxa" w:w="10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</w:t>
            </w:r>
          </w:p>
        </w:tc>
        <w:tc>
          <w:tcPr>
            <w:tcW w:type="dxa" w:w="8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4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Working amount</w:t>
            </w:r>
          </w:p>
        </w:tc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86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note / evidence still needed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ARM-2318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Maya Chen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$280,434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Columbia Biologics Clean Utilities;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ARM-2403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$1,169,423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Riverton Civic Center HVAC Renewal;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ARM-2409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Priya Raman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$944,227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Northline Cold Storage Expansion;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ARM-2412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$1,248,834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OSU Kelley Engineering Lab Ventilation;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Maya Chen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$4,084,041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Ambulatory Pavilion;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Lucas Bennett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$40,449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Juniper Hotel Boiler Plant Replacement;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ARM-2501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Sofia Alvarez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$1,178,489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PDX Concourse E Controls Retrofit;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ARM-2506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Priya Raman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$6,202,428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Eastbank Data Hall Cooling Expansion;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Maya Chen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$4,202,610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Hawthorne Yard Mixed-Use Mechanical;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ARM-2514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Lucas Bennett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$2,007,079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Redmond Unified Schools Phase 2;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Lucas Bennett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$1,678,858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Deschutes Fleet Services Maintenance Facility;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ARM-2522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$2,618,038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Summit Surgical Center Central Plant;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ARM-2526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Sofia Alvarez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$457,912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Willamette Food Co-op Refrigeration Upgrade;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ARM-2602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Priya Raman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$4,728,111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Pacific NW Distribution Center Heat Recovery;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ARM-2605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$5,432,385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Rose Quarter Event Level Ventilation;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ARM-2608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Sofia Alvarez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$1,235,070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Imaging Suite Controls; remaining contract value from June WIP model</w:t>
            </w:r>
          </w:p>
        </w:tc>
      </w:tr>
    </w:tbl>
    <w:p>
      <w:pPr>
        <w:pStyle w:val="Heading2"/>
      </w:pPr>
      <w:r>
        <w:t>Source / version trail</w:t>
      </w:r>
    </w:p>
    <w:p>
      <w:r>
        <w:rPr>
          <w:rFonts w:ascii="Arial" w:hAnsi="Arial"/>
          <w:b w:val="0"/>
          <w:i w:val="0"/>
          <w:color w:val="655C55"/>
          <w:sz w:val="18"/>
        </w:rPr>
        <w:t>• 6/27 — first owner inputs combined; duplicate lines retained.</w:t>
      </w:r>
    </w:p>
    <w:p>
      <w:r>
        <w:rPr>
          <w:rFonts w:ascii="Arial" w:hAnsi="Arial"/>
          <w:b w:val="0"/>
          <w:i w:val="0"/>
          <w:color w:val="655C55"/>
          <w:sz w:val="18"/>
        </w:rPr>
        <w:t>• 6/30 — accounting extract refreshed; late AP batch not yet incorporated.</w:t>
      </w:r>
    </w:p>
    <w:p>
      <w:r>
        <w:rPr>
          <w:rFonts w:ascii="Arial" w:hAnsi="Arial"/>
          <w:b w:val="0"/>
          <w:i w:val="0"/>
          <w:color w:val="655C55"/>
          <w:sz w:val="18"/>
        </w:rPr>
        <w:t>• 7/1 — controller comments added; approval and signature sections remain blank.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5C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55C55"/>
        <w:sz w:val="17"/>
      </w:rPr>
      <w:t>ALDER RIDGE MECHANICAL  •  Q2 BOARD PRE-READ  •  FP&amp;A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9B6A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9B6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7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 service pricing and callback review notes</dc:title>
  <dc:subject/>
  <dc:creator>Alder Ridge Mechanical - Finance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