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2" Type="http://schemas.openxmlformats.org/officeDocument/2006/relationships/officeDocument" Target="word/document.xml"/><Relationship Id="rId4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60" w:after="120"/>
      </w:pPr>
      <w:r>
        <w:rPr>
          <w:rFonts w:ascii="Arial" w:hAnsi="Arial"/>
          <w:b/>
          <w:color w:val="C2703D"/>
          <w:sz w:val="18"/>
        </w:rPr>
        <w:t>ACCOUNTING POLICY</w:t>
      </w:r>
    </w:p>
    <w:p>
      <w:pPr>
        <w:spacing w:after="200"/>
      </w:pPr>
      <w:r>
        <w:rPr>
          <w:rFonts w:ascii="Arial" w:hAnsi="Arial"/>
          <w:b/>
          <w:color w:val="24313C"/>
          <w:sz w:val="42"/>
        </w:rPr>
        <w:t>Fixed Asset Capitalization Policy</w:t>
      </w:r>
    </w:p>
    <w:tbl>
      <w:tblPr>
        <w:tblStyle w:val="TableGrid"/>
        <w:tblW w:type="dxa" w:w="9360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Policy no.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FIN-POL-07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Owner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Mia Chen, Corporate Controller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Effective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January 1,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Approved by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Olivia Thompson, Chief Financial Officer</w:t>
            </w:r>
          </w:p>
        </w:tc>
      </w:tr>
      <w:tr>
        <w:tc>
          <w:tcPr>
            <w:tcW w:type="dxa" w:w="1440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Next review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December 2026</w:t>
            </w:r>
          </w:p>
        </w:tc>
        <w:tc>
          <w:tcPr>
            <w:tcW w:type="dxa" w:w="1512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  <w:shd w:fill="E4EFF1"/>
          </w:tcPr>
          <w:p>
            <w:r>
              <w:rPr>
                <w:rFonts w:ascii="Arial" w:hAnsi="Arial"/>
                <w:b/>
                <w:color w:val="163E4C"/>
                <w:sz w:val="17"/>
              </w:rPr>
              <w:t>Status</w:t>
            </w:r>
          </w:p>
        </w:tc>
        <w:tc>
          <w:tcPr>
            <w:tcW w:type="dxa" w:w="4176"/>
            <w:vAlign w:val="center"/>
            <w:tcMar>
              <w:top w:w="65" w:type="dxa"/>
              <w:bottom w:w="65" w:type="dxa"/>
              <w:start w:w="105" w:type="dxa"/>
              <w:end w:w="105" w:type="dxa"/>
            </w:tcMar>
          </w:tcPr>
          <w:p>
            <w:r>
              <w:rPr>
                <w:rFonts w:ascii="Arial" w:hAnsi="Arial"/>
                <w:b w:val="0"/>
                <w:color w:val="24313C"/>
                <w:sz w:val="18"/>
              </w:rPr>
              <w:t>Current</w:t>
            </w:r>
          </w:p>
        </w:tc>
      </w:tr>
    </w:tbl>
    <w:p>
      <w:pPr>
        <w:pStyle w:val="Heading1"/>
      </w:pPr>
      <w:r>
        <w:t>Threshold</w:t>
      </w:r>
    </w:p>
    <w:p>
      <w:r>
        <w:t>Qualifying property and equipment with useful life beyond one year is capitalized when placed in service.</w:t>
      </w:r>
    </w:p>
    <w:p>
      <w:pPr>
        <w:pStyle w:val="Heading1"/>
      </w:pPr>
      <w:r>
        <w:t>Project controls</w:t>
      </w:r>
    </w:p>
    <w:p>
      <w:r>
        <w:t>Approved scope, vendor support, in-service evidence, asset class, site, and useful life are required.</w:t>
      </w:r>
    </w:p>
    <w:p>
      <w:pPr>
        <w:pStyle w:val="Heading1"/>
      </w:pPr>
      <w:r>
        <w:t>Repairs</w:t>
      </w:r>
    </w:p>
    <w:p>
      <w:r>
        <w:t>Routine maintenance and normal repairs are expensed; betterments that extend life or capacity are assessed for capitalization.</w:t>
      </w:r>
    </w:p>
    <w:p>
      <w:pPr>
        <w:pStyle w:val="Heading1"/>
      </w:pPr>
      <w:r>
        <w:t>Records and exceptions</w:t>
      </w:r>
    </w:p>
    <w:p>
      <w:r>
        <w:t>Keep the supporting report, calculation, approval, and review evidence with the applicable close or transaction record. Departures from this policy require written Controller approval.</w:t>
      </w:r>
    </w:p>
    <w:sectPr w:rsidR="00FC693F" w:rsidRPr="0006063C" w:rsidSect="00034616">
      <w:headerReference w:type="default" r:id="rId5"/>
      <w:footerReference w:type="default" r:id="rId4"/>
      <w:pgSz w:w="12240" w:h="15840"/>
      <w:pgMar w:top="1037" w:right="1440" w:bottom="979" w:left="1440" w:header="346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" w:hAnsi="Arial"/>
        <w:color w:val="66737F"/>
        <w:sz w:val="16"/>
      </w:rPr>
      <w:t>FIN-POL-07  •  Internal</w:t>
    </w:r>
    <w:r>
      <w:tab/>
    </w:r>
    <w:r>
      <w:rPr>
        <w:rFonts w:ascii="Arial" w:hAnsi="Arial"/>
        <w:color w:val="59595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9360"/>
    </w:tblGrid>
    <w:tr>
      <w:tc>
        <w:tcPr>
          <w:tcW w:type="dxa" w:w="9360"/>
          <w:tcMar>
            <w:top w:w="25" w:type="dxa"/>
            <w:bottom w:w="20" w:type="dxa"/>
            <w:start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/>
              <w:b/>
              <w:color w:val="163E4C"/>
              <w:sz w:val="17"/>
            </w:rPr>
            <w:t>PINEHAVEN MOTION SYSTEMS</w:t>
          </w:r>
          <w:r>
            <w:rPr>
              <w:rFonts w:ascii="Arial" w:hAnsi="Arial"/>
              <w:color w:val="66737F"/>
              <w:sz w:val="15"/>
            </w:rPr>
            <w:br/>
            <w:t>FINANCE &amp; OPERATIONS  •  FIN-POL-07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59" w:lineRule="auto"/>
      <w:jc w:val="lef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63E4C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2D66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431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" Type="http://schemas.microsoft.com/office/2007/relationships/stylesWithEffects" Target="stylesWithEffects.xml"/><Relationship Id="rId7" Type="http://schemas.openxmlformats.org/officeDocument/2006/relationships/settings" Target="settings.xml"/><Relationship Id="rId10" Type="http://schemas.openxmlformats.org/officeDocument/2006/relationships/webSettings" Target="webSettings.xml"/><Relationship Id="rId3" Type="http://schemas.openxmlformats.org/officeDocument/2006/relationships/fontTable" Target="fontTable.xml"/><Relationship Id="rId9" Type="http://schemas.openxmlformats.org/officeDocument/2006/relationships/theme" Target="theme/theme1.xml"/><Relationship Id="rId2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Fixed Asset Capitalization Policy</dc:title>
  <dc:subject>Accounting Policy</dc:subject>
  <dc:creator>Mia Chen, Corporate Controller</dc:creator>
  <cp:keywords>Pinehaven; FIN-POL-07; finance</cp:keywords>
  <dc:description>generated by python-docx</dc:description>
  <cp:lastModifiedBy>Pinehaven Corporate Communications</cp:lastModifiedBy>
  <cp:revision>1</cp:revision>
  <dcterms:created xsi:type="dcterms:W3CDTF">2026-06-30T23:59:59Z</dcterms:created>
  <dcterms:modified xsi:type="dcterms:W3CDTF">2026-06-30T23:59:59Z</dcterms:modified>
  <cp:category/>
</cp:coreProperties>
</file>