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2" Type="http://schemas.openxmlformats.org/officeDocument/2006/relationships/officeDocument" Target="word/document.xml"/><Relationship Id="rId4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60" w:after="120"/>
      </w:pPr>
      <w:r>
        <w:rPr>
          <w:rFonts w:ascii="Arial" w:hAnsi="Arial"/>
          <w:b/>
          <w:color w:val="C2703D"/>
          <w:sz w:val="18"/>
        </w:rPr>
        <w:t>ACCOUNTING POLICY</w:t>
      </w:r>
    </w:p>
    <w:p>
      <w:pPr>
        <w:spacing w:after="200"/>
      </w:pPr>
      <w:r>
        <w:rPr>
          <w:rFonts w:ascii="Arial" w:hAnsi="Arial"/>
          <w:b/>
          <w:color w:val="24313C"/>
          <w:sz w:val="42"/>
        </w:rPr>
        <w:t>Credit and Collections Policy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  <w:shd w:fill="E4EFF1"/>
          </w:tcPr>
          <w:p>
            <w:r>
              <w:rPr>
                <w:rFonts w:ascii="Arial" w:hAnsi="Arial"/>
                <w:b/>
                <w:color w:val="163E4C"/>
                <w:sz w:val="17"/>
              </w:rPr>
              <w:t>Policy no.</w:t>
            </w:r>
          </w:p>
        </w:tc>
        <w:tc>
          <w:tcPr>
            <w:tcW w:type="dxa" w:w="2232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</w:tcPr>
          <w:p>
            <w:r>
              <w:rPr>
                <w:rFonts w:ascii="Arial" w:hAnsi="Arial"/>
                <w:b w:val="0"/>
                <w:color w:val="24313C"/>
                <w:sz w:val="18"/>
              </w:rPr>
              <w:t>FIN-POL-11</w:t>
            </w:r>
          </w:p>
        </w:tc>
        <w:tc>
          <w:tcPr>
            <w:tcW w:type="dxa" w:w="1512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  <w:shd w:fill="E4EFF1"/>
          </w:tcPr>
          <w:p>
            <w:r>
              <w:rPr>
                <w:rFonts w:ascii="Arial" w:hAnsi="Arial"/>
                <w:b/>
                <w:color w:val="163E4C"/>
                <w:sz w:val="17"/>
              </w:rPr>
              <w:t>Owner</w:t>
            </w:r>
          </w:p>
        </w:tc>
        <w:tc>
          <w:tcPr>
            <w:tcW w:type="dxa" w:w="4176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</w:tcPr>
          <w:p>
            <w:r>
              <w:rPr>
                <w:rFonts w:ascii="Arial" w:hAnsi="Arial"/>
                <w:b w:val="0"/>
                <w:color w:val="24313C"/>
                <w:sz w:val="18"/>
              </w:rPr>
              <w:t>James Scott, Credit Manager</w:t>
            </w:r>
          </w:p>
        </w:tc>
      </w:tr>
      <w:tr>
        <w:tc>
          <w:tcPr>
            <w:tcW w:type="dxa" w:w="1440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  <w:shd w:fill="E4EFF1"/>
          </w:tcPr>
          <w:p>
            <w:r>
              <w:rPr>
                <w:rFonts w:ascii="Arial" w:hAnsi="Arial"/>
                <w:b/>
                <w:color w:val="163E4C"/>
                <w:sz w:val="17"/>
              </w:rPr>
              <w:t>Effective</w:t>
            </w:r>
          </w:p>
        </w:tc>
        <w:tc>
          <w:tcPr>
            <w:tcW w:type="dxa" w:w="2232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</w:tcPr>
          <w:p>
            <w:r>
              <w:rPr>
                <w:rFonts w:ascii="Arial" w:hAnsi="Arial"/>
                <w:b w:val="0"/>
                <w:color w:val="24313C"/>
                <w:sz w:val="18"/>
              </w:rPr>
              <w:t>January 1, 2026</w:t>
            </w:r>
          </w:p>
        </w:tc>
        <w:tc>
          <w:tcPr>
            <w:tcW w:type="dxa" w:w="1512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  <w:shd w:fill="E4EFF1"/>
          </w:tcPr>
          <w:p>
            <w:r>
              <w:rPr>
                <w:rFonts w:ascii="Arial" w:hAnsi="Arial"/>
                <w:b/>
                <w:color w:val="163E4C"/>
                <w:sz w:val="17"/>
              </w:rPr>
              <w:t>Approved by</w:t>
            </w:r>
          </w:p>
        </w:tc>
        <w:tc>
          <w:tcPr>
            <w:tcW w:type="dxa" w:w="4176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</w:tcPr>
          <w:p>
            <w:r>
              <w:rPr>
                <w:rFonts w:ascii="Arial" w:hAnsi="Arial"/>
                <w:b w:val="0"/>
                <w:color w:val="24313C"/>
                <w:sz w:val="18"/>
              </w:rPr>
              <w:t>Olivia Thompson, Chief Financial Officer</w:t>
            </w:r>
          </w:p>
        </w:tc>
      </w:tr>
      <w:tr>
        <w:tc>
          <w:tcPr>
            <w:tcW w:type="dxa" w:w="1440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  <w:shd w:fill="E4EFF1"/>
          </w:tcPr>
          <w:p>
            <w:r>
              <w:rPr>
                <w:rFonts w:ascii="Arial" w:hAnsi="Arial"/>
                <w:b/>
                <w:color w:val="163E4C"/>
                <w:sz w:val="17"/>
              </w:rPr>
              <w:t>Next review</w:t>
            </w:r>
          </w:p>
        </w:tc>
        <w:tc>
          <w:tcPr>
            <w:tcW w:type="dxa" w:w="2232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</w:tcPr>
          <w:p>
            <w:r>
              <w:rPr>
                <w:rFonts w:ascii="Arial" w:hAnsi="Arial"/>
                <w:b w:val="0"/>
                <w:color w:val="24313C"/>
                <w:sz w:val="18"/>
              </w:rPr>
              <w:t>December 2026</w:t>
            </w:r>
          </w:p>
        </w:tc>
        <w:tc>
          <w:tcPr>
            <w:tcW w:type="dxa" w:w="1512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  <w:shd w:fill="E4EFF1"/>
          </w:tcPr>
          <w:p>
            <w:r>
              <w:rPr>
                <w:rFonts w:ascii="Arial" w:hAnsi="Arial"/>
                <w:b/>
                <w:color w:val="163E4C"/>
                <w:sz w:val="17"/>
              </w:rPr>
              <w:t>Status</w:t>
            </w:r>
          </w:p>
        </w:tc>
        <w:tc>
          <w:tcPr>
            <w:tcW w:type="dxa" w:w="4176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</w:tcPr>
          <w:p>
            <w:r>
              <w:rPr>
                <w:rFonts w:ascii="Arial" w:hAnsi="Arial"/>
                <w:b w:val="0"/>
                <w:color w:val="24313C"/>
                <w:sz w:val="18"/>
              </w:rPr>
              <w:t>Current</w:t>
            </w:r>
          </w:p>
        </w:tc>
      </w:tr>
    </w:tbl>
    <w:p>
      <w:pPr>
        <w:pStyle w:val="Heading1"/>
      </w:pPr>
      <w:r>
        <w:t>Credit</w:t>
      </w:r>
    </w:p>
    <w:p>
      <w:r>
        <w:t>Customer limits and terms are approved using financial strength, payment history, concentration, and end-market risk.</w:t>
      </w:r>
    </w:p>
    <w:p>
      <w:pPr>
        <w:pStyle w:val="Heading1"/>
      </w:pPr>
      <w:r>
        <w:t>Aging</w:t>
      </w:r>
    </w:p>
    <w:p>
      <w:r>
        <w:t>Open AR is reviewed weekly by current, 1–30, 31–60, 61–90, and over-90 buckets.</w:t>
      </w:r>
    </w:p>
    <w:p>
      <w:pPr>
        <w:pStyle w:val="Heading1"/>
      </w:pPr>
      <w:r>
        <w:t>Escalation</w:t>
      </w:r>
    </w:p>
    <w:p>
      <w:r>
        <w:t>Material disputes and overdue balances are escalated to Commercial Finance and Legal.</w:t>
      </w:r>
    </w:p>
    <w:p>
      <w:pPr>
        <w:pStyle w:val="Heading1"/>
      </w:pPr>
      <w:r>
        <w:t>Records and exceptions</w:t>
      </w:r>
    </w:p>
    <w:p>
      <w:r>
        <w:t>Keep the supporting report, calculation, approval, and review evidence with the applicable close or transaction record. Departures from this policy require written Controller approval.</w:t>
      </w:r>
    </w:p>
    <w:sectPr w:rsidR="00FC693F" w:rsidRPr="0006063C" w:rsidSect="00034616">
      <w:headerReference w:type="default" r:id="rId5"/>
      <w:footerReference w:type="default" r:id="rId4"/>
      <w:pgSz w:w="12240" w:h="15840"/>
      <w:pgMar w:top="1037" w:right="1440" w:bottom="979" w:left="1440" w:header="346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" w:hAnsi="Arial"/>
        <w:color w:val="66737F"/>
        <w:sz w:val="16"/>
      </w:rPr>
      <w:t>FIN-POL-11  •  Internal</w:t>
    </w:r>
    <w:r>
      <w:tab/>
    </w:r>
    <w:r>
      <w:rPr>
        <w:rFonts w:ascii="Arial" w:hAnsi="Arial"/>
        <w:color w:val="595959"/>
        <w:sz w:val="18"/>
      </w:rPr>
      <w:t xml:space="preserve">Page </w:t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9360"/>
    </w:tblGrid>
    <w:tr>
      <w:tc>
        <w:tcPr>
          <w:tcW w:type="dxa" w:w="9360"/>
          <w:tcMar>
            <w:top w:w="25" w:type="dxa"/>
            <w:bottom w:w="20" w:type="dxa"/>
            <w:start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/>
              <w:b/>
              <w:color w:val="163E4C"/>
              <w:sz w:val="17"/>
            </w:rPr>
            <w:t>PINEHAVEN MOTION SYSTEMS</w:t>
          </w:r>
          <w:r>
            <w:rPr>
              <w:rFonts w:ascii="Arial" w:hAnsi="Arial"/>
              <w:color w:val="66737F"/>
              <w:sz w:val="15"/>
            </w:rPr>
            <w:br/>
            <w:t>FINANCE &amp; OPERATIONS  •  FIN-POL-11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59" w:lineRule="auto"/>
      <w:jc w:val="lef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63E4C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2D667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24313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" Type="http://schemas.microsoft.com/office/2007/relationships/stylesWithEffects" Target="stylesWithEffects.xml"/><Relationship Id="rId7" Type="http://schemas.openxmlformats.org/officeDocument/2006/relationships/settings" Target="settings.xml"/><Relationship Id="rId10" Type="http://schemas.openxmlformats.org/officeDocument/2006/relationships/webSettings" Target="webSettings.xml"/><Relationship Id="rId3" Type="http://schemas.openxmlformats.org/officeDocument/2006/relationships/fontTable" Target="fontTable.xml"/><Relationship Id="rId9" Type="http://schemas.openxmlformats.org/officeDocument/2006/relationships/theme" Target="theme/theme1.xml"/><Relationship Id="rId2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header" Target="header1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Credit and Collections Policy</dc:title>
  <dc:subject>Accounting Policy</dc:subject>
  <dc:creator>James Scott, Credit Manager</dc:creator>
  <cp:keywords>Pinehaven; FIN-POL-11; finance</cp:keywords>
  <dc:description>generated by python-docx</dc:description>
  <cp:lastModifiedBy>Pinehaven Corporate Communications</cp:lastModifiedBy>
  <cp:revision>1</cp:revision>
  <dcterms:created xsi:type="dcterms:W3CDTF">2026-06-30T23:59:59Z</dcterms:created>
  <dcterms:modified xsi:type="dcterms:W3CDTF">2026-06-30T23:59:59Z</dcterms:modified>
  <cp:category/>
</cp:coreProperties>
</file>