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Excess and Obsolete Inventory Reserve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FIN-POL-02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Owen Martin, Cost Accounting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Evidence hierarchy</w:t>
      </w:r>
    </w:p>
    <w:p>
      <w:r>
        <w:t>Use demand forecasts, open backlog, consumption history, lifecycle status, engineering changes, quality holds, and last-movement aging.</w:t>
      </w:r>
    </w:p>
    <w:p>
      <w:pPr>
        <w:pStyle w:val="Heading1"/>
      </w:pPr>
      <w:r>
        <w:t>Review cadence</w:t>
      </w:r>
    </w:p>
    <w:p>
      <w:r>
        <w:t>Cost Accounting prepares the analysis monthly; Supply Chain and Product Management review disposition; the Controller approves the journal.</w:t>
      </w:r>
    </w:p>
    <w:p>
      <w:pPr>
        <w:pStyle w:val="Heading1"/>
      </w:pPr>
      <w:r>
        <w:t>Measurement</w:t>
      </w:r>
    </w:p>
    <w:p>
      <w:r>
        <w:t>Reserve exposure is item/site specific and may be reduced by supported recovery, rework, substitution, or firm demand.</w:t>
      </w:r>
    </w:p>
    <w:p>
      <w:pPr>
        <w:pStyle w:val="Heading1"/>
      </w:pPr>
      <w:r>
        <w:t>Control</w:t>
      </w:r>
    </w:p>
    <w:p>
      <w:r>
        <w:t>No reserve may be released solely because an item moved locations or was transferred between plants.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FIN-POL-02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Excess and Obsolete Inventory Reserve Policy</dc:title>
  <dc:subject>Accounting Policy</dc:subject>
  <dc:creator>Owen Martin, Cost Accounting Manager</dc:creator>
  <cp:keywords>Pinehaven; FIN-POL-02;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