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Manual Journal Entry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FIN-POL-09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Requirements</w:t>
      </w:r>
    </w:p>
    <w:p>
      <w:r>
        <w:t>Every manual journal requires a unique reference, clear memo, valid dimensions, supporting calculation, balanced debits and credits, and an open period.</w:t>
      </w:r>
    </w:p>
    <w:p>
      <w:pPr>
        <w:pStyle w:val="Heading1"/>
      </w:pPr>
      <w:r>
        <w:t>Segregation</w:t>
      </w:r>
    </w:p>
    <w:p>
      <w:r>
        <w:t>Preparation and approval are segregated for material or nonstandard entries.</w:t>
      </w:r>
    </w:p>
    <w:p>
      <w:pPr>
        <w:pStyle w:val="Heading1"/>
      </w:pPr>
      <w:r>
        <w:t>Prohibited</w:t>
      </w:r>
    </w:p>
    <w:p>
      <w:r>
        <w:t>Unbalanced, unsupported, post-close, or control-account plug entries are prohibited.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FIN-POL-09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Journal Entry Policy</dc:title>
  <dc:subject>Accounting Policy</dc:subject>
  <dc:creator>Mia Chen, Corporate Controller</dc:creator>
  <cp:keywords>Pinehaven; FIN-POL-09;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