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120"/>
      </w:pPr>
      <w:r>
        <w:rPr>
          <w:rFonts w:ascii="Arial" w:hAnsi="Arial"/>
          <w:b/>
          <w:color w:val="C2703D"/>
          <w:sz w:val="18"/>
        </w:rPr>
        <w:t>ACCOUNTING POLICY</w:t>
      </w:r>
    </w:p>
    <w:p>
      <w:pPr>
        <w:spacing w:after="200"/>
      </w:pPr>
      <w:r>
        <w:rPr>
          <w:rFonts w:ascii="Arial" w:hAnsi="Arial"/>
          <w:b/>
          <w:color w:val="24313C"/>
          <w:sz w:val="42"/>
        </w:rPr>
        <w:t>Production Order Close and Variance Policy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Policy no.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FIN-POL-03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Owner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Henry Adams, Operations Finance Director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Effective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January 1,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Approved by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Olivia Thompson, Chief Financial Officer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Next review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December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Status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Current</w:t>
            </w:r>
          </w:p>
        </w:tc>
      </w:tr>
    </w:tbl>
    <w:p>
      <w:pPr>
        <w:pStyle w:val="Heading1"/>
      </w:pPr>
      <w:r>
        <w:t>Status gates</w:t>
      </w:r>
    </w:p>
    <w:p>
      <w:r>
        <w:t>Orders progress through scheduled, released, started, reported finished, and ended states.</w:t>
      </w:r>
    </w:p>
    <w:p>
      <w:pPr>
        <w:pStyle w:val="Heading1"/>
      </w:pPr>
      <w:r>
        <w:t>Close criteria</w:t>
      </w:r>
    </w:p>
    <w:p>
      <w:r>
        <w:t>Material issues, operation confirmations, scrap, outside processing, and reported output must be complete before ending.</w:t>
      </w:r>
    </w:p>
    <w:p>
      <w:pPr>
        <w:pStyle w:val="Heading1"/>
      </w:pPr>
      <w:r>
        <w:t>Reconciliation</w:t>
      </w:r>
    </w:p>
    <w:p>
      <w:r>
        <w:t>Ended-order actual cost less standard reported output must equal the sum of recorded variance components.</w:t>
      </w:r>
    </w:p>
    <w:p>
      <w:pPr>
        <w:pStyle w:val="Heading1"/>
      </w:pPr>
      <w:r>
        <w:t>Cutoff</w:t>
      </w:r>
    </w:p>
    <w:p>
      <w:r>
        <w:t>Open orders remain in WIP and are reviewed for aged or negative residuals at month-end.</w:t>
      </w:r>
    </w:p>
    <w:p>
      <w:pPr>
        <w:pStyle w:val="Heading1"/>
      </w:pPr>
      <w:r>
        <w:t>Records and exceptions</w:t>
      </w:r>
    </w:p>
    <w:p>
      <w:r>
        <w:t>Keep the supporting report, calculation, approval, and review evidence with the applicable close or transaction record. Departures from this policy require written Controller approval.</w:t>
      </w:r>
    </w:p>
    <w:sectPr w:rsidR="00FC693F" w:rsidRPr="0006063C" w:rsidSect="00034616">
      <w:headerReference w:type="default" r:id="rId5"/>
      <w:footerReference w:type="default" r:id="rId4"/>
      <w:pgSz w:w="12240" w:h="15840"/>
      <w:pgMar w:top="1037" w:right="1440" w:bottom="979" w:left="144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6737F"/>
        <w:sz w:val="16"/>
      </w:rPr>
      <w:t>FIN-POL-03  •  Internal</w:t>
    </w:r>
    <w:r>
      <w:tab/>
    </w:r>
    <w:r>
      <w:rPr>
        <w:rFonts w:ascii="Arial" w:hAnsi="Arial"/>
        <w:color w:val="59595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Mar>
            <w:top w:w="25" w:type="dxa"/>
            <w:bottom w:w="2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63E4C"/>
              <w:sz w:val="17"/>
            </w:rPr>
            <w:t>PINEHAVEN MOTION SYSTEMS</w:t>
          </w:r>
          <w:r>
            <w:rPr>
              <w:rFonts w:ascii="Arial" w:hAnsi="Arial"/>
              <w:color w:val="66737F"/>
              <w:sz w:val="15"/>
            </w:rPr>
            <w:br/>
            <w:t>FINANCE &amp; OPERATIONS  •  FIN-POL-03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  <w:jc w:val="lef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E4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D66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31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" Type="http://schemas.microsoft.com/office/2007/relationships/stylesWithEffects" Target="stylesWithEffects.xml"/><Relationship Id="rId7" Type="http://schemas.openxmlformats.org/officeDocument/2006/relationships/settings" Target="settings.xml"/><Relationship Id="rId10" Type="http://schemas.openxmlformats.org/officeDocument/2006/relationships/webSettings" Target="webSettings.xml"/><Relationship Id="rId3" Type="http://schemas.openxmlformats.org/officeDocument/2006/relationships/fontTable" Target="fontTable.xml"/><Relationship Id="rId9" Type="http://schemas.openxmlformats.org/officeDocument/2006/relationships/theme" Target="theme/theme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Order Close and Variance Policy</dc:title>
  <dc:subject>Accounting Policy</dc:subject>
  <dc:creator>Henry Adams, Operations Finance Director</dc:creator>
  <cp:keywords>Pinehaven; FIN-POL-03; finance</cp:keywords>
  <dc:description>generated by python-docx</dc:description>
  <cp:lastModifiedBy>Pinehaven Corporate Communications</cp:lastModifiedBy>
  <cp:revision>1</cp:revision>
  <dcterms:created xsi:type="dcterms:W3CDTF">2026-06-30T23:59:59Z</dcterms:created>
  <dcterms:modified xsi:type="dcterms:W3CDTF">2026-06-30T23:59:59Z</dcterms:modified>
  <cp:category/>
</cp:coreProperties>
</file>