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Revenue Recognition and Shipment Cutoff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FIN-POL-04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Mia Chen, Corporate Controller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Recognition</w:t>
      </w:r>
    </w:p>
    <w:p>
      <w:r>
        <w:t>Product revenue is recognized when control transfers on shipment under Pinehaven’s standard terms.</w:t>
      </w:r>
    </w:p>
    <w:p>
      <w:pPr>
        <w:pStyle w:val="Heading1"/>
      </w:pPr>
      <w:r>
        <w:t>Cutoff</w:t>
      </w:r>
    </w:p>
    <w:p>
      <w:r>
        <w:t>Shipping documents, ERP shipment confirmation, sales invoice, and inventory relief must agree.</w:t>
      </w:r>
    </w:p>
    <w:p>
      <w:pPr>
        <w:pStyle w:val="Heading1"/>
      </w:pPr>
      <w:r>
        <w:t>Engineered systems</w:t>
      </w:r>
    </w:p>
    <w:p>
      <w:r>
        <w:t>SYS arrangements are evaluated for any nonstandard acceptance or performance obligations before shipment recognition.</w:t>
      </w:r>
    </w:p>
    <w:p>
      <w:pPr>
        <w:pStyle w:val="Heading1"/>
      </w:pPr>
      <w:r>
        <w:t>Returns</w:t>
      </w:r>
    </w:p>
    <w:p>
      <w:r>
        <w:t>Known returns, concessions, and pricing disputes are recorded in the period identified.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FIN-POL-04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Revenue Recognition and Shipment Cutoff Policy</dc:title>
  <dc:subject>Accounting Policy</dc:subject>
  <dc:creator>Mia Chen, Corporate Controller</dc:creator>
  <cp:keywords>Pinehaven; FIN-POL-04;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