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2" Type="http://schemas.openxmlformats.org/officeDocument/2006/relationships/officeDocument" Target="word/document.xml"/><Relationship Id="rId4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" w:after="120"/>
      </w:pPr>
      <w:r>
        <w:rPr>
          <w:rFonts w:ascii="Arial" w:hAnsi="Arial"/>
          <w:b/>
          <w:color w:val="C2703D"/>
          <w:sz w:val="18"/>
        </w:rPr>
        <w:t>ACCOUNTING POLICY</w:t>
      </w:r>
    </w:p>
    <w:p>
      <w:pPr>
        <w:spacing w:after="200"/>
      </w:pPr>
      <w:r>
        <w:rPr>
          <w:rFonts w:ascii="Arial" w:hAnsi="Arial"/>
          <w:b/>
          <w:color w:val="24313C"/>
          <w:sz w:val="42"/>
        </w:rPr>
        <w:t>Standard Cost Accounting Policy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Policy no.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FIN-POL-01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Owner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Owen Martin, Cost Accounting Manager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Effective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January 1, 2026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Approved by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Olivia Thompson, Chief Financial Officer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Next review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December 2026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Status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Current</w:t>
            </w:r>
          </w:p>
        </w:tc>
      </w:tr>
    </w:tbl>
    <w:p>
      <w:pPr>
        <w:pStyle w:val="Heading1"/>
      </w:pPr>
      <w:r>
        <w:t>Purpose</w:t>
      </w:r>
    </w:p>
    <w:p>
      <w:r>
        <w:t>Define Pinehaven’s perpetual standard-cost method, which approximates FIFO for US GAAP reporting.</w:t>
      </w:r>
    </w:p>
    <w:p>
      <w:pPr>
        <w:pStyle w:val="Heading1"/>
      </w:pPr>
      <w:r>
        <w:t>Scope</w:t>
      </w:r>
    </w:p>
    <w:p>
      <w:r>
        <w:t>All raw material, purchased components, manufactured subassemblies, finished goods, and aftermarket inventory across sites 100, 200, 300, and 400.</w:t>
      </w:r>
    </w:p>
    <w:p>
      <w:pPr>
        <w:pStyle w:val="Heading1"/>
      </w:pPr>
      <w:r>
        <w:t>Cost elements</w:t>
      </w:r>
    </w:p>
    <w:p>
      <w:r>
        <w:t>Material, direct labor, variable overhead, fixed overhead, and outside processing are maintained by item/site. Active BOM and routing versions control rollups.</w:t>
      </w:r>
    </w:p>
    <w:p>
      <w:pPr>
        <w:pStyle w:val="Heading1"/>
      </w:pPr>
      <w:r>
        <w:t>Variance treatment</w:t>
      </w:r>
    </w:p>
    <w:p>
      <w:r>
        <w:t>Purchase price variance is recognized in procure-to-pay. Production usage, rate, efficiency, volume, and scrap variances settle when orders are ended.</w:t>
      </w:r>
    </w:p>
    <w:p>
      <w:pPr>
        <w:pStyle w:val="Heading1"/>
      </w:pPr>
      <w:r>
        <w:t>Governance</w:t>
      </w:r>
    </w:p>
    <w:p>
      <w:r>
        <w:t>Standards are approved annually and when material engineering, sourcing, or rate changes warrant an interim revaluation.</w:t>
      </w:r>
    </w:p>
    <w:p>
      <w:pPr>
        <w:pStyle w:val="Heading1"/>
      </w:pPr>
      <w:r>
        <w:t>Records and exceptions</w:t>
      </w:r>
    </w:p>
    <w:p>
      <w:r>
        <w:t>Keep the supporting report, calculation, approval, and review evidence with the applicable close or transaction record. Departures from this policy require written Controller approval.</w:t>
      </w:r>
    </w:p>
    <w:sectPr w:rsidR="00FC693F" w:rsidRPr="0006063C" w:rsidSect="00034616">
      <w:headerReference w:type="default" r:id="rId5"/>
      <w:footerReference w:type="default" r:id="rId4"/>
      <w:pgSz w:w="12240" w:h="15840"/>
      <w:pgMar w:top="1037" w:right="1440" w:bottom="979" w:left="1440" w:header="346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color w:val="66737F"/>
        <w:sz w:val="16"/>
      </w:rPr>
      <w:t>FIN-POL-01  •  Internal</w:t>
    </w:r>
    <w:r>
      <w:tab/>
    </w:r>
    <w:r>
      <w:rPr>
        <w:rFonts w:ascii="Arial" w:hAnsi="Arial"/>
        <w:color w:val="595959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Mar>
            <w:top w:w="25" w:type="dxa"/>
            <w:bottom w:w="20" w:type="dxa"/>
            <w:start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/>
              <w:b/>
              <w:color w:val="163E4C"/>
              <w:sz w:val="17"/>
            </w:rPr>
            <w:t>PINEHAVEN MOTION SYSTEMS</w:t>
          </w:r>
          <w:r>
            <w:rPr>
              <w:rFonts w:ascii="Arial" w:hAnsi="Arial"/>
              <w:color w:val="66737F"/>
              <w:sz w:val="15"/>
            </w:rPr>
            <w:br/>
            <w:t>FINANCE &amp; OPERATIONS  •  FIN-POL-01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  <w:jc w:val="lef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63E4C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D66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431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" Type="http://schemas.microsoft.com/office/2007/relationships/stylesWithEffects" Target="stylesWithEffects.xml"/><Relationship Id="rId7" Type="http://schemas.openxmlformats.org/officeDocument/2006/relationships/settings" Target="settings.xml"/><Relationship Id="rId10" Type="http://schemas.openxmlformats.org/officeDocument/2006/relationships/webSettings" Target="webSettings.xml"/><Relationship Id="rId3" Type="http://schemas.openxmlformats.org/officeDocument/2006/relationships/fontTable" Target="fontTable.xml"/><Relationship Id="rId9" Type="http://schemas.openxmlformats.org/officeDocument/2006/relationships/theme" Target="theme/theme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Cost Accounting Policy</dc:title>
  <dc:subject>Accounting Policy</dc:subject>
  <dc:creator>Owen Martin, Cost Accounting Manager</dc:creator>
  <cp:keywords>Pinehaven; FIN-POL-01; finance</cp:keywords>
  <dc:description>generated by python-docx</dc:description>
  <cp:lastModifiedBy>Pinehaven Corporate Communications</cp:lastModifiedBy>
  <cp:revision>1</cp:revision>
  <dcterms:created xsi:type="dcterms:W3CDTF">2026-06-30T23:59:59Z</dcterms:created>
  <dcterms:modified xsi:type="dcterms:W3CDTF">2026-06-30T23:59:59Z</dcterms:modified>
  <cp:category/>
</cp:coreProperties>
</file>