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120"/>
      </w:pPr>
      <w:r>
        <w:rPr>
          <w:rFonts w:ascii="Arial" w:hAnsi="Arial"/>
          <w:b/>
          <w:color w:val="C2703D"/>
          <w:sz w:val="18"/>
        </w:rPr>
        <w:t>ACCOUNTING POLICY</w:t>
      </w:r>
    </w:p>
    <w:p>
      <w:pPr>
        <w:spacing w:after="200"/>
      </w:pPr>
      <w:r>
        <w:rPr>
          <w:rFonts w:ascii="Arial" w:hAnsi="Arial"/>
          <w:b/>
          <w:color w:val="24313C"/>
          <w:sz w:val="42"/>
        </w:rPr>
        <w:t>Three-Way Match and Accounts Payable Policy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Policy no.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FIN-POL-10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Owner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Amelia King, AP Manager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Effective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January 1,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Approved by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Olivia Thompson, Chief Financial Officer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Next review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December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Status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Current</w:t>
            </w:r>
          </w:p>
        </w:tc>
      </w:tr>
    </w:tbl>
    <w:p>
      <w:pPr>
        <w:pStyle w:val="Heading1"/>
      </w:pPr>
      <w:r>
        <w:t>Match</w:t>
      </w:r>
    </w:p>
    <w:p>
      <w:r>
        <w:t>PO quantity/price, receipt quantity/quality, and vendor invoice must agree within approved tolerances.</w:t>
      </w:r>
    </w:p>
    <w:p>
      <w:pPr>
        <w:pStyle w:val="Heading1"/>
      </w:pPr>
      <w:r>
        <w:t>Holds</w:t>
      </w:r>
    </w:p>
    <w:p>
      <w:r>
        <w:t>Invoices associated with quality-hold receipts remain blocked pending disposition.</w:t>
      </w:r>
    </w:p>
    <w:p>
      <w:pPr>
        <w:pStyle w:val="Heading1"/>
      </w:pPr>
      <w:r>
        <w:t>Cutoff</w:t>
      </w:r>
    </w:p>
    <w:p>
      <w:r>
        <w:t>Received-not-invoiced exposure is reviewed at each month-end.</w:t>
      </w:r>
    </w:p>
    <w:p>
      <w:pPr>
        <w:pStyle w:val="Heading1"/>
      </w:pPr>
      <w:r>
        <w:t>Records and exceptions</w:t>
      </w:r>
    </w:p>
    <w:p>
      <w:r>
        <w:t>Keep the supporting report, calculation, approval, and review evidence with the applicable close or transaction record. Departures from this policy require written Controller approval.</w:t>
      </w:r>
    </w:p>
    <w:sectPr w:rsidR="00FC693F" w:rsidRPr="0006063C" w:rsidSect="00034616">
      <w:headerReference w:type="default" r:id="rId5"/>
      <w:footerReference w:type="default" r:id="rId4"/>
      <w:pgSz w:w="12240" w:h="15840"/>
      <w:pgMar w:top="1037" w:right="1440" w:bottom="979" w:left="144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6737F"/>
        <w:sz w:val="16"/>
      </w:rPr>
      <w:t>FIN-POL-10  •  Internal</w:t>
    </w:r>
    <w:r>
      <w:tab/>
    </w:r>
    <w:r>
      <w:rPr>
        <w:rFonts w:ascii="Arial" w:hAnsi="Arial"/>
        <w:color w:val="59595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Mar>
            <w:top w:w="25" w:type="dxa"/>
            <w:bottom w:w="2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63E4C"/>
              <w:sz w:val="17"/>
            </w:rPr>
            <w:t>PINEHAVEN MOTION SYSTEMS</w:t>
          </w:r>
          <w:r>
            <w:rPr>
              <w:rFonts w:ascii="Arial" w:hAnsi="Arial"/>
              <w:color w:val="66737F"/>
              <w:sz w:val="15"/>
            </w:rPr>
            <w:br/>
            <w:t>FINANCE &amp; OPERATIONS  •  FIN-POL-10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  <w:jc w:val="lef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E4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D66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31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" Type="http://schemas.microsoft.com/office/2007/relationships/stylesWithEffects" Target="stylesWithEffects.xml"/><Relationship Id="rId7" Type="http://schemas.openxmlformats.org/officeDocument/2006/relationships/settings" Target="settings.xml"/><Relationship Id="rId10" Type="http://schemas.openxmlformats.org/officeDocument/2006/relationships/webSettings" Target="webSettings.xml"/><Relationship Id="rId3" Type="http://schemas.openxmlformats.org/officeDocument/2006/relationships/fontTable" Target="fontTable.xml"/><Relationship Id="rId9" Type="http://schemas.openxmlformats.org/officeDocument/2006/relationships/theme" Target="theme/theme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Three-Way Match and Accounts Payable Policy</dc:title>
  <dc:subject>Accounting Policy</dc:subject>
  <dc:creator>Amelia King, AP Manager</dc:creator>
  <cp:keywords>Pinehaven; FIN-POL-10; finance</cp:keywords>
  <dc:description>generated by python-docx</dc:description>
  <cp:lastModifiedBy>Pinehaven Corporate Communications</cp:lastModifiedBy>
  <cp:revision>1</cp:revision>
  <dcterms:created xsi:type="dcterms:W3CDTF">2026-06-30T23:59:59Z</dcterms:created>
  <dcterms:modified xsi:type="dcterms:W3CDTF">2026-06-30T23:59:59Z</dcterms:modified>
  <cp:category/>
</cp:coreProperties>
</file>