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Warranty Reserve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FIN-POL-06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Emma Clark, Director of Quality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Estimation</w:t>
      </w:r>
    </w:p>
    <w:p>
      <w:r>
        <w:t>Expected warranty cost uses historical claims, failure rates, product mix, service cost, and known field issues.</w:t>
      </w:r>
    </w:p>
    <w:p>
      <w:pPr>
        <w:pStyle w:val="Heading1"/>
      </w:pPr>
      <w:r>
        <w:t>Quality linkage</w:t>
      </w:r>
    </w:p>
    <w:p>
      <w:r>
        <w:t>Open nonconformances and systemic failure modes are considered in the specific reserve overlay.</w:t>
      </w:r>
    </w:p>
    <w:p>
      <w:pPr>
        <w:pStyle w:val="Heading1"/>
      </w:pPr>
      <w:r>
        <w:t>Approval</w:t>
      </w:r>
    </w:p>
    <w:p>
      <w:r>
        <w:t>The Controller, VP Quality, and General Counsel review material judgment changes.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FIN-POL-06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Warranty Reserve Policy</dc:title>
  <dc:subject>Accounting Policy</dc:subject>
  <dc:creator>Emma Clark, Director of Quality</dc:creator>
  <cp:keywords>Pinehaven; FIN-POL-06;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