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Capacity Escalation Protocol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Plant Managers and Operations Finance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William Mitchell, VP Operations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February 26,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Capacity Escalation Protocol</w:t>
            </w:r>
          </w:p>
        </w:tc>
      </w:tr>
    </w:tbl>
    <w:p>
      <w:pPr>
        <w:pStyle w:val="Heading1"/>
      </w:pPr>
      <w:r>
        <w:t>Trigger</w:t>
      </w:r>
    </w:p>
    <w:p>
      <w:r>
        <w:t>Escalate sustained planned load above practical capacity, material downtime, or constraint-driven backlog risk.</w:t>
      </w:r>
    </w:p>
    <w:p>
      <w:pPr>
        <w:pStyle w:val="Heading1"/>
      </w:pPr>
      <w:r>
        <w:t>Options</w:t>
      </w:r>
    </w:p>
    <w:p>
      <w:r>
        <w:t>Evaluate sequencing, overtime, alternate routing, subcontracting, maintenance timing, and capital investment.</w:t>
      </w:r>
    </w:p>
    <w:p>
      <w:pPr>
        <w:pStyle w:val="Heading1"/>
      </w:pPr>
      <w:r>
        <w:t>Decision quality</w:t>
      </w:r>
    </w:p>
    <w:p>
      <w:r>
        <w:t>Each recommendation quantifies throughput, cost, timing, customer, quality, and cash effects.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FIN-MEM-03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 Escalation Protocol</dc:title>
  <dc:subject>Internal Memorandum</dc:subject>
  <dc:creator>William Mitchell, VP Operations</dc:creator>
  <cp:keywords>Pinehaven; FIN-MEM-03;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