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Capital Committee Charter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Capital Committee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12,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Capital Committee Charter</w:t>
            </w:r>
          </w:p>
        </w:tc>
      </w:tr>
    </w:tbl>
    <w:p>
      <w:pPr>
        <w:pStyle w:val="Heading1"/>
      </w:pPr>
      <w:r>
        <w:t>Mandate</w:t>
      </w:r>
    </w:p>
    <w:p>
      <w:r>
        <w:t>Prioritize safety, compliance, continuity, productivity, capacity, quality, and strategic growth investments.</w:t>
      </w:r>
    </w:p>
    <w:p>
      <w:pPr>
        <w:pStyle w:val="Heading1"/>
      </w:pPr>
      <w:r>
        <w:t>Required case</w:t>
      </w:r>
    </w:p>
    <w:p>
      <w:r>
        <w:t>Include baseline, alternatives, cash phasing, NPV/IRR where appropriate, implementation risk, and owner.</w:t>
      </w:r>
    </w:p>
    <w:p>
      <w:pPr>
        <w:pStyle w:val="Heading1"/>
      </w:pPr>
      <w:r>
        <w:t>Post audit</w:t>
      </w:r>
    </w:p>
    <w:p>
      <w:r>
        <w:t>Material projects receive a benefits-realization review after stabilization.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FIN-MEM-06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 Committee Charter</dc:title>
  <dc:subject>Internal Memorandum</dc:subject>
  <dc:creator>Olivia Thompson, Chief Financial Officer</dc:creator>
  <cp:keywords>Pinehaven; FIN-MEM-06;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