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June 2026 Close Instructions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Finance Leadership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June 24,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June 2026 Close Instructions</w:t>
            </w:r>
          </w:p>
        </w:tc>
      </w:tr>
    </w:tbl>
    <w:p>
      <w:pPr>
        <w:pStyle w:val="Heading1"/>
      </w:pPr>
      <w:r>
        <w:t>Snapshot</w:t>
      </w:r>
    </w:p>
    <w:p>
      <w:r>
        <w:t>June 30 is a pre-close snapshot; May is the latest closed month.</w:t>
      </w:r>
    </w:p>
    <w:p>
      <w:pPr>
        <w:pStyle w:val="Heading1"/>
      </w:pPr>
      <w:r>
        <w:t>Priority</w:t>
      </w:r>
    </w:p>
    <w:p>
      <w:r>
        <w:t>Resolve production-order WIP, open quality exposure, inventory aging, AR/AP cutoff, and debt classification before locking June.</w:t>
      </w:r>
    </w:p>
    <w:p>
      <w:pPr>
        <w:pStyle w:val="Heading1"/>
      </w:pPr>
      <w:r>
        <w:t>Deliverables</w:t>
      </w:r>
    </w:p>
    <w:p>
      <w:r>
        <w:t>Use ERP reports as the system of record and retain analytical workpapers in the Finance folder.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FIN-MEM-01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June 2026 Close Instructions</dc:title>
  <dc:subject>Internal Memorandum</dc:subject>
  <dc:creator>Mia Chen, Corporate Controller</dc:creator>
  <cp:keywords>Pinehaven; FIN-MEM-01;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