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INTERNAL MEMORANDUM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Supplier Risk Review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To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Procurement, Quality, and Plant Finance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From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Sophia Patel, VP Supply Chain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Date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March 18, 2026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Subject</w:t>
            </w:r>
          </w:p>
        </w:tc>
        <w:tc>
          <w:tcPr>
            <w:tcW w:type="dxa" w:w="792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Supplier Risk Review</w:t>
            </w:r>
          </w:p>
        </w:tc>
      </w:tr>
    </w:tbl>
    <w:p>
      <w:pPr>
        <w:pStyle w:val="Heading1"/>
      </w:pPr>
      <w:r>
        <w:t>Inputs</w:t>
      </w:r>
    </w:p>
    <w:p>
      <w:r>
        <w:t>On-time delivery, quality acceptance, lead time, PPV, open commitments, sole-source exposure, and geographic risk.</w:t>
      </w:r>
    </w:p>
    <w:p>
      <w:pPr>
        <w:pStyle w:val="Heading1"/>
      </w:pPr>
      <w:r>
        <w:t>Actions</w:t>
      </w:r>
    </w:p>
    <w:p>
      <w:r>
        <w:t>Use supplier development, dual sourcing, safety stock, commercial recovery, or engineering substitution as supported.</w:t>
      </w:r>
    </w:p>
    <w:p>
      <w:pPr>
        <w:pStyle w:val="Heading1"/>
      </w:pPr>
      <w:r>
        <w:t>Ownership</w:t>
      </w:r>
    </w:p>
    <w:p>
      <w:r>
        <w:t>VP Supply Chain chairs the review with Procurement, Quality, Operations, and Finance.</w:t>
      </w:r>
    </w:p>
    <w:p>
      <w:pPr>
        <w:pStyle w:val="Heading1"/>
      </w:pPr>
      <w:r>
        <w:t>Follow-up</w:t>
      </w:r>
    </w:p>
    <w:p>
      <w:r>
        <w:t>Functional owners should document the decision, accountable owner, due date, and any unresolved source-data exception in the next scheduled review.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FIN-MEM-04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FIN-MEM-04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Risk Review</dc:title>
  <dc:subject>Internal Memorandum</dc:subject>
  <dc:creator>Sophia Patel, VP Supply Chain</dc:creator>
  <cp:keywords>Pinehaven; FIN-MEM-04;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