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2" Type="http://schemas.openxmlformats.org/officeDocument/2006/relationships/officeDocument" Target="word/document.xml"/><Relationship Id="rId4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" w:after="120"/>
      </w:pPr>
      <w:r>
        <w:rPr>
          <w:rFonts w:ascii="Arial" w:hAnsi="Arial"/>
          <w:b/>
          <w:color w:val="C2703D"/>
          <w:sz w:val="18"/>
        </w:rPr>
        <w:t>INTERNAL MEMORANDUM</w:t>
      </w:r>
    </w:p>
    <w:p>
      <w:pPr>
        <w:spacing w:after="200"/>
      </w:pPr>
      <w:r>
        <w:rPr>
          <w:rFonts w:ascii="Arial" w:hAnsi="Arial"/>
          <w:b/>
          <w:color w:val="24313C"/>
          <w:sz w:val="42"/>
        </w:rPr>
        <w:t>Treasury and Liquidity Framework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To</w:t>
            </w:r>
          </w:p>
        </w:tc>
        <w:tc>
          <w:tcPr>
            <w:tcW w:type="dxa" w:w="792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Finance Leadership</w:t>
            </w:r>
          </w:p>
        </w:tc>
      </w:tr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From</w:t>
            </w:r>
          </w:p>
        </w:tc>
        <w:tc>
          <w:tcPr>
            <w:tcW w:type="dxa" w:w="792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Ethan Brooks, Treasurer</w:t>
            </w:r>
          </w:p>
        </w:tc>
      </w:tr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Date</w:t>
            </w:r>
          </w:p>
        </w:tc>
        <w:tc>
          <w:tcPr>
            <w:tcW w:type="dxa" w:w="792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May 15, 2026</w:t>
            </w:r>
          </w:p>
        </w:tc>
      </w:tr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Subject</w:t>
            </w:r>
          </w:p>
        </w:tc>
        <w:tc>
          <w:tcPr>
            <w:tcW w:type="dxa" w:w="792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Treasury and Liquidity Framework</w:t>
            </w:r>
          </w:p>
        </w:tc>
      </w:tr>
    </w:tbl>
    <w:p>
      <w:pPr>
        <w:pStyle w:val="Heading1"/>
      </w:pPr>
      <w:r>
        <w:t>Liquidity</w:t>
      </w:r>
    </w:p>
    <w:p>
      <w:r>
        <w:t>Monitor operating cash plus undrawn revolving capacity against payroll, suppliers, capex, interest, and downside scenarios.</w:t>
      </w:r>
    </w:p>
    <w:p>
      <w:pPr>
        <w:pStyle w:val="Heading1"/>
      </w:pPr>
      <w:r>
        <w:t>Debt</w:t>
      </w:r>
    </w:p>
    <w:p>
      <w:r>
        <w:t>The active debt register includes the sponsor term loan, ABL revolver, and equipment facility.</w:t>
      </w:r>
    </w:p>
    <w:p>
      <w:pPr>
        <w:pStyle w:val="Heading1"/>
      </w:pPr>
      <w:r>
        <w:t>Controls</w:t>
      </w:r>
    </w:p>
    <w:p>
      <w:r>
        <w:t>Debt principal, current classification, rate, maturity, and lender data reconcile to the GL.</w:t>
      </w:r>
    </w:p>
    <w:p>
      <w:pPr>
        <w:pStyle w:val="Heading1"/>
      </w:pPr>
      <w:r>
        <w:t>Follow-up</w:t>
      </w:r>
    </w:p>
    <w:p>
      <w:r>
        <w:t>Functional owners should document the decision, accountable owner, due date, and any unresolved source-data exception in the next scheduled review.</w:t>
      </w:r>
    </w:p>
    <w:sectPr w:rsidR="00FC693F" w:rsidRPr="0006063C" w:rsidSect="00034616">
      <w:headerReference w:type="default" r:id="rId5"/>
      <w:footerReference w:type="default" r:id="rId4"/>
      <w:pgSz w:w="12240" w:h="15840"/>
      <w:pgMar w:top="1037" w:right="1440" w:bottom="979" w:left="1440" w:header="346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color w:val="66737F"/>
        <w:sz w:val="16"/>
      </w:rPr>
      <w:t>FIN-MEM-07  •  Internal</w:t>
    </w:r>
    <w:r>
      <w:tab/>
    </w:r>
    <w:r>
      <w:rPr>
        <w:rFonts w:ascii="Arial" w:hAnsi="Arial"/>
        <w:color w:val="595959"/>
        <w:sz w:val="18"/>
      </w:rPr>
      <w:t xml:space="preserve">Page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9360"/>
    </w:tblGrid>
    <w:tr>
      <w:tc>
        <w:tcPr>
          <w:tcW w:type="dxa" w:w="9360"/>
          <w:tcMar>
            <w:top w:w="25" w:type="dxa"/>
            <w:bottom w:w="20" w:type="dxa"/>
            <w:start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/>
              <w:b/>
              <w:color w:val="163E4C"/>
              <w:sz w:val="17"/>
            </w:rPr>
            <w:t>PINEHAVEN MOTION SYSTEMS</w:t>
          </w:r>
          <w:r>
            <w:rPr>
              <w:rFonts w:ascii="Arial" w:hAnsi="Arial"/>
              <w:color w:val="66737F"/>
              <w:sz w:val="15"/>
            </w:rPr>
            <w:br/>
            <w:t>FINANCE &amp; OPERATIONS  •  FIN-MEM-07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  <w:jc w:val="lef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63E4C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2D66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4313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" Type="http://schemas.microsoft.com/office/2007/relationships/stylesWithEffects" Target="stylesWithEffects.xml"/><Relationship Id="rId7" Type="http://schemas.openxmlformats.org/officeDocument/2006/relationships/settings" Target="settings.xml"/><Relationship Id="rId10" Type="http://schemas.openxmlformats.org/officeDocument/2006/relationships/webSettings" Target="webSettings.xml"/><Relationship Id="rId3" Type="http://schemas.openxmlformats.org/officeDocument/2006/relationships/fontTable" Target="fontTable.xml"/><Relationship Id="rId9" Type="http://schemas.openxmlformats.org/officeDocument/2006/relationships/theme" Target="theme/theme1.xml"/><Relationship Id="rId2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header" Target="header1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Treasury and Liquidity Framework</dc:title>
  <dc:subject>Internal Memorandum</dc:subject>
  <dc:creator>Ethan Brooks, Treasurer</dc:creator>
  <cp:keywords>Pinehaven; FIN-MEM-07; finance</cp:keywords>
  <dc:description>generated by python-docx</dc:description>
  <cp:lastModifiedBy>Pinehaven Corporate Communications</cp:lastModifiedBy>
  <cp:revision>1</cp:revision>
  <dcterms:created xsi:type="dcterms:W3CDTF">2026-06-30T23:59:59Z</dcterms:created>
  <dcterms:modified xsi:type="dcterms:W3CDTF">2026-06-30T23:59:59Z</dcterms:modified>
  <cp:category/>
</cp:coreProperties>
</file>