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CORPORATE DEVELOPMENT INVESTMENT</w:t>
        <w:br/>
        <w:t>COMMITTEE</w:t>
        <w:br/>
        <w:t>REVIEW NOTES AND DECISIONS</w:t>
      </w:r>
    </w:p>
    <w:p>
      <w:pPr>
        <w:jc w:val="center"/>
      </w:pPr>
      <w:r>
        <w:t>Alder Ridge Mechanical • Review through July 5, 2026 • Internal working paper</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Redwood Controls quality-of-earnings normalization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IC valuation assumptions, QoE adjustment evidence, Redwood monthly P&amp;L, Remaining risk register</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BluePeak normalized working-capital peg</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Closing eligibility condition, Diligence peg treatment, Estimated closing balance sheet, Historical normalized NWC, Purchase agreement</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Northstar standalone DCF</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DCF assumptions, Forecast, Historical</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Horizon acquisition accretion model</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Accretion inputs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Summit acquisition synergy breakeven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Transaction hurdle inputs, Year 2 synergy register</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Evergreen acquisition sources and uses</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Buyer liquidity, Funding sources, Transaction uses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Atlas acquisition earnout valuation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Earnout scenarios, Earnout terms, Sensitivity diagnostics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Service division divestiture carve-out</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Carve-out adjustments, Divestiture terms, Service division P&amp;L</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Orion integration value-capture plan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Initiatives, Value capture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Pioneer QoE and purchase-price bridge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Closing funds flow terms, Locked box leakage review, Purchase price terms, QoE adjustments, Target monthly working capital, Target reported results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Risk-adjusted synergy phasing and returns</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Risk-adjusted synergy plan, Synergy downside overlay, Synergy downside policy, Synergy return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Carve-out standalone, TSA, and stranded-cost analysis</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Carve-out functional costs, Carve-out policy, Carveout TSA exit plan</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Transaction-structure accretion and leverage</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Financing structures, Structure underwriting controls, Transaction structure inputs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Valuation triangulation and bid ceiling</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Approved trading peers, Pioneer DCF support, Precedent transactions, Valuation and bid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Pioneer financing and downside IC memo</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Acquisition financing cases, Acquisition financing commitments, Acquisition financing policy, Acquisition financing stress</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Vista ERP balance sheet as of 2026-06-30; accounts 2200, 2210, and 2300</w:t>
            </w:r>
          </w:p>
        </w:tc>
      </w:tr>
    </w:tbl>
    <w:p>
      <w:pPr>
        <w:pStyle w:val="Heading1"/>
      </w:pPr>
      <w:r>
        <w:t>Review decisions by analysis</w:t>
      </w:r>
    </w:p>
    <w:p>
      <w:pPr>
        <w:pStyle w:val="Heading2"/>
      </w:pPr>
      <w:r>
        <w:t>Redwood Controls quality-of-earnings normalization</w:t>
      </w:r>
    </w:p>
    <w:p>
      <w:r>
        <w:t>Decision 1: Rebuild LTM revenue and reported EBITDA from the twelve-month target P&amp;L before considering any seller adjustment.</w:t>
      </w:r>
    </w:p>
    <w:p>
      <w:r>
        <w:t>Decision 2: Treat seller headline adjustments as proposals. Normalize owner compensation to evidenced market replacement cost, limit a settlement add-back to the net expense remaining after recorded reimbursement, and restore replacement compensation for documented vacancy months.</w:t>
      </w:r>
    </w:p>
    <w:p>
      <w:r>
        <w:t>Decision 3: Exclude buyer-controlled benefits with no target-period realization and facility savings without an executed reduction in the target's obligation.</w:t>
      </w:r>
    </w:p>
    <w:p>
      <w:r>
        <w:t>Decision 4: Reconcile the seller-adjusted case to supported normalized EBITDA and apply the working entry multiple to that EBITDA gap for the valuation implication.</w:t>
      </w:r>
    </w:p>
    <w:p>
      <w:r>
        <w:t>Decision 5: Keep residual risks separate from normalized EBITDA. Rank each risk by probability times EBITDA impact, aggregate the three distinct expected impacts, and deduct that aggregate only for the risk-adjusted IC diagnostic.</w:t>
      </w:r>
    </w:p>
    <w:p>
      <w:pPr>
        <w:pStyle w:val="Heading2"/>
      </w:pPr>
      <w:r>
        <w:t>BluePeak normalized working-capital peg</w:t>
      </w:r>
    </w:p>
    <w:p>
      <w:r>
        <w:t>Decision 1: Operating NWC includes undisputed trade receivables and inventory, less trade accounts payable, ordinary-course payroll and benefits accruals, warranty and service accruals, and customer deposits and deferred revenue.</w:t>
      </w:r>
    </w:p>
    <w:p>
      <w:r>
        <w:t>Decision 2: Exclude prepaid expenses, income-tax balances, intercompany balances, and disputed receivables from operating NWC. Treat seller transaction bonuses and capital expenditure accruals as debt-like and separately settled.</w:t>
      </w:r>
    </w:p>
    <w:p>
      <w:r>
        <w:t>Decision 3: Exclude December 2025 and January 2026 as documented seasonal-close distortions, then use the median of the remaining ten monthly NWC balances as the peg.</w:t>
      </w:r>
    </w:p>
    <w:p>
      <w:r>
        <w:t>Decision 4: The 250,000 dollar collar absorbs the first portion of a closing NWC shortfall. Only the excess reduces purchase price dollar for dollar.</w:t>
      </w:r>
    </w:p>
    <w:p>
      <w:r>
        <w:t>Decision 5: If signed customer acceptance is obtained before closing, the disputed change-order receivable qualifies as an undisputed trade receivable. Show that sensitivity and recommend obtaining the acceptance when it eliminates the purchase-price reduction.</w:t>
      </w:r>
    </w:p>
    <w:p>
      <w:pPr>
        <w:pStyle w:val="Heading2"/>
      </w:pPr>
      <w:r>
        <w:t>Northstar standalone DCF</w:t>
      </w:r>
    </w:p>
    <w:p>
      <w:r>
        <w:t>Decision 1: Forecast revenue and EBIT explicitly for five years; unlevered FCF equals NOPAT plus D&amp;A less capex and NWC investment.</w:t>
      </w:r>
    </w:p>
    <w:p>
      <w:r>
        <w:t>Decision 2: Calculate WACC from CAPM equity cost and after-tax debt cost at the stated debt weight.</w:t>
      </w:r>
    </w:p>
    <w:p>
      <w:r>
        <w:t>Decision 3: Use a Gordon-growth terminal value based on Year 5 FCF, discount it at Year 5, and subtract net debt for equity value.</w:t>
      </w:r>
    </w:p>
    <w:p>
      <w:pPr>
        <w:pStyle w:val="Heading2"/>
      </w:pPr>
      <w:r>
        <w:t>Horizon acquisition accretion model</w:t>
      </w:r>
    </w:p>
    <w:p>
      <w:r>
        <w:t>Decision 1: Calculate seller shares from equity consideration divided by issue price and include them in pro forma diluted shares.</w:t>
      </w:r>
    </w:p>
    <w:p>
      <w:r>
        <w:t>Decision 2: GAAP EPS includes incremental amortization and year-specific integration expense; adjusted EPS excludes both but retains new-debt interest and foregone interest on cash consideration.</w:t>
      </w:r>
    </w:p>
    <w:p>
      <w:r>
        <w:t>Decision 3: Apply tax after target EBIT, synergy, amortization, interest, and any GAAP integration expense, then compare pro forma EPS with buyer standalone EPS.</w:t>
      </w:r>
    </w:p>
    <w:p>
      <w:pPr>
        <w:pStyle w:val="Heading2"/>
      </w:pPr>
      <w:r>
        <w:t>Summit acquisition synergy breakeven</w:t>
      </w:r>
    </w:p>
    <w:p>
      <w:r>
        <w:t>Decision 1: Probability-weight only approved Year 2 cost initiatives; exclude the revenue-synergy cross-sell item and the unapproved pricing concept.</w:t>
      </w:r>
    </w:p>
    <w:p>
      <w:r>
        <w:t>Decision 2: Solve EPS breakeven from buyer standalone EPS, pro forma shares, target after-tax earnings, financing cost, and pre-tax synergy.</w:t>
      </w:r>
    </w:p>
    <w:p>
      <w:r>
        <w:t>Decision 3: Solve the constant annual pre-tax synergy required for the five-year equity cash flows to reach the IRR hurdle.</w:t>
      </w:r>
    </w:p>
    <w:p>
      <w:pPr>
        <w:pStyle w:val="Heading2"/>
      </w:pPr>
      <w:r>
        <w:t>Evergreen acquisition sources and uses</w:t>
      </w:r>
    </w:p>
    <w:p>
      <w:r>
        <w:t>Decision 1: Uses include equity purchase, target debt refinancing, transaction fees, and financing fees, less target cash delivered.</w:t>
      </w:r>
    </w:p>
    <w:p>
      <w:r>
        <w:t>Decision 2: Buyer cash is the lower of the board cash-use cap and cash above the minimum retained balance; fill remaining uses with term loan, revolver, then seller note.</w:t>
      </w:r>
    </w:p>
    <w:p>
      <w:r>
        <w:t>Decision 3: Pro forma funded debt includes opening buyer debt and every funded debt source, including the seller note.</w:t>
      </w:r>
    </w:p>
    <w:p>
      <w:pPr>
        <w:pStyle w:val="Heading2"/>
      </w:pPr>
      <w:r>
        <w:t>Atlas acquisition earnout valuation</w:t>
      </w:r>
    </w:p>
    <w:p>
      <w:r>
        <w:t>Decision 1: Probability-weight the mutually exclusive contractual payout scenarios; do not probability-weight the maximum separately.</w:t>
      </w:r>
    </w:p>
    <w:p>
      <w:r>
        <w:t>Decision 2: Discount the expected payout for the full two-year settlement period at the earnout discount rate.</w:t>
      </w:r>
    </w:p>
    <w:p>
      <w:r>
        <w:t>Decision 3: Probability of any payout excludes only the zero-payout scenario; sensitivity is based on fair-value change, not raw metric scale.</w:t>
      </w:r>
    </w:p>
    <w:p>
      <w:pPr>
        <w:pStyle w:val="Heading2"/>
      </w:pPr>
      <w:r>
        <w:t>Service division divestiture carve-out</w:t>
      </w:r>
    </w:p>
    <w:p>
      <w:r>
        <w:t>Decision 1: Rebuild reported segment EBITDA from the monthly carve-out P&amp;L, then apply each standalone cost or elimination with its documented sign.</w:t>
      </w:r>
    </w:p>
    <w:p>
      <w:r>
        <w:t>Decision 2: Apply the transaction multiple to standalone EBITDA, not reported segment EBITDA.</w:t>
      </w:r>
    </w:p>
    <w:p>
      <w:r>
        <w:t>Decision 3: Net cash proceeds deduct debt-like items and the separately identified stranded-cost remediation.</w:t>
      </w:r>
    </w:p>
    <w:p>
      <w:pPr>
        <w:pStyle w:val="Heading2"/>
      </w:pPr>
      <w:r>
        <w:t>Orion integration value-capture plan</w:t>
      </w:r>
    </w:p>
    <w:p>
      <w:r>
        <w:t>Decision 1: Probability-weight each initiative separately and phase it linearly to its own full-run-rate month.</w:t>
      </w:r>
    </w:p>
    <w:p>
      <w:r>
        <w:t>Decision 2: Net EBITDA benefit deducts the recurring baseline dis-synergy; integration cash cost remains a separate cash outflow.</w:t>
      </w:r>
    </w:p>
    <w:p>
      <w:r>
        <w:t>Decision 3: Calculate payback and NPV from the 24-month phased monthly value-capture schedule, not run-rate totals.</w:t>
      </w:r>
    </w:p>
    <w:p>
      <w:pPr>
        <w:pStyle w:val="Heading2"/>
      </w:pPr>
      <w:r>
        <w:t>Pioneer QoE and purchase-price bridge</w:t>
      </w:r>
    </w:p>
    <w:p>
      <w:r>
        <w:t>Decision 1: Build adjusted EBITDA only from diligence-supported recurring normalizations; exclude buyer synergies and unsupported banker forecast uplifts.</w:t>
      </w:r>
    </w:p>
    <w:p>
      <w:r>
        <w:t>Decision 2: The NWC peg is the median monthly AR plus inventory less AP over the approved lookback, not a revenue-day proxy.</w:t>
      </w:r>
    </w:p>
    <w:p>
      <w:r>
        <w:t>Decision 3: Treat closing NWC above the peg as a dollar-for-dollar increase in equity consideration under the purchase-price convention.</w:t>
      </w:r>
    </w:p>
    <w:p>
      <w:r>
        <w:t>Decision 4: Cash credit equals delivered cash above the minimum delivered balance. Seller-retained receivables are separate non-cash assets that receive zero credit; do not subtract them from cash. Include all identified funded-debt and debt-like items.</w:t>
      </w:r>
    </w:p>
    <w:p>
      <w:r>
        <w:t>Decision 5: Extend the QoE and purchase-price bridge through locked-box leakage, permitted leakage, escrow, contingent consideration, and closing funds flow.</w:t>
      </w:r>
    </w:p>
    <w:p>
      <w:r>
        <w:t>Decision 6: Unauthorized leakage reduces seller proceeds; permitted leakage is disclosed but does not adjust price. Earnout fair value is consideration but not closing cash, and escrow is withheld from cash paid at close.</w:t>
      </w:r>
    </w:p>
    <w:p>
      <w:r>
        <w:t>Decision 7: Report total debt and debt-like items as funded debt plus all debt-like settlements. Total-consideration enterprise value equals adjusted equity consideration plus earnout fair value plus total debt and debt-like items less usable cash; use that same basis for the EV / adjusted EBITDA multiple.</w:t>
      </w:r>
    </w:p>
    <w:p>
      <w:r>
        <w:t>Decision 8: Gross closing cash uses include direct seller cash, escrow, funded-debt payoff, debt-like settlements, and transaction expenses. Show usable target cash as a source, calculate the net buyer funding requirement, and include a formula-driven zero funds-flow check.</w:t>
      </w:r>
    </w:p>
    <w:p>
      <w:pPr>
        <w:pStyle w:val="Heading2"/>
      </w:pPr>
      <w:r>
        <w:t>Risk-adjusted synergy phasing and returns</w:t>
      </w:r>
    </w:p>
    <w:p>
      <w:r>
        <w:t>Decision 1: Probability-weight each synergy before applying annual phase-in and exclude cross-sell from the base under the IC policy.</w:t>
      </w:r>
    </w:p>
    <w:p>
      <w:r>
        <w:t>Decision 2: Apply tax to EBITDA benefits but not to the separately documented one-time implementation cash costs. Deduct the full one-time costs from Year 1 risk-adjusted after-tax synergy cash flow while also reporting them in `one_time_cash_costs`.</w:t>
      </w:r>
    </w:p>
    <w:p>
      <w:r>
        <w:t>Decision 3: Add year-three risk-adjusted recurring synergy value to standalone exit equity value at the approved exit multiple.</w:t>
      </w:r>
    </w:p>
    <w:p>
      <w:r>
        <w:t>Decision 4: Calculate return metrics from equity cash flows, not enterprise-value uplift alone, and test the IC hurdle explicitly.</w:t>
      </w:r>
    </w:p>
    <w:p>
      <w:r>
        <w:t>Decision 5: Build a separate IC downside using item-specific probability haircuts, a one-year delay for Back office, an additional integration cost, and a lower exit multiple.</w:t>
      </w:r>
    </w:p>
    <w:p>
      <w:r>
        <w:t>Decision 6: Calculate the downside five-year equity cash-flow series, IRR, NPV, exit value, and first cumulative-payback year; do not reuse base-case return metrics.</w:t>
      </w:r>
    </w:p>
    <w:p>
      <w:pPr>
        <w:pStyle w:val="Heading2"/>
      </w:pPr>
      <w:r>
        <w:t>Carve-out standalone, TSA, and stranded-cost analysis</w:t>
      </w:r>
    </w:p>
    <w:p>
      <w:r>
        <w:t>Decision 1: Remove historical parent allocations and replace them with independently estimated standalone run-rate costs by function.</w:t>
      </w:r>
    </w:p>
    <w:p>
      <w:r>
        <w:t>Decision 2: TSA fees use only the covered months, the standalone cost base, and the contractual markup; do not add a full-year duplicate cost.</w:t>
      </w:r>
    </w:p>
    <w:p>
      <w:r>
        <w:t>Decision 3: Keep seller stranded costs separate from buyer economics and probability-weight only the documented buyer cost takeout.</w:t>
      </w:r>
    </w:p>
    <w:p>
      <w:r>
        <w:t>Decision 4: Year-one cash flow replaces standalone costs with TSA fees during covered months, applies internal run-rate cost only after exit, and deducts one-time separation cash costs.</w:t>
      </w:r>
    </w:p>
    <w:p>
      <w:r>
        <w:t>Decision 5: Keep the original Year-1 TSA-fee output capped at twelve months. For the separate readiness analysis, model each TSA through the earlier of its full contractual term and its readiness month, including contractual terms beyond month 12, and charge the exit fee only when readiness ends the TSA before that full contractual term.</w:t>
      </w:r>
    </w:p>
    <w:p>
      <w:r>
        <w:t>Decision 6: Report readiness-based TSA fees and savings versus the full contractual TSA maximum across the complete transition, not versus the Year-1 TSA amount. Phase seller stranded-cost remediation separately.</w:t>
      </w:r>
    </w:p>
    <w:p>
      <w:r>
        <w:t>Decision 7: For buyer separation-cash recovery timing, model TSA savings only in the months actually avoided, pay each early-exit fee in its exit month, and spread the annual risk-adjusted buyer cost takeout evenly by month; do not annualize one-time TSA savings.</w:t>
      </w:r>
    </w:p>
    <w:p>
      <w:pPr>
        <w:pStyle w:val="Heading2"/>
      </w:pPr>
      <w:r>
        <w:t>Transaction-structure accretion and leverage</w:t>
      </w:r>
    </w:p>
    <w:p>
      <w:r>
        <w:t>Decision 1: Evaluate each documented funding mix independently; earnout fair value is purchase consideration but not closing cash funding.</w:t>
      </w:r>
    </w:p>
    <w:p>
      <w:r>
        <w:t>Decision 2: Deduct after-tax new-debt and seller-note interest plus after-tax foregone cash yield from combined earnings.</w:t>
      </w:r>
    </w:p>
    <w:p>
      <w:r>
        <w:t>Decision 3: Issue shares only for stated stock consideration and include them in the pro forma diluted denominator.</w:t>
      </w:r>
    </w:p>
    <w:p>
      <w:r>
        <w:t>Decision 4: A structure is actionable only if both minimum cash and closing leverage pass; recommend the most accretive feasible structure.</w:t>
      </w:r>
    </w:p>
    <w:p>
      <w:r>
        <w:t>Decision 5: The recommended consideration check is total cash, debt, stock, earnout fair value, and seller-note consideration minus the stated equity purchase price; report zero when the structure balances.</w:t>
      </w:r>
    </w:p>
    <w:p>
      <w:r>
        <w:t>Decision 6: Add structure-specific underwriting fees, existing funded debt, Year-1 amortization, and a downside target-income and EBITDA case before determining feasibility.</w:t>
      </w:r>
    </w:p>
    <w:p>
      <w:r>
        <w:t>Decision 7: A structure must pass closing cash, base leverage, end-of-Year-1 downside leverage, and Year-1 debt-service coverage. Use closing debt for base leverage, but reduce new debt by the scheduled Year-1 principal amortization before dividing by Year-1 downside covenant EBITDA. Report the recommended structure's all-in fees, downside EPS, downside leverage, and DSCR.</w:t>
      </w:r>
    </w:p>
    <w:p>
      <w:pPr>
        <w:pStyle w:val="Heading2"/>
      </w:pPr>
      <w:r>
        <w:t>Valuation triangulation and bid ceiling</w:t>
      </w:r>
    </w:p>
    <w:p>
      <w:r>
        <w:t>Decision 1: Use only comparability-approved peers and precedents, calculate medians, and keep trading revenue and EBITDA indications separate.</w:t>
      </w:r>
    </w:p>
    <w:p>
      <w:r>
        <w:t>Decision 2: Apply the four approved method weights to enterprise values; do not blend multiples before applying target metrics.</w:t>
      </w:r>
    </w:p>
    <w:p>
      <w:r>
        <w:t>Decision 3: Bridge enterprise to equity with target debt-like items and usable cash only.</w:t>
      </w:r>
    </w:p>
    <w:p>
      <w:r>
        <w:t>Decision 4: Derive the bid ceiling from the five-year equity IRR hurdle, then convert it back to an enterprise-value ceiling on the same bridge.</w:t>
      </w:r>
    </w:p>
    <w:p>
      <w:r>
        <w:t>Decision 5: Rebuild the DCF indication from annual unlevered cash flows, WACC, terminal growth, and the signed execution-risk deduction. The detailed DCF schedule controls over the carried headline if they differ.</w:t>
      </w:r>
    </w:p>
    <w:p>
      <w:r>
        <w:t>Decision 6: Use the rebuilt DCF in the weighted valuation, rebridge enterprise to equity and bid-ceiling headroom, and report the carried-value reconciliation difference explicitly.</w:t>
      </w:r>
    </w:p>
    <w:p>
      <w:pPr>
        <w:pStyle w:val="Heading2"/>
      </w:pPr>
      <w:r>
        <w:t>Pioneer financing and downside IC memo</w:t>
      </w:r>
    </w:p>
    <w:p>
      <w:r>
        <w:t>Decision 1: Fund purchase and transaction uses plus actual-funded financing fees in the approved source priority after the buyer cash contribution, without exceeding commitments; financing fees are separate closing uses and are not already included in the stated purchase-and-transaction-use amount.</w:t>
      </w:r>
    </w:p>
    <w:p>
      <w:r>
        <w:t>Decision 2: Calculate fees, interest, and principal on actual funded amounts rather than headline commitments.</w:t>
      </w:r>
    </w:p>
    <w:p>
      <w:r>
        <w:t>Decision 3: Gross leverage includes Vista ERP-posted existing Alder Ridge funded debt plus every acquisition source actually funded. Debt-service coverage uses the documented acquisition interest and principal only because no current-service schedule for existing notes is supplied; disclose that limitation.</w:t>
      </w:r>
    </w:p>
    <w:p>
      <w:r>
        <w:t>Decision 4: Test leverage, debt-service coverage, and minimum cash independently under both Base and Downside cases. Because financing fees are funded in the sources-and-uses waterfall, do not deduct them from ending cash a second time.</w:t>
      </w:r>
    </w:p>
    <w:p>
      <w:r>
        <w:t>Decision 5: The IC recommendation must identify any funding gap or downside covenant/liquidity failure and must not rely on uncommitted financing.</w:t>
      </w:r>
    </w:p>
    <w:p>
      <w:r>
        <w:t>Decision 6: Add the signed interest-rate sensitivity, Year-2 amortization, integration working-capital burn, and revolver backstop to the IC memorandum.</w:t>
      </w:r>
    </w:p>
    <w:p>
      <w:r>
        <w:t>Decision 7: For both Year 1 and Year 2, the annual amortization percent is the scheduled annual installment measured against each facility's original actual-funded closing principal, not a declining-balance percentage; cap each installment at the facility's remaining principal.</w:t>
      </w:r>
    </w:p>
    <w:p>
      <w:r>
        <w:t>Decision 8: Roll the stressed Downside cash case continuously: Year-2 opening cash equals stressed Downside Year-1 ending cash after the integration reserve, and Year-2 stressed interest is calculated on each facility's opening Year-2 principal after Year-1 scheduled amortization.</w:t>
      </w:r>
    </w:p>
    <w:p>
      <w:r>
        <w:t>Decision 9: Show stressed interest, stressed DSCR, Year-2 ending debt, minimum liquidity after the backstop, and remaining revolver commitment; the recommendation must condition approval on every funding and covenant gate.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Internal finance working paper | 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INVESTMENT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