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17D8E3" w14:textId="77777777" w:rsidR="00FA4B3F" w:rsidRDefault="00FA4B3F" w:rsidP="00FA4B3F">
      <w:pPr>
        <w:jc w:val="both"/>
        <w:rPr>
          <w:rFonts w:ascii="Times New Roman" w:eastAsia="Times New Roman" w:hAnsi="Times New Roman" w:cs="Times New Roman"/>
          <w:color w:val="0070C0"/>
          <w:sz w:val="144"/>
          <w:szCs w:val="144"/>
        </w:rPr>
      </w:pPr>
    </w:p>
    <w:p w14:paraId="5FCCE5FA" w14:textId="1856C0BE" w:rsidR="00FA4B3F" w:rsidRPr="00976834" w:rsidRDefault="00FA4B3F" w:rsidP="00FA4B3F">
      <w:pPr>
        <w:jc w:val="both"/>
        <w:rPr>
          <w:rFonts w:ascii="Times New Roman" w:eastAsia="Times New Roman" w:hAnsi="Times New Roman" w:cs="Times New Roman"/>
          <w:color w:val="0070C0"/>
          <w:sz w:val="144"/>
          <w:szCs w:val="144"/>
        </w:rPr>
      </w:pPr>
      <w:r w:rsidRPr="00976834">
        <w:rPr>
          <w:rFonts w:ascii="Times New Roman" w:eastAsia="Times New Roman" w:hAnsi="Times New Roman" w:cs="Times New Roman"/>
          <w:color w:val="0070C0"/>
          <w:sz w:val="144"/>
          <w:szCs w:val="144"/>
        </w:rPr>
        <w:t xml:space="preserve">Chapter </w:t>
      </w:r>
      <w:r>
        <w:rPr>
          <w:rFonts w:ascii="Times New Roman" w:eastAsia="Times New Roman" w:hAnsi="Times New Roman" w:cs="Times New Roman"/>
          <w:color w:val="0070C0"/>
          <w:sz w:val="144"/>
          <w:szCs w:val="144"/>
        </w:rPr>
        <w:t>2</w:t>
      </w:r>
    </w:p>
    <w:p w14:paraId="529F9E22" w14:textId="77777777" w:rsidR="00FA4B3F" w:rsidRDefault="00FA4B3F" w:rsidP="00FA4B3F">
      <w:pPr>
        <w:jc w:val="both"/>
        <w:rPr>
          <w:rFonts w:ascii="Times New Roman" w:eastAsia="Times New Roman" w:hAnsi="Times New Roman" w:cs="Times New Roman"/>
          <w:sz w:val="144"/>
          <w:szCs w:val="144"/>
        </w:rPr>
      </w:pPr>
    </w:p>
    <w:p w14:paraId="508250EC" w14:textId="25EA1812" w:rsidR="00FA4B3F" w:rsidRPr="00976834" w:rsidRDefault="00FA4B3F" w:rsidP="00FA4B3F">
      <w:pPr>
        <w:spacing w:line="360" w:lineRule="auto"/>
        <w:jc w:val="both"/>
        <w:rPr>
          <w:rFonts w:ascii="Times New Roman" w:eastAsia="Times New Roman" w:hAnsi="Times New Roman" w:cs="Times New Roman"/>
          <w:color w:val="002060"/>
          <w:sz w:val="56"/>
          <w:szCs w:val="56"/>
        </w:rPr>
      </w:pPr>
      <w:r>
        <w:rPr>
          <w:rFonts w:ascii="Times New Roman" w:eastAsia="Times New Roman" w:hAnsi="Times New Roman" w:cs="Times New Roman"/>
          <w:color w:val="002060"/>
          <w:sz w:val="56"/>
          <w:szCs w:val="56"/>
        </w:rPr>
        <w:t>General Methods</w:t>
      </w:r>
    </w:p>
    <w:p w14:paraId="32674E05" w14:textId="77777777" w:rsidR="00FA4B3F" w:rsidRPr="00215A72" w:rsidRDefault="00FA4B3F" w:rsidP="00FA4B3F">
      <w:pPr>
        <w:jc w:val="both"/>
        <w:rPr>
          <w:rFonts w:ascii="Times New Roman" w:eastAsia="Times New Roman" w:hAnsi="Times New Roman" w:cs="Times New Roman"/>
          <w:sz w:val="144"/>
          <w:szCs w:val="144"/>
        </w:rPr>
      </w:pPr>
      <w:r w:rsidRPr="006E7E3A">
        <w:rPr>
          <w:rFonts w:ascii="Times New Roman" w:eastAsia="Times New Roman" w:hAnsi="Times New Roman" w:cs="Times New Roman"/>
          <w:sz w:val="144"/>
          <w:szCs w:val="144"/>
        </w:rPr>
        <w:br w:type="page"/>
      </w:r>
    </w:p>
    <w:p w14:paraId="3EFC1647" w14:textId="20AA43DB" w:rsidR="00FA4B3F" w:rsidRDefault="00FA4B3F">
      <w:pPr>
        <w:rPr>
          <w:rFonts w:ascii="Times New Roman" w:hAnsi="Times New Roman" w:cs="Times New Roman"/>
          <w:sz w:val="24"/>
          <w:szCs w:val="24"/>
        </w:rPr>
      </w:pPr>
    </w:p>
    <w:p w14:paraId="47C211EB" w14:textId="5FCB03B8" w:rsidR="00000000" w:rsidRDefault="00230BED" w:rsidP="00FA4B3F">
      <w:pPr>
        <w:spacing w:line="360" w:lineRule="auto"/>
        <w:jc w:val="both"/>
        <w:rPr>
          <w:rFonts w:ascii="Times New Roman" w:hAnsi="Times New Roman" w:cs="Times New Roman"/>
          <w:sz w:val="24"/>
          <w:szCs w:val="24"/>
        </w:rPr>
      </w:pPr>
      <w:r>
        <w:rPr>
          <w:rFonts w:ascii="Times New Roman" w:hAnsi="Times New Roman" w:cs="Times New Roman"/>
          <w:sz w:val="24"/>
          <w:szCs w:val="24"/>
        </w:rPr>
        <w:t>General methodologies</w:t>
      </w:r>
    </w:p>
    <w:p w14:paraId="515495E3" w14:textId="4260B27B" w:rsidR="00230BED" w:rsidRDefault="00230BED" w:rsidP="00FA4B3F">
      <w:p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During the course of</w:t>
      </w:r>
      <w:proofErr w:type="gramEnd"/>
      <w:r>
        <w:rPr>
          <w:rFonts w:ascii="Times New Roman" w:hAnsi="Times New Roman" w:cs="Times New Roman"/>
          <w:sz w:val="24"/>
          <w:szCs w:val="24"/>
        </w:rPr>
        <w:t xml:space="preserve"> my </w:t>
      </w:r>
      <w:r w:rsidR="003B4C19">
        <w:rPr>
          <w:rFonts w:ascii="Times New Roman" w:hAnsi="Times New Roman" w:cs="Times New Roman"/>
          <w:sz w:val="24"/>
          <w:szCs w:val="24"/>
        </w:rPr>
        <w:t xml:space="preserve">thesis, various bioinformatic methodological approaches were shared and played integral roles in each subsequent chapter. These methodologies provide the basis </w:t>
      </w:r>
      <w:r w:rsidR="00471D90">
        <w:rPr>
          <w:rFonts w:ascii="Times New Roman" w:hAnsi="Times New Roman" w:cs="Times New Roman"/>
          <w:sz w:val="24"/>
          <w:szCs w:val="24"/>
        </w:rPr>
        <w:t xml:space="preserve">for my research and include genome assessment analyses, cluster-based analysis, </w:t>
      </w:r>
      <w:proofErr w:type="gramStart"/>
      <w:r w:rsidR="00471D90">
        <w:rPr>
          <w:rFonts w:ascii="Times New Roman" w:hAnsi="Times New Roman" w:cs="Times New Roman"/>
          <w:sz w:val="24"/>
          <w:szCs w:val="24"/>
        </w:rPr>
        <w:t>phylogenies</w:t>
      </w:r>
      <w:proofErr w:type="gramEnd"/>
      <w:r w:rsidR="00471D90">
        <w:rPr>
          <w:rFonts w:ascii="Times New Roman" w:hAnsi="Times New Roman" w:cs="Times New Roman"/>
          <w:sz w:val="24"/>
          <w:szCs w:val="24"/>
        </w:rPr>
        <w:t xml:space="preserve"> and gene-tree to species-tree reconciliations. Therefore, this chapter provides a comprehensive overview of the central methodologies, which will act as the shared common foundation for the next chapters.</w:t>
      </w:r>
    </w:p>
    <w:p w14:paraId="68953B15" w14:textId="77AE4381" w:rsidR="00471D90" w:rsidRDefault="00471D90" w:rsidP="00FA4B3F">
      <w:pPr>
        <w:spacing w:line="360" w:lineRule="auto"/>
        <w:jc w:val="both"/>
        <w:rPr>
          <w:rFonts w:ascii="Times New Roman" w:hAnsi="Times New Roman" w:cs="Times New Roman"/>
          <w:sz w:val="24"/>
          <w:szCs w:val="24"/>
        </w:rPr>
      </w:pPr>
      <w:r>
        <w:rPr>
          <w:rFonts w:ascii="Times New Roman" w:hAnsi="Times New Roman" w:cs="Times New Roman"/>
          <w:sz w:val="24"/>
          <w:szCs w:val="24"/>
        </w:rPr>
        <w:t>Data acquisition and BUSCO analyses.</w:t>
      </w:r>
    </w:p>
    <w:p w14:paraId="5B7CDEF6" w14:textId="4B483926" w:rsidR="00471D90" w:rsidRDefault="000F496C" w:rsidP="00FA4B3F">
      <w:pPr>
        <w:spacing w:line="360" w:lineRule="auto"/>
        <w:jc w:val="both"/>
        <w:rPr>
          <w:rFonts w:ascii="Times New Roman" w:hAnsi="Times New Roman" w:cs="Times New Roman"/>
          <w:sz w:val="24"/>
          <w:szCs w:val="24"/>
        </w:rPr>
      </w:pPr>
      <w:r>
        <w:rPr>
          <w:rFonts w:ascii="Times New Roman" w:hAnsi="Times New Roman" w:cs="Times New Roman"/>
          <w:sz w:val="24"/>
          <w:szCs w:val="24"/>
        </w:rPr>
        <w:t>The comparative analysis of systems and signalling pathways in different organisms requires of the examination of genomes and predicted proteomes across diverse species. Thus, acquiring high-quality data from different sources and different species was one of the initial steps in my research. For this, I obtained large databases including (</w:t>
      </w:r>
      <w:r w:rsidR="00284512">
        <w:rPr>
          <w:rFonts w:ascii="Times New Roman" w:hAnsi="Times New Roman" w:cs="Times New Roman"/>
          <w:sz w:val="24"/>
          <w:szCs w:val="24"/>
        </w:rPr>
        <w:t>how many species I have in my case, describe datasets and how they were obtained).</w:t>
      </w:r>
    </w:p>
    <w:p w14:paraId="28561435" w14:textId="6FB2E42E" w:rsidR="00284512" w:rsidRDefault="00284512" w:rsidP="00FA4B3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quality of a genome, transcriptome or predicted proteome sequence can significantly impact the outcomes and reliability of subsequent </w:t>
      </w:r>
      <w:r w:rsidR="00292653">
        <w:rPr>
          <w:rFonts w:ascii="Times New Roman" w:hAnsi="Times New Roman" w:cs="Times New Roman"/>
          <w:sz w:val="24"/>
          <w:szCs w:val="24"/>
        </w:rPr>
        <w:t xml:space="preserve">bioinformatic analyses. High-quality genomes, which are characterised by high levels of completeness and accuracy offer a more accurate representation of an organism’s </w:t>
      </w:r>
      <w:r w:rsidR="00FD1871">
        <w:rPr>
          <w:rFonts w:ascii="Times New Roman" w:hAnsi="Times New Roman" w:cs="Times New Roman"/>
          <w:sz w:val="24"/>
          <w:szCs w:val="24"/>
        </w:rPr>
        <w:t xml:space="preserve">genetic blueprint. This is critical for identifying and annotating genes correctly, mapping transcripts, and predicting protein sequences </w:t>
      </w:r>
      <w:r w:rsidR="006707E0">
        <w:rPr>
          <w:rFonts w:ascii="Times New Roman" w:hAnsi="Times New Roman" w:cs="Times New Roman"/>
          <w:sz w:val="24"/>
          <w:szCs w:val="24"/>
        </w:rPr>
        <w:fldChar w:fldCharType="begin"/>
      </w:r>
      <w:r w:rsidR="006707E0">
        <w:rPr>
          <w:rFonts w:ascii="Times New Roman" w:hAnsi="Times New Roman" w:cs="Times New Roman"/>
          <w:sz w:val="24"/>
          <w:szCs w:val="24"/>
        </w:rPr>
        <w:instrText xml:space="preserve"> ADDIN ZOTERO_ITEM CSL_CITATION {"citationID":"QXVYABa5","properties":{"formattedCitation":"(Simakov et al. 2022)","plainCitation":"(Simakov et al. 2022)","noteIndex":0},"citationItems":[{"id":1289,"uris":["http://zotero.org/users/8176000/items/MKHHW66C"],"itemData":{"id":1289,"type":"article-journal","abstract":"Animal genomes show networks of deeply conserved gene linkages whose phylogenetic scope and chromosomal context remain unclear. Here, we report chromosome-scale conservation of synteny among bilaterians, cnidarians, and sponges and use comparative analysis to reconstruct ancestral chromosomes across major animal groups. Comparisons among diverse metazoans reveal the processes of chromosome evolution that produced contemporary karyotypes from their Precambrian progenitors. On the basis of these findings, we introduce a simple algebraic representation of chromosomal change and use it to establish a unified systematic framework for metazoan chromosome evolution. We find that fusion-with-mixing, a previously unappreciated mode of chromosome change, has played a central role. We find that relicts of several metazoan chromosomal units are preserved in unicellular eukaryotes. These conserved pre-metazoan linkages include the chromosomal unit that encodes the most diverse set of metazoan homeobox genes, suggesting a candidate genomic context for the early diversification of this key gene family.","container-title":"Science Advances","DOI":"10.1126/sciadv.abi5884","issue":"5","note":"publisher: American Association for the Advancement of Science","page":"eabi5884","source":"science.org (Atypon)","title":"Deeply conserved synteny and the evolution of metazoan chromosomes","volume":"8","author":[{"family":"Simakov","given":"Oleg"},{"family":"Bredeson","given":"Jessen"},{"family":"Berkoff","given":"Kodiak"},{"family":"Marletaz","given":"Ferdinand"},{"family":"Mitros","given":"Therese"},{"family":"Schultz","given":"Darrin T."},{"family":"O’Connell","given":"Brendan L."},{"family":"Dear","given":"Paul"},{"family":"Martinez","given":"Daniel E."},{"family":"Steele","given":"Robert E."},{"family":"Green","given":"Richard E."},{"family":"David","given":"Charles N."},{"family":"Rokhsar","given":"Daniel S."}],"issued":{"date-parts":[["2022",2,2]]}}}],"schema":"https://github.com/citation-style-language/schema/raw/master/csl-citation.json"} </w:instrText>
      </w:r>
      <w:r w:rsidR="006707E0">
        <w:rPr>
          <w:rFonts w:ascii="Times New Roman" w:hAnsi="Times New Roman" w:cs="Times New Roman"/>
          <w:sz w:val="24"/>
          <w:szCs w:val="24"/>
        </w:rPr>
        <w:fldChar w:fldCharType="separate"/>
      </w:r>
      <w:r w:rsidR="006707E0" w:rsidRPr="006707E0">
        <w:rPr>
          <w:rFonts w:ascii="Times New Roman" w:hAnsi="Times New Roman" w:cs="Times New Roman"/>
          <w:sz w:val="24"/>
        </w:rPr>
        <w:t>(</w:t>
      </w:r>
      <w:proofErr w:type="spellStart"/>
      <w:r w:rsidR="006707E0" w:rsidRPr="006707E0">
        <w:rPr>
          <w:rFonts w:ascii="Times New Roman" w:hAnsi="Times New Roman" w:cs="Times New Roman"/>
          <w:sz w:val="24"/>
        </w:rPr>
        <w:t>Simakov</w:t>
      </w:r>
      <w:proofErr w:type="spellEnd"/>
      <w:r w:rsidR="006707E0" w:rsidRPr="006707E0">
        <w:rPr>
          <w:rFonts w:ascii="Times New Roman" w:hAnsi="Times New Roman" w:cs="Times New Roman"/>
          <w:sz w:val="24"/>
        </w:rPr>
        <w:t xml:space="preserve"> et al. 2022)</w:t>
      </w:r>
      <w:r w:rsidR="006707E0">
        <w:rPr>
          <w:rFonts w:ascii="Times New Roman" w:hAnsi="Times New Roman" w:cs="Times New Roman"/>
          <w:sz w:val="24"/>
          <w:szCs w:val="24"/>
        </w:rPr>
        <w:fldChar w:fldCharType="end"/>
      </w:r>
      <w:r w:rsidR="009D2868">
        <w:rPr>
          <w:rFonts w:ascii="Times New Roman" w:hAnsi="Times New Roman" w:cs="Times New Roman"/>
          <w:sz w:val="24"/>
          <w:szCs w:val="24"/>
        </w:rPr>
        <w:t xml:space="preserve">. </w:t>
      </w:r>
      <w:r w:rsidR="004D2FB4">
        <w:rPr>
          <w:rFonts w:ascii="Times New Roman" w:hAnsi="Times New Roman" w:cs="Times New Roman"/>
          <w:sz w:val="24"/>
          <w:szCs w:val="24"/>
        </w:rPr>
        <w:t xml:space="preserve">Errors, contamination or ambiguities in the sequence can lead to false or missed identifications, impacting downstream analyses </w:t>
      </w:r>
      <w:r w:rsidR="00580DEB">
        <w:rPr>
          <w:rFonts w:ascii="Times New Roman" w:hAnsi="Times New Roman" w:cs="Times New Roman"/>
          <w:sz w:val="24"/>
          <w:szCs w:val="24"/>
        </w:rPr>
        <w:fldChar w:fldCharType="begin"/>
      </w:r>
      <w:r w:rsidR="00295C2C">
        <w:rPr>
          <w:rFonts w:ascii="Times New Roman" w:hAnsi="Times New Roman" w:cs="Times New Roman"/>
          <w:sz w:val="24"/>
          <w:szCs w:val="24"/>
        </w:rPr>
        <w:instrText xml:space="preserve"> ADDIN ZOTERO_ITEM CSL_CITATION {"citationID":"3mY1HcvN","properties":{"formattedCitation":"(Simion et al. 2018; Waterhouse et al. 2018; Manni et al. 2021; Simakov et al. 2022)","plainCitation":"(Simion et al. 2018; Waterhouse et al. 2018; Manni et al. 2021; Simakov et al. 2022)","noteIndex":0},"citationItems":[{"id":1291,"uris":["http://zotero.org/users/8176000/items/Y5M5ERWY"],"itemData":{"id":1291,"type":"article-journal","abstract":"Multiple RNA samples are frequently processed together and often mixed before multiplex sequencing in the same sequencing run. While different samples can be separated post sequencing using sample barcodes, the possibility of cross contamination between biological samples from different species that have been processed or sequenced in parallel has the potential to be extremely deleterious for downstream analyses.","container-title":"BMC Biology","DOI":"10.1186/s12915-018-0486-7","ISSN":"1741-7007","issue":"1","journalAbbreviation":"BMC Biology","page":"28","source":"BioMed Central","title":"A software tool ‘CroCo’ detects pervasive cross-species contamination in next generation sequencing data","volume":"16","author":[{"family":"Simion","given":"Paul"},{"family":"Belkhir","given":"Khalid"},{"family":"François","given":"Clémentine"},{"family":"Veyssier","given":"Julien"},{"family":"Rink","given":"Jochen C."},{"family":"Manuel","given":"Michaël"},{"family":"Philippe","given":"Hervé"},{"family":"Telford","given":"Maximilian J."}],"issued":{"date-parts":[["2018",3,5]]}}},{"id":405,"uris":["http://zotero.org/users/8176000/items/LHGHFDF5"],"itemData":{"id":405,"type":"article-journal","abstract":"Genomics promises comprehensive surveying of genomes and metagenomes, but rapidly changing technologies and expanding data volumes make evaluation of completeness a challenging task. Technical sequencing quality metrics can be complemented by quantifying completeness of genomic data sets in terms of the expected gene content of Benchmarking Universal Single-Copy Orthologs (BUSCO, http://busco.ezlab.org). The latest software release implements a complete refactoring of the code to make it more flexible and extendable to facilitate high-throughput assessments. The original six lineage assessment data sets have been updated with improved species sampling, 34 new subsets have been built for vertebrates, arthropods, fungi, and prokaryotes that greatly enhance resolution, and data sets are now also available for nematodes, protists, and plants. Here, we present BUSCO v3 with example analyses that highlight the wide-ranging utility of BUSCO assessments, which extend beyond quality control of genomics data sets to applications in comparative genomics analyses, gene predictor training, metagenomics, and phylogenomics.","container-title":"Molecular Biology and Evolution","DOI":"10.1093/molbev/msx319","ISSN":"1537-1719","issue":"3","journalAbbreviation":"Mol Biol Evol","language":"eng","note":"PMID: 29220515\nPMCID: PMC5850278","page":"543-548","source":"PubMed","title":"BUSCO Applications from Quality Assessments to Gene Prediction and Phylogenomics","volume":"35","author":[{"family":"Waterhouse","given":"Robert M."},{"family":"Seppey","given":"Mathieu"},{"family":"Simão","given":"Felipe A."},{"family":"Manni","given":"Mosè"},{"family":"Ioannidis","given":"Panagiotis"},{"family":"Klioutchnikov","given":"Guennadi"},{"family":"Kriventseva","given":"Evgenia V."},{"family":"Zdobnov","given":"Evgeny M."}],"issued":{"date-parts":[["2018",3,1]]}}},{"id":1290,"uris":["http://zotero.org/users/8176000/items/MTSFIT42"],"itemData":{"id":1290,"type":"article-journal","abstract":"Evaluation of the quality of genomic “data products” such as genome assemblies or gene sets is of critical importance in order to recognize possible issues and correct them during the generation of new data. It is equally essential to guide subsequent or comparative analyses with existing data, as the correct interpretation of the results necessarily requires knowledge about the quality level and reliability of the inputs. Using datasets of near universal single-copy orthologs derived from OrthoDB, BUSCO can estimate the completeness and redundancy of genomic data by providing biologically meaningful metrics based on expected gene content. These can complement technical metrics such as contiguity measures (e.g., number of contigs/scaffolds, and N50 values). Here, we describe the use of the BUSCO tool suite to assess different data types that can range from genome assemblies of single isolates and assembled transcriptomes and annotated gene sets to metagenome-assembled genomes where the taxonomic origin of the species is unknown. BUSCO is the only tool capable of assessing all these types of sequences from both eukaryotic and prokaryotic species. The protocols detail the various BUSCO running modes and the novel workflows introduced in versions 4 and 5, including the batch analysis on multiple inputs, the auto-lineage workflow to run assessments without specifying a dataset, and a workflow for the evaluation of (large) eukaryotic genomes. The protocols further cover the BUSCO setup, guidelines to interpret the results, and BUSCO “plugin” workflows for performing common operations in genomics using BUSCO results, such as building phylogenomic trees and visualizing syntenies. © 2021 The Authors. Current Protocols published by Wiley Periodicals LLC. [Correction added on May 16, 2022, after first online publication: CSAL funding statement has been added.] Basic Protocol 1: Assessing an input sequence with a BUSCO dataset specified manually Basic Protocol 2: Assessing an input sequence with a dataset automatically selected by BUSCO Basic Protocol 3: Assessing multiple inputs Alternate Protocol: Decreasing analysis runtime when assessing a large number of small genomes with BUSCO auto-lineage workflow and Snakemake Support Protocol 1: BUSCO setup Support Protocol 2: Visualizing BUSCO results Support Protocol 3: Building phylogenomic trees","container-title":"Current Protocols","DOI":"10.1002/cpz1.323","ISSN":"2691-1299","issue":"12","language":"en","license":"© 2021 The Authors. Current Protocols published by Wiley Periodicals LLC.","note":"_eprint: https://onlinelibrary.wiley.com/doi/pdf/10.1002/cpz1.323","page":"e323","source":"Wiley Online Library","title":"BUSCO: Assessing Genomic Data Quality and Beyond","title-short":"BUSCO","volume":"1","author":[{"family":"Manni","given":"Mosè"},{"family":"Berkeley","given":"Matthew R."},{"family":"Seppey","given":"Mathieu"},{"family":"Zdobnov","given":"Evgeny M."}],"issued":{"date-parts":[["2021"]]}}},{"id":1289,"uris":["http://zotero.org/users/8176000/items/MKHHW66C"],"itemData":{"id":1289,"type":"article-journal","abstract":"Animal genomes show networks of deeply conserved gene linkages whose phylogenetic scope and chromosomal context remain unclear. Here, we report chromosome-scale conservation of synteny among bilaterians, cnidarians, and sponges and use comparative analysis to reconstruct ancestral chromosomes across major animal groups. Comparisons among diverse metazoans reveal the processes of chromosome evolution that produced contemporary karyotypes from their Precambrian progenitors. On the basis of these findings, we introduce a simple algebraic representation of chromosomal change and use it to establish a unified systematic framework for metazoan chromosome evolution. We find that fusion-with-mixing, a previously unappreciated mode of chromosome change, has played a central role. We find that relicts of several metazoan chromosomal units are preserved in unicellular eukaryotes. These conserved pre-metazoan linkages include the chromosomal unit that encodes the most diverse set of metazoan homeobox genes, suggesting a candidate genomic context for the early diversification of this key gene family.","container-title":"Science Advances","DOI":"10.1126/sciadv.abi5884","issue":"5","note":"publisher: American Association for the Advancement of Science","page":"eabi5884","source":"science.org (Atypon)","title":"Deeply conserved synteny and the evolution of metazoan chromosomes","volume":"8","author":[{"family":"Simakov","given":"Oleg"},{"family":"Bredeson","given":"Jessen"},{"family":"Berkoff","given":"Kodiak"},{"family":"Marletaz","given":"Ferdinand"},{"family":"Mitros","given":"Therese"},{"family":"Schultz","given":"Darrin T."},{"family":"O’Connell","given":"Brendan L."},{"family":"Dear","given":"Paul"},{"family":"Martinez","given":"Daniel E."},{"family":"Steele","given":"Robert E."},{"family":"Green","given":"Richard E."},{"family":"David","given":"Charles N."},{"family":"Rokhsar","given":"Daniel S."}],"issued":{"date-parts":[["2022",2,2]]}}}],"schema":"https://github.com/citation-style-language/schema/raw/master/csl-citation.json"} </w:instrText>
      </w:r>
      <w:r w:rsidR="00580DEB">
        <w:rPr>
          <w:rFonts w:ascii="Times New Roman" w:hAnsi="Times New Roman" w:cs="Times New Roman"/>
          <w:sz w:val="24"/>
          <w:szCs w:val="24"/>
        </w:rPr>
        <w:fldChar w:fldCharType="separate"/>
      </w:r>
      <w:r w:rsidR="00295C2C" w:rsidRPr="00295C2C">
        <w:rPr>
          <w:rFonts w:ascii="Times New Roman" w:hAnsi="Times New Roman" w:cs="Times New Roman"/>
          <w:sz w:val="24"/>
        </w:rPr>
        <w:t xml:space="preserve">(Simion et al. 2018; Waterhouse et al. 2018; Manni et al. 2021; </w:t>
      </w:r>
      <w:proofErr w:type="spellStart"/>
      <w:r w:rsidR="00295C2C" w:rsidRPr="00295C2C">
        <w:rPr>
          <w:rFonts w:ascii="Times New Roman" w:hAnsi="Times New Roman" w:cs="Times New Roman"/>
          <w:sz w:val="24"/>
        </w:rPr>
        <w:t>Simakov</w:t>
      </w:r>
      <w:proofErr w:type="spellEnd"/>
      <w:r w:rsidR="00295C2C" w:rsidRPr="00295C2C">
        <w:rPr>
          <w:rFonts w:ascii="Times New Roman" w:hAnsi="Times New Roman" w:cs="Times New Roman"/>
          <w:sz w:val="24"/>
        </w:rPr>
        <w:t xml:space="preserve"> et al. 2022)</w:t>
      </w:r>
      <w:r w:rsidR="00580DEB">
        <w:rPr>
          <w:rFonts w:ascii="Times New Roman" w:hAnsi="Times New Roman" w:cs="Times New Roman"/>
          <w:sz w:val="24"/>
          <w:szCs w:val="24"/>
        </w:rPr>
        <w:fldChar w:fldCharType="end"/>
      </w:r>
      <w:r w:rsidR="00295C2C">
        <w:rPr>
          <w:rFonts w:ascii="Times New Roman" w:hAnsi="Times New Roman" w:cs="Times New Roman"/>
          <w:sz w:val="24"/>
          <w:szCs w:val="24"/>
        </w:rPr>
        <w:t>.</w:t>
      </w:r>
    </w:p>
    <w:p w14:paraId="432B0772" w14:textId="3BFABF2F" w:rsidR="00295C2C" w:rsidRDefault="00295C2C" w:rsidP="00FA4B3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To approach this, I made the analysis of my previously obtained database with the BUSCO (Benchmarking Universal Single-Copy Orthologs), this tool played an instrumental role in assessing the quality and completeness of the genomic, transcriptomic, and predicted proteome data that I employed. BUSCO is known for its ability to evaluate the integrity of these datasets, facilitating the identification and measurement of single-copy orthologs that are universally present across diverse species </w:t>
      </w:r>
      <w:r w:rsidR="00AD21D0">
        <w:rPr>
          <w:rFonts w:ascii="Times New Roman" w:hAnsi="Times New Roman" w:cs="Times New Roman"/>
          <w:sz w:val="24"/>
          <w:szCs w:val="24"/>
        </w:rPr>
        <w:fldChar w:fldCharType="begin"/>
      </w:r>
      <w:r w:rsidR="00AD21D0">
        <w:rPr>
          <w:rFonts w:ascii="Times New Roman" w:hAnsi="Times New Roman" w:cs="Times New Roman"/>
          <w:sz w:val="24"/>
          <w:szCs w:val="24"/>
        </w:rPr>
        <w:instrText xml:space="preserve"> ADDIN ZOTERO_ITEM CSL_CITATION {"citationID":"fazsH7RL","properties":{"formattedCitation":"(Waterhouse et al. 2018; Manni et al. 2021)","plainCitation":"(Waterhouse et al. 2018; Manni et al. 2021)","noteIndex":0},"citationItems":[{"id":405,"uris":["http://zotero.org/users/8176000/items/LHGHFDF5"],"itemData":{"id":405,"type":"article-journal","abstract":"Genomics promises comprehensive surveying of genomes and metagenomes, but rapidly changing technologies and expanding data volumes make evaluation of completeness a challenging task. Technical sequencing quality metrics can be complemented by quantifying completeness of genomic data sets in terms of the expected gene content of Benchmarking Universal Single-Copy Orthologs (BUSCO, http://busco.ezlab.org). The latest software release implements a complete refactoring of the code to make it more flexible and extendable to facilitate high-throughput assessments. The original six lineage assessment data sets have been updated with improved species sampling, 34 new subsets have been built for vertebrates, arthropods, fungi, and prokaryotes that greatly enhance resolution, and data sets are now also available for nematodes, protists, and plants. Here, we present BUSCO v3 with example analyses that highlight the wide-ranging utility of BUSCO assessments, which extend beyond quality control of genomics data sets to applications in comparative genomics analyses, gene predictor training, metagenomics, and phylogenomics.","container-title":"Molecular Biology and Evolution","DOI":"10.1093/molbev/msx319","ISSN":"1537-1719","issue":"3","journalAbbreviation":"Mol Biol Evol","language":"eng","note":"PMID: 29220515\nPMCID: PMC5850278","page":"543-548","source":"PubMed","title":"BUSCO Applications from Quality Assessments to Gene Prediction and Phylogenomics","volume":"35","author":[{"family":"Waterhouse","given":"Robert M."},{"family":"Seppey","given":"Mathieu"},{"family":"Simão","given":"Felipe A."},{"family":"Manni","given":"Mosè"},{"family":"Ioannidis","given":"Panagiotis"},{"family":"Klioutchnikov","given":"Guennadi"},{"family":"Kriventseva","given":"Evgenia V."},{"family":"Zdobnov","given":"Evgeny M."}],"issued":{"date-parts":[["2018",3,1]]}}},{"id":1290,"uris":["http://zotero.org/users/8176000/items/MTSFIT42"],"itemData":{"id":1290,"type":"article-journal","abstract":"Evaluation of the quality of genomic “data products” such as genome assemblies or gene sets is of critical importance in order to recognize possible issues and correct them during the generation of new data. It is equally essential to guide subsequent or comparative analyses with existing data, as the correct interpretation of the results necessarily requires knowledge about the quality level and reliability of the inputs. Using datasets of near universal single-copy orthologs derived from OrthoDB, BUSCO can estimate the completeness and redundancy of genomic data by providing biologically meaningful metrics based on expected gene content. These can complement technical metrics such as contiguity measures (e.g., number of contigs/scaffolds, and N50 values). Here, we describe the use of the BUSCO tool suite to assess different data types that can range from genome assemblies of single isolates and assembled transcriptomes and annotated gene sets to metagenome-assembled genomes where the taxonomic origin of the species is unknown. BUSCO is the only tool capable of assessing all these types of sequences from both eukaryotic and prokaryotic species. The protocols detail the various BUSCO running modes and the novel workflows introduced in versions 4 and 5, including the batch analysis on multiple inputs, the auto-lineage workflow to run assessments without specifying a dataset, and a workflow for the evaluation of (large) eukaryotic genomes. The protocols further cover the BUSCO setup, guidelines to interpret the results, and BUSCO “plugin” workflows for performing common operations in genomics using BUSCO results, such as building phylogenomic trees and visualizing syntenies. © 2021 The Authors. Current Protocols published by Wiley Periodicals LLC. [Correction added on May 16, 2022, after first online publication: CSAL funding statement has been added.] Basic Protocol 1: Assessing an input sequence with a BUSCO dataset specified manually Basic Protocol 2: Assessing an input sequence with a dataset automatically selected by BUSCO Basic Protocol 3: Assessing multiple inputs Alternate Protocol: Decreasing analysis runtime when assessing a large number of small genomes with BUSCO auto-lineage workflow and Snakemake Support Protocol 1: BUSCO setup Support Protocol 2: Visualizing BUSCO results Support Protocol 3: Building phylogenomic trees","container-title":"Current Protocols","DOI":"10.1002/cpz1.323","ISSN":"2691-1299","issue":"12","language":"en","license":"© 2021 The Authors. Current Protocols published by Wiley Periodicals LLC.","note":"_eprint: https://onlinelibrary.wiley.com/doi/pdf/10.1002/cpz1.323","page":"e323","source":"Wiley Online Library","title":"BUSCO: Assessing Genomic Data Quality and Beyond","title-short":"BUSCO","volume":"1","author":[{"family":"Manni","given":"Mosè"},{"family":"Berkeley","given":"Matthew R."},{"family":"Seppey","given":"Mathieu"},{"family":"Zdobnov","given":"Evgeny M."}],"issued":{"date-parts":[["2021"]]}}}],"schema":"https://github.com/citation-style-language/schema/raw/master/csl-citation.json"} </w:instrText>
      </w:r>
      <w:r w:rsidR="00AD21D0">
        <w:rPr>
          <w:rFonts w:ascii="Times New Roman" w:hAnsi="Times New Roman" w:cs="Times New Roman"/>
          <w:sz w:val="24"/>
          <w:szCs w:val="24"/>
        </w:rPr>
        <w:fldChar w:fldCharType="separate"/>
      </w:r>
      <w:r w:rsidR="00AD21D0" w:rsidRPr="00AD21D0">
        <w:rPr>
          <w:rFonts w:ascii="Times New Roman" w:hAnsi="Times New Roman" w:cs="Times New Roman"/>
          <w:sz w:val="24"/>
        </w:rPr>
        <w:t>(Waterhouse et al. 2018; Manni et al. 2021)</w:t>
      </w:r>
      <w:r w:rsidR="00AD21D0">
        <w:rPr>
          <w:rFonts w:ascii="Times New Roman" w:hAnsi="Times New Roman" w:cs="Times New Roman"/>
          <w:sz w:val="24"/>
          <w:szCs w:val="24"/>
        </w:rPr>
        <w:fldChar w:fldCharType="end"/>
      </w:r>
      <w:r w:rsidR="00AD21D0">
        <w:rPr>
          <w:rFonts w:ascii="Times New Roman" w:hAnsi="Times New Roman" w:cs="Times New Roman"/>
          <w:sz w:val="24"/>
          <w:szCs w:val="24"/>
        </w:rPr>
        <w:t>.</w:t>
      </w:r>
      <w:r w:rsidR="0061690D">
        <w:rPr>
          <w:rFonts w:ascii="Times New Roman" w:hAnsi="Times New Roman" w:cs="Times New Roman"/>
          <w:sz w:val="24"/>
          <w:szCs w:val="24"/>
        </w:rPr>
        <w:t xml:space="preserve"> In summary: BUSCO provides quantitative measures of the completeness of a dataset in terms of expected gene content. It assesses the number of complete BUSCOs (those found in their entirety), </w:t>
      </w:r>
      <w:r w:rsidR="00D15C9E">
        <w:rPr>
          <w:rFonts w:ascii="Times New Roman" w:hAnsi="Times New Roman" w:cs="Times New Roman"/>
          <w:sz w:val="24"/>
          <w:szCs w:val="24"/>
        </w:rPr>
        <w:t xml:space="preserve">fragmented BUSCOs (only a piece of them is identified), missing BUSCOs (not identified), and duplicated </w:t>
      </w:r>
      <w:r w:rsidR="00D15C9E">
        <w:rPr>
          <w:rFonts w:ascii="Times New Roman" w:hAnsi="Times New Roman" w:cs="Times New Roman"/>
          <w:sz w:val="24"/>
          <w:szCs w:val="24"/>
        </w:rPr>
        <w:lastRenderedPageBreak/>
        <w:t xml:space="preserve">BUSCOs (found more than once). The BUSCO tool achieves this by </w:t>
      </w:r>
      <w:r w:rsidR="00666B31">
        <w:rPr>
          <w:rFonts w:ascii="Times New Roman" w:hAnsi="Times New Roman" w:cs="Times New Roman"/>
          <w:sz w:val="24"/>
          <w:szCs w:val="24"/>
        </w:rPr>
        <w:t>searching the dataset with a set of lineage-specific profiles. These profiles are built using hidden Markov models (HMMs), which are statistical</w:t>
      </w:r>
      <w:r w:rsidR="00EE0A75">
        <w:rPr>
          <w:rFonts w:ascii="Times New Roman" w:hAnsi="Times New Roman" w:cs="Times New Roman"/>
          <w:sz w:val="24"/>
          <w:szCs w:val="24"/>
        </w:rPr>
        <w:t xml:space="preserve"> models that </w:t>
      </w:r>
      <w:proofErr w:type="gramStart"/>
      <w:r w:rsidR="00EE0A75">
        <w:rPr>
          <w:rFonts w:ascii="Times New Roman" w:hAnsi="Times New Roman" w:cs="Times New Roman"/>
          <w:sz w:val="24"/>
          <w:szCs w:val="24"/>
        </w:rPr>
        <w:t>are able to</w:t>
      </w:r>
      <w:proofErr w:type="gramEnd"/>
      <w:r w:rsidR="00EE0A75">
        <w:rPr>
          <w:rFonts w:ascii="Times New Roman" w:hAnsi="Times New Roman" w:cs="Times New Roman"/>
          <w:sz w:val="24"/>
          <w:szCs w:val="24"/>
        </w:rPr>
        <w:t xml:space="preserve"> capture the patterns in a set of sequences. In this case, the sequences are protein sequences from a set of “</w:t>
      </w:r>
      <w:proofErr w:type="spellStart"/>
      <w:r w:rsidR="00EE0A75">
        <w:rPr>
          <w:rFonts w:ascii="Times New Roman" w:hAnsi="Times New Roman" w:cs="Times New Roman"/>
          <w:sz w:val="24"/>
          <w:szCs w:val="24"/>
        </w:rPr>
        <w:t>benchmariking</w:t>
      </w:r>
      <w:proofErr w:type="spellEnd"/>
      <w:r w:rsidR="00EE0A75">
        <w:rPr>
          <w:rFonts w:ascii="Times New Roman" w:hAnsi="Times New Roman" w:cs="Times New Roman"/>
          <w:sz w:val="24"/>
          <w:szCs w:val="24"/>
        </w:rPr>
        <w:t xml:space="preserve"> universal single-copy orthologs” – genes that are expected to be found in a single copy in every species of the group under consideration. The choice of lineage will depend on the organism under study. BUSCO results are straightforward to interpret</w:t>
      </w:r>
      <w:r w:rsidR="00AF7ECA">
        <w:rPr>
          <w:rFonts w:ascii="Times New Roman" w:hAnsi="Times New Roman" w:cs="Times New Roman"/>
          <w:sz w:val="24"/>
          <w:szCs w:val="24"/>
        </w:rPr>
        <w:t xml:space="preserve"> and give a good sense of the quality and completeness of the dataset </w:t>
      </w:r>
      <w:r w:rsidR="001548CF">
        <w:rPr>
          <w:rFonts w:ascii="Times New Roman" w:hAnsi="Times New Roman" w:cs="Times New Roman"/>
          <w:sz w:val="24"/>
          <w:szCs w:val="24"/>
        </w:rPr>
        <w:fldChar w:fldCharType="begin"/>
      </w:r>
      <w:r w:rsidR="001548CF">
        <w:rPr>
          <w:rFonts w:ascii="Times New Roman" w:hAnsi="Times New Roman" w:cs="Times New Roman"/>
          <w:sz w:val="24"/>
          <w:szCs w:val="24"/>
        </w:rPr>
        <w:instrText xml:space="preserve"> ADDIN ZOTERO_ITEM CSL_CITATION {"citationID":"sne6LypJ","properties":{"formattedCitation":"(Waterhouse et al. 2018; Manni et al. 2021)","plainCitation":"(Waterhouse et al. 2018; Manni et al. 2021)","noteIndex":0},"citationItems":[{"id":405,"uris":["http://zotero.org/users/8176000/items/LHGHFDF5"],"itemData":{"id":405,"type":"article-journal","abstract":"Genomics promises comprehensive surveying of genomes and metagenomes, but rapidly changing technologies and expanding data volumes make evaluation of completeness a challenging task. Technical sequencing quality metrics can be complemented by quantifying completeness of genomic data sets in terms of the expected gene content of Benchmarking Universal Single-Copy Orthologs (BUSCO, http://busco.ezlab.org). The latest software release implements a complete refactoring of the code to make it more flexible and extendable to facilitate high-throughput assessments. The original six lineage assessment data sets have been updated with improved species sampling, 34 new subsets have been built for vertebrates, arthropods, fungi, and prokaryotes that greatly enhance resolution, and data sets are now also available for nematodes, protists, and plants. Here, we present BUSCO v3 with example analyses that highlight the wide-ranging utility of BUSCO assessments, which extend beyond quality control of genomics data sets to applications in comparative genomics analyses, gene predictor training, metagenomics, and phylogenomics.","container-title":"Molecular Biology and Evolution","DOI":"10.1093/molbev/msx319","ISSN":"1537-1719","issue":"3","journalAbbreviation":"Mol Biol Evol","language":"eng","note":"PMID: 29220515\nPMCID: PMC5850278","page":"543-548","source":"PubMed","title":"BUSCO Applications from Quality Assessments to Gene Prediction and Phylogenomics","volume":"35","author":[{"family":"Waterhouse","given":"Robert M."},{"family":"Seppey","given":"Mathieu"},{"family":"Simão","given":"Felipe A."},{"family":"Manni","given":"Mosè"},{"family":"Ioannidis","given":"Panagiotis"},{"family":"Klioutchnikov","given":"Guennadi"},{"family":"Kriventseva","given":"Evgenia V."},{"family":"Zdobnov","given":"Evgeny M."}],"issued":{"date-parts":[["2018",3,1]]}}},{"id":1290,"uris":["http://zotero.org/users/8176000/items/MTSFIT42"],"itemData":{"id":1290,"type":"article-journal","abstract":"Evaluation of the quality of genomic “data products” such as genome assemblies or gene sets is of critical importance in order to recognize possible issues and correct them during the generation of new data. It is equally essential to guide subsequent or comparative analyses with existing data, as the correct interpretation of the results necessarily requires knowledge about the quality level and reliability of the inputs. Using datasets of near universal single-copy orthologs derived from OrthoDB, BUSCO can estimate the completeness and redundancy of genomic data by providing biologically meaningful metrics based on expected gene content. These can complement technical metrics such as contiguity measures (e.g., number of contigs/scaffolds, and N50 values). Here, we describe the use of the BUSCO tool suite to assess different data types that can range from genome assemblies of single isolates and assembled transcriptomes and annotated gene sets to metagenome-assembled genomes where the taxonomic origin of the species is unknown. BUSCO is the only tool capable of assessing all these types of sequences from both eukaryotic and prokaryotic species. The protocols detail the various BUSCO running modes and the novel workflows introduced in versions 4 and 5, including the batch analysis on multiple inputs, the auto-lineage workflow to run assessments without specifying a dataset, and a workflow for the evaluation of (large) eukaryotic genomes. The protocols further cover the BUSCO setup, guidelines to interpret the results, and BUSCO “plugin” workflows for performing common operations in genomics using BUSCO results, such as building phylogenomic trees and visualizing syntenies. © 2021 The Authors. Current Protocols published by Wiley Periodicals LLC. [Correction added on May 16, 2022, after first online publication: CSAL funding statement has been added.] Basic Protocol 1: Assessing an input sequence with a BUSCO dataset specified manually Basic Protocol 2: Assessing an input sequence with a dataset automatically selected by BUSCO Basic Protocol 3: Assessing multiple inputs Alternate Protocol: Decreasing analysis runtime when assessing a large number of small genomes with BUSCO auto-lineage workflow and Snakemake Support Protocol 1: BUSCO setup Support Protocol 2: Visualizing BUSCO results Support Protocol 3: Building phylogenomic trees","container-title":"Current Protocols","DOI":"10.1002/cpz1.323","ISSN":"2691-1299","issue":"12","language":"en","license":"© 2021 The Authors. Current Protocols published by Wiley Periodicals LLC.","note":"_eprint: https://onlinelibrary.wiley.com/doi/pdf/10.1002/cpz1.323","page":"e323","source":"Wiley Online Library","title":"BUSCO: Assessing Genomic Data Quality and Beyond","title-short":"BUSCO","volume":"1","author":[{"family":"Manni","given":"Mosè"},{"family":"Berkeley","given":"Matthew R."},{"family":"Seppey","given":"Mathieu"},{"family":"Zdobnov","given":"Evgeny M."}],"issued":{"date-parts":[["2021"]]}}}],"schema":"https://github.com/citation-style-language/schema/raw/master/csl-citation.json"} </w:instrText>
      </w:r>
      <w:r w:rsidR="001548CF">
        <w:rPr>
          <w:rFonts w:ascii="Times New Roman" w:hAnsi="Times New Roman" w:cs="Times New Roman"/>
          <w:sz w:val="24"/>
          <w:szCs w:val="24"/>
        </w:rPr>
        <w:fldChar w:fldCharType="separate"/>
      </w:r>
      <w:r w:rsidR="001548CF" w:rsidRPr="001548CF">
        <w:rPr>
          <w:rFonts w:ascii="Times New Roman" w:hAnsi="Times New Roman" w:cs="Times New Roman"/>
          <w:sz w:val="24"/>
        </w:rPr>
        <w:t>(Waterhouse et al. 2018; Manni et al. 2021)</w:t>
      </w:r>
      <w:r w:rsidR="001548CF">
        <w:rPr>
          <w:rFonts w:ascii="Times New Roman" w:hAnsi="Times New Roman" w:cs="Times New Roman"/>
          <w:sz w:val="24"/>
          <w:szCs w:val="24"/>
        </w:rPr>
        <w:fldChar w:fldCharType="end"/>
      </w:r>
      <w:r w:rsidR="001548CF">
        <w:rPr>
          <w:rFonts w:ascii="Times New Roman" w:hAnsi="Times New Roman" w:cs="Times New Roman"/>
          <w:sz w:val="24"/>
          <w:szCs w:val="24"/>
        </w:rPr>
        <w:t>. Using lineage-specific</w:t>
      </w:r>
      <w:r w:rsidR="00D45D28">
        <w:rPr>
          <w:rFonts w:ascii="Times New Roman" w:hAnsi="Times New Roman" w:cs="Times New Roman"/>
          <w:sz w:val="24"/>
          <w:szCs w:val="24"/>
        </w:rPr>
        <w:t xml:space="preserve"> datasets from BUSCO </w:t>
      </w:r>
      <w:r w:rsidR="002322F7">
        <w:rPr>
          <w:rFonts w:ascii="Times New Roman" w:hAnsi="Times New Roman" w:cs="Times New Roman"/>
          <w:sz w:val="24"/>
          <w:szCs w:val="24"/>
        </w:rPr>
        <w:t>(say which one), I was able to quantitatively evaluate the completeness of the genomic transcriptom</w:t>
      </w:r>
      <w:r w:rsidR="00473FBF">
        <w:rPr>
          <w:rFonts w:ascii="Times New Roman" w:hAnsi="Times New Roman" w:cs="Times New Roman"/>
          <w:sz w:val="24"/>
          <w:szCs w:val="24"/>
        </w:rPr>
        <w:t xml:space="preserve">ic and proteomic databases I previously obtained. This process ensured the reliability of the data by identifying complete, fragmented, </w:t>
      </w:r>
      <w:proofErr w:type="gramStart"/>
      <w:r w:rsidR="00473FBF">
        <w:rPr>
          <w:rFonts w:ascii="Times New Roman" w:hAnsi="Times New Roman" w:cs="Times New Roman"/>
          <w:sz w:val="24"/>
          <w:szCs w:val="24"/>
        </w:rPr>
        <w:t>duplicated</w:t>
      </w:r>
      <w:proofErr w:type="gramEnd"/>
      <w:r w:rsidR="00473FBF">
        <w:rPr>
          <w:rFonts w:ascii="Times New Roman" w:hAnsi="Times New Roman" w:cs="Times New Roman"/>
          <w:sz w:val="24"/>
          <w:szCs w:val="24"/>
        </w:rPr>
        <w:t xml:space="preserve"> and missing orthologs. Not only </w:t>
      </w:r>
      <w:r w:rsidR="00D6571B">
        <w:rPr>
          <w:rFonts w:ascii="Times New Roman" w:hAnsi="Times New Roman" w:cs="Times New Roman"/>
          <w:sz w:val="24"/>
          <w:szCs w:val="24"/>
        </w:rPr>
        <w:t>did BUSCO assist in determining the overall quality of the data, but it also enabled the identification of potential gaps or duplications within these datasets. This rigorous assessment was essential in ensuring the robustness of the subsequent analyses and findings in my research because it allowed me to select representative species from different families of the tree of life</w:t>
      </w:r>
      <w:r w:rsidR="00A6466C">
        <w:rPr>
          <w:rFonts w:ascii="Times New Roman" w:hAnsi="Times New Roman" w:cs="Times New Roman"/>
          <w:sz w:val="24"/>
          <w:szCs w:val="24"/>
        </w:rPr>
        <w:t xml:space="preserve"> for each project, for example in chapter 3 I used a collection of X sequences for the analysis of </w:t>
      </w:r>
      <w:proofErr w:type="spellStart"/>
      <w:r w:rsidR="00A6466C">
        <w:rPr>
          <w:rFonts w:ascii="Times New Roman" w:hAnsi="Times New Roman" w:cs="Times New Roman"/>
          <w:sz w:val="24"/>
          <w:szCs w:val="24"/>
        </w:rPr>
        <w:t>of</w:t>
      </w:r>
      <w:proofErr w:type="spellEnd"/>
      <w:r w:rsidR="00A6466C">
        <w:rPr>
          <w:rFonts w:ascii="Times New Roman" w:hAnsi="Times New Roman" w:cs="Times New Roman"/>
          <w:sz w:val="24"/>
          <w:szCs w:val="24"/>
        </w:rPr>
        <w:t xml:space="preserve"> X, for </w:t>
      </w:r>
      <w:r w:rsidR="00586A89">
        <w:rPr>
          <w:rFonts w:ascii="Times New Roman" w:hAnsi="Times New Roman" w:cs="Times New Roman"/>
          <w:sz w:val="24"/>
          <w:szCs w:val="24"/>
        </w:rPr>
        <w:t>the chapter 5 I only used animal species, including this and that (see table X).</w:t>
      </w:r>
    </w:p>
    <w:p w14:paraId="1DF951EF" w14:textId="77777777" w:rsidR="00EE1103" w:rsidRDefault="00EE1103" w:rsidP="00FA4B3F">
      <w:pPr>
        <w:spacing w:line="360" w:lineRule="auto"/>
        <w:jc w:val="both"/>
        <w:rPr>
          <w:rFonts w:ascii="Times New Roman" w:hAnsi="Times New Roman" w:cs="Times New Roman"/>
          <w:sz w:val="24"/>
          <w:szCs w:val="24"/>
        </w:rPr>
      </w:pPr>
    </w:p>
    <w:p w14:paraId="38CC7DE9" w14:textId="77777777" w:rsidR="00EE1103" w:rsidRDefault="00EE1103" w:rsidP="00FA4B3F">
      <w:pPr>
        <w:spacing w:line="360" w:lineRule="auto"/>
        <w:jc w:val="both"/>
        <w:rPr>
          <w:rFonts w:ascii="Times New Roman" w:hAnsi="Times New Roman" w:cs="Times New Roman"/>
          <w:sz w:val="24"/>
          <w:szCs w:val="24"/>
        </w:rPr>
      </w:pPr>
    </w:p>
    <w:p w14:paraId="66D32665" w14:textId="6FFB0CF3" w:rsidR="00EE1103" w:rsidRDefault="00EE1103" w:rsidP="00FA4B3F">
      <w:pPr>
        <w:spacing w:line="360" w:lineRule="auto"/>
        <w:jc w:val="both"/>
        <w:rPr>
          <w:rFonts w:ascii="Times New Roman" w:hAnsi="Times New Roman" w:cs="Times New Roman"/>
          <w:sz w:val="24"/>
          <w:szCs w:val="24"/>
        </w:rPr>
      </w:pPr>
      <w:r>
        <w:rPr>
          <w:rFonts w:ascii="Times New Roman" w:hAnsi="Times New Roman" w:cs="Times New Roman"/>
          <w:sz w:val="24"/>
          <w:szCs w:val="24"/>
        </w:rPr>
        <w:t>References</w:t>
      </w:r>
    </w:p>
    <w:p w14:paraId="26C4591F" w14:textId="77777777" w:rsidR="00EE1103" w:rsidRPr="00EE1103" w:rsidRDefault="00EE1103" w:rsidP="00EE1103">
      <w:pPr>
        <w:pStyle w:val="Bibliography"/>
        <w:rPr>
          <w:rFonts w:ascii="Times New Roman" w:hAnsi="Times New Roman" w:cs="Times New Roman"/>
          <w:sz w:val="24"/>
        </w:rPr>
      </w:pPr>
      <w:r>
        <w:fldChar w:fldCharType="begin"/>
      </w:r>
      <w:r>
        <w:instrText xml:space="preserve"> ADDIN ZOTERO_BIBL {"uncited":[],"omitted":[],"custom":[]} CSL_BIBLIOGRAPHY </w:instrText>
      </w:r>
      <w:r>
        <w:fldChar w:fldCharType="separate"/>
      </w:r>
      <w:r w:rsidRPr="00EE1103">
        <w:rPr>
          <w:rFonts w:ascii="Times New Roman" w:hAnsi="Times New Roman" w:cs="Times New Roman"/>
          <w:sz w:val="24"/>
        </w:rPr>
        <w:t xml:space="preserve">Manni M, Berkeley MR, </w:t>
      </w:r>
      <w:proofErr w:type="spellStart"/>
      <w:r w:rsidRPr="00EE1103">
        <w:rPr>
          <w:rFonts w:ascii="Times New Roman" w:hAnsi="Times New Roman" w:cs="Times New Roman"/>
          <w:sz w:val="24"/>
        </w:rPr>
        <w:t>Seppey</w:t>
      </w:r>
      <w:proofErr w:type="spellEnd"/>
      <w:r w:rsidRPr="00EE1103">
        <w:rPr>
          <w:rFonts w:ascii="Times New Roman" w:hAnsi="Times New Roman" w:cs="Times New Roman"/>
          <w:sz w:val="24"/>
        </w:rPr>
        <w:t xml:space="preserve"> M, </w:t>
      </w:r>
      <w:proofErr w:type="spellStart"/>
      <w:r w:rsidRPr="00EE1103">
        <w:rPr>
          <w:rFonts w:ascii="Times New Roman" w:hAnsi="Times New Roman" w:cs="Times New Roman"/>
          <w:sz w:val="24"/>
        </w:rPr>
        <w:t>Zdobnov</w:t>
      </w:r>
      <w:proofErr w:type="spellEnd"/>
      <w:r w:rsidRPr="00EE1103">
        <w:rPr>
          <w:rFonts w:ascii="Times New Roman" w:hAnsi="Times New Roman" w:cs="Times New Roman"/>
          <w:sz w:val="24"/>
        </w:rPr>
        <w:t xml:space="preserve"> EM. 2021. BUSCO: Assessing Genomic Data Quality and Beyond. </w:t>
      </w:r>
      <w:r w:rsidRPr="00EE1103">
        <w:rPr>
          <w:rFonts w:ascii="Times New Roman" w:hAnsi="Times New Roman" w:cs="Times New Roman"/>
          <w:i/>
          <w:iCs/>
          <w:sz w:val="24"/>
        </w:rPr>
        <w:t>Current Protocols</w:t>
      </w:r>
      <w:r w:rsidRPr="00EE1103">
        <w:rPr>
          <w:rFonts w:ascii="Times New Roman" w:hAnsi="Times New Roman" w:cs="Times New Roman"/>
          <w:sz w:val="24"/>
        </w:rPr>
        <w:t xml:space="preserve"> 1:e323.</w:t>
      </w:r>
    </w:p>
    <w:p w14:paraId="559BB800" w14:textId="77777777" w:rsidR="00EE1103" w:rsidRPr="00EE1103" w:rsidRDefault="00EE1103" w:rsidP="00EE1103">
      <w:pPr>
        <w:pStyle w:val="Bibliography"/>
        <w:rPr>
          <w:rFonts w:ascii="Times New Roman" w:hAnsi="Times New Roman" w:cs="Times New Roman"/>
          <w:sz w:val="24"/>
        </w:rPr>
      </w:pPr>
      <w:proofErr w:type="spellStart"/>
      <w:r w:rsidRPr="00EE1103">
        <w:rPr>
          <w:rFonts w:ascii="Times New Roman" w:hAnsi="Times New Roman" w:cs="Times New Roman"/>
          <w:sz w:val="24"/>
        </w:rPr>
        <w:t>Simakov</w:t>
      </w:r>
      <w:proofErr w:type="spellEnd"/>
      <w:r w:rsidRPr="00EE1103">
        <w:rPr>
          <w:rFonts w:ascii="Times New Roman" w:hAnsi="Times New Roman" w:cs="Times New Roman"/>
          <w:sz w:val="24"/>
        </w:rPr>
        <w:t xml:space="preserve"> O, Bredeson J, Berkoff K, </w:t>
      </w:r>
      <w:proofErr w:type="spellStart"/>
      <w:r w:rsidRPr="00EE1103">
        <w:rPr>
          <w:rFonts w:ascii="Times New Roman" w:hAnsi="Times New Roman" w:cs="Times New Roman"/>
          <w:sz w:val="24"/>
        </w:rPr>
        <w:t>Marletaz</w:t>
      </w:r>
      <w:proofErr w:type="spellEnd"/>
      <w:r w:rsidRPr="00EE1103">
        <w:rPr>
          <w:rFonts w:ascii="Times New Roman" w:hAnsi="Times New Roman" w:cs="Times New Roman"/>
          <w:sz w:val="24"/>
        </w:rPr>
        <w:t xml:space="preserve"> F, Mitros T, Schultz DT, O’Connell BL, Dear P, Martinez DE, Steele RE, et al. 2022. Deeply conserved synteny and the evolution of metazoan chromosomes. </w:t>
      </w:r>
      <w:r w:rsidRPr="00EE1103">
        <w:rPr>
          <w:rFonts w:ascii="Times New Roman" w:hAnsi="Times New Roman" w:cs="Times New Roman"/>
          <w:i/>
          <w:iCs/>
          <w:sz w:val="24"/>
        </w:rPr>
        <w:t>Science Advances</w:t>
      </w:r>
      <w:r w:rsidRPr="00EE1103">
        <w:rPr>
          <w:rFonts w:ascii="Times New Roman" w:hAnsi="Times New Roman" w:cs="Times New Roman"/>
          <w:sz w:val="24"/>
        </w:rPr>
        <w:t xml:space="preserve"> 8:eabi5884.</w:t>
      </w:r>
    </w:p>
    <w:p w14:paraId="51EECB9D" w14:textId="77777777" w:rsidR="00EE1103" w:rsidRPr="00EE1103" w:rsidRDefault="00EE1103" w:rsidP="00EE1103">
      <w:pPr>
        <w:pStyle w:val="Bibliography"/>
        <w:rPr>
          <w:rFonts w:ascii="Times New Roman" w:hAnsi="Times New Roman" w:cs="Times New Roman"/>
          <w:sz w:val="24"/>
        </w:rPr>
      </w:pPr>
      <w:r w:rsidRPr="00EE1103">
        <w:rPr>
          <w:rFonts w:ascii="Times New Roman" w:hAnsi="Times New Roman" w:cs="Times New Roman"/>
          <w:sz w:val="24"/>
        </w:rPr>
        <w:t xml:space="preserve">Simion P, Belkhir K, François C, </w:t>
      </w:r>
      <w:proofErr w:type="spellStart"/>
      <w:r w:rsidRPr="00EE1103">
        <w:rPr>
          <w:rFonts w:ascii="Times New Roman" w:hAnsi="Times New Roman" w:cs="Times New Roman"/>
          <w:sz w:val="24"/>
        </w:rPr>
        <w:t>Veyssier</w:t>
      </w:r>
      <w:proofErr w:type="spellEnd"/>
      <w:r w:rsidRPr="00EE1103">
        <w:rPr>
          <w:rFonts w:ascii="Times New Roman" w:hAnsi="Times New Roman" w:cs="Times New Roman"/>
          <w:sz w:val="24"/>
        </w:rPr>
        <w:t xml:space="preserve"> J, Rink JC, Manuel M, Philippe H, Telford MJ. 2018. A software tool ‘</w:t>
      </w:r>
      <w:proofErr w:type="spellStart"/>
      <w:r w:rsidRPr="00EE1103">
        <w:rPr>
          <w:rFonts w:ascii="Times New Roman" w:hAnsi="Times New Roman" w:cs="Times New Roman"/>
          <w:sz w:val="24"/>
        </w:rPr>
        <w:t>CroCo</w:t>
      </w:r>
      <w:proofErr w:type="spellEnd"/>
      <w:r w:rsidRPr="00EE1103">
        <w:rPr>
          <w:rFonts w:ascii="Times New Roman" w:hAnsi="Times New Roman" w:cs="Times New Roman"/>
          <w:sz w:val="24"/>
        </w:rPr>
        <w:t xml:space="preserve">’ detects pervasive cross-species contamination in next generation sequencing data. </w:t>
      </w:r>
      <w:r w:rsidRPr="00EE1103">
        <w:rPr>
          <w:rFonts w:ascii="Times New Roman" w:hAnsi="Times New Roman" w:cs="Times New Roman"/>
          <w:i/>
          <w:iCs/>
          <w:sz w:val="24"/>
        </w:rPr>
        <w:t>BMC Biology</w:t>
      </w:r>
      <w:r w:rsidRPr="00EE1103">
        <w:rPr>
          <w:rFonts w:ascii="Times New Roman" w:hAnsi="Times New Roman" w:cs="Times New Roman"/>
          <w:sz w:val="24"/>
        </w:rPr>
        <w:t xml:space="preserve"> 16:28.</w:t>
      </w:r>
    </w:p>
    <w:p w14:paraId="51062A4A" w14:textId="77777777" w:rsidR="00EE1103" w:rsidRPr="00EE1103" w:rsidRDefault="00EE1103" w:rsidP="00EE1103">
      <w:pPr>
        <w:pStyle w:val="Bibliography"/>
        <w:rPr>
          <w:rFonts w:ascii="Times New Roman" w:hAnsi="Times New Roman" w:cs="Times New Roman"/>
          <w:sz w:val="24"/>
        </w:rPr>
      </w:pPr>
      <w:r w:rsidRPr="00EE1103">
        <w:rPr>
          <w:rFonts w:ascii="Times New Roman" w:hAnsi="Times New Roman" w:cs="Times New Roman"/>
          <w:sz w:val="24"/>
        </w:rPr>
        <w:t xml:space="preserve">Waterhouse RM, </w:t>
      </w:r>
      <w:proofErr w:type="spellStart"/>
      <w:r w:rsidRPr="00EE1103">
        <w:rPr>
          <w:rFonts w:ascii="Times New Roman" w:hAnsi="Times New Roman" w:cs="Times New Roman"/>
          <w:sz w:val="24"/>
        </w:rPr>
        <w:t>Seppey</w:t>
      </w:r>
      <w:proofErr w:type="spellEnd"/>
      <w:r w:rsidRPr="00EE1103">
        <w:rPr>
          <w:rFonts w:ascii="Times New Roman" w:hAnsi="Times New Roman" w:cs="Times New Roman"/>
          <w:sz w:val="24"/>
        </w:rPr>
        <w:t xml:space="preserve"> M, Simão FA, Manni M, Ioannidis P, </w:t>
      </w:r>
      <w:proofErr w:type="spellStart"/>
      <w:r w:rsidRPr="00EE1103">
        <w:rPr>
          <w:rFonts w:ascii="Times New Roman" w:hAnsi="Times New Roman" w:cs="Times New Roman"/>
          <w:sz w:val="24"/>
        </w:rPr>
        <w:t>Klioutchnikov</w:t>
      </w:r>
      <w:proofErr w:type="spellEnd"/>
      <w:r w:rsidRPr="00EE1103">
        <w:rPr>
          <w:rFonts w:ascii="Times New Roman" w:hAnsi="Times New Roman" w:cs="Times New Roman"/>
          <w:sz w:val="24"/>
        </w:rPr>
        <w:t xml:space="preserve"> G, </w:t>
      </w:r>
      <w:proofErr w:type="spellStart"/>
      <w:r w:rsidRPr="00EE1103">
        <w:rPr>
          <w:rFonts w:ascii="Times New Roman" w:hAnsi="Times New Roman" w:cs="Times New Roman"/>
          <w:sz w:val="24"/>
        </w:rPr>
        <w:t>Kriventseva</w:t>
      </w:r>
      <w:proofErr w:type="spellEnd"/>
      <w:r w:rsidRPr="00EE1103">
        <w:rPr>
          <w:rFonts w:ascii="Times New Roman" w:hAnsi="Times New Roman" w:cs="Times New Roman"/>
          <w:sz w:val="24"/>
        </w:rPr>
        <w:t xml:space="preserve"> EV, </w:t>
      </w:r>
      <w:proofErr w:type="spellStart"/>
      <w:r w:rsidRPr="00EE1103">
        <w:rPr>
          <w:rFonts w:ascii="Times New Roman" w:hAnsi="Times New Roman" w:cs="Times New Roman"/>
          <w:sz w:val="24"/>
        </w:rPr>
        <w:t>Zdobnov</w:t>
      </w:r>
      <w:proofErr w:type="spellEnd"/>
      <w:r w:rsidRPr="00EE1103">
        <w:rPr>
          <w:rFonts w:ascii="Times New Roman" w:hAnsi="Times New Roman" w:cs="Times New Roman"/>
          <w:sz w:val="24"/>
        </w:rPr>
        <w:t xml:space="preserve"> EM. 2018. BUSCO Applications from Quality Assessments to Gene Prediction and </w:t>
      </w:r>
      <w:proofErr w:type="spellStart"/>
      <w:r w:rsidRPr="00EE1103">
        <w:rPr>
          <w:rFonts w:ascii="Times New Roman" w:hAnsi="Times New Roman" w:cs="Times New Roman"/>
          <w:sz w:val="24"/>
        </w:rPr>
        <w:t>Phylogenomics</w:t>
      </w:r>
      <w:proofErr w:type="spellEnd"/>
      <w:r w:rsidRPr="00EE1103">
        <w:rPr>
          <w:rFonts w:ascii="Times New Roman" w:hAnsi="Times New Roman" w:cs="Times New Roman"/>
          <w:sz w:val="24"/>
        </w:rPr>
        <w:t xml:space="preserve">. </w:t>
      </w:r>
      <w:r w:rsidRPr="00EE1103">
        <w:rPr>
          <w:rFonts w:ascii="Times New Roman" w:hAnsi="Times New Roman" w:cs="Times New Roman"/>
          <w:i/>
          <w:iCs/>
          <w:sz w:val="24"/>
        </w:rPr>
        <w:t xml:space="preserve">Mol </w:t>
      </w:r>
      <w:proofErr w:type="spellStart"/>
      <w:r w:rsidRPr="00EE1103">
        <w:rPr>
          <w:rFonts w:ascii="Times New Roman" w:hAnsi="Times New Roman" w:cs="Times New Roman"/>
          <w:i/>
          <w:iCs/>
          <w:sz w:val="24"/>
        </w:rPr>
        <w:t>Biol</w:t>
      </w:r>
      <w:proofErr w:type="spellEnd"/>
      <w:r w:rsidRPr="00EE1103">
        <w:rPr>
          <w:rFonts w:ascii="Times New Roman" w:hAnsi="Times New Roman" w:cs="Times New Roman"/>
          <w:i/>
          <w:iCs/>
          <w:sz w:val="24"/>
        </w:rPr>
        <w:t xml:space="preserve"> Evol</w:t>
      </w:r>
      <w:r w:rsidRPr="00EE1103">
        <w:rPr>
          <w:rFonts w:ascii="Times New Roman" w:hAnsi="Times New Roman" w:cs="Times New Roman"/>
          <w:sz w:val="24"/>
        </w:rPr>
        <w:t xml:space="preserve"> 35:543–548.</w:t>
      </w:r>
    </w:p>
    <w:p w14:paraId="06E18FCD" w14:textId="44426729" w:rsidR="00EE1103" w:rsidRPr="00FA4B3F" w:rsidRDefault="00EE1103" w:rsidP="00FA4B3F">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fldChar w:fldCharType="end"/>
      </w:r>
    </w:p>
    <w:sectPr w:rsidR="00EE1103" w:rsidRPr="00FA4B3F" w:rsidSect="00FA4B3F">
      <w:pgSz w:w="11906" w:h="16838"/>
      <w:pgMar w:top="1418" w:right="1418" w:bottom="1418" w:left="1985"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4B3F"/>
    <w:rsid w:val="0008623C"/>
    <w:rsid w:val="000F496C"/>
    <w:rsid w:val="001548CF"/>
    <w:rsid w:val="00230BED"/>
    <w:rsid w:val="002322F7"/>
    <w:rsid w:val="00284512"/>
    <w:rsid w:val="00292653"/>
    <w:rsid w:val="00295C2C"/>
    <w:rsid w:val="003B4C19"/>
    <w:rsid w:val="00447675"/>
    <w:rsid w:val="00471D90"/>
    <w:rsid w:val="00473FBF"/>
    <w:rsid w:val="004D2FB4"/>
    <w:rsid w:val="00580DEB"/>
    <w:rsid w:val="00586A89"/>
    <w:rsid w:val="00615C13"/>
    <w:rsid w:val="0061690D"/>
    <w:rsid w:val="00666B31"/>
    <w:rsid w:val="006707E0"/>
    <w:rsid w:val="00704768"/>
    <w:rsid w:val="007E3848"/>
    <w:rsid w:val="009D2868"/>
    <w:rsid w:val="00A6466C"/>
    <w:rsid w:val="00AD21D0"/>
    <w:rsid w:val="00AF7ECA"/>
    <w:rsid w:val="00BC4C34"/>
    <w:rsid w:val="00D15C9E"/>
    <w:rsid w:val="00D45D28"/>
    <w:rsid w:val="00D6571B"/>
    <w:rsid w:val="00DF3586"/>
    <w:rsid w:val="00E87D00"/>
    <w:rsid w:val="00EE0A75"/>
    <w:rsid w:val="00EE1103"/>
    <w:rsid w:val="00FA4B3F"/>
    <w:rsid w:val="00FD187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D48523"/>
  <w15:chartTrackingRefBased/>
  <w15:docId w15:val="{F6EA1352-2CFE-4622-8580-5822FED87A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unhideWhenUsed/>
    <w:rsid w:val="00EE1103"/>
    <w:pPr>
      <w:spacing w:after="240" w:line="24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262</TotalTime>
  <Pages>4</Pages>
  <Words>4038</Words>
  <Characters>23023</Characters>
  <Application>Microsoft Office Word</Application>
  <DocSecurity>0</DocSecurity>
  <Lines>191</Lines>
  <Paragraphs>54</Paragraphs>
  <ScaleCrop>false</ScaleCrop>
  <Company/>
  <LinksUpToDate>false</LinksUpToDate>
  <CharactersWithSpaces>27007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Aleotti, Alessandra</dc:creator>
  <cp:keywords/>
  <dc:description/>
  <cp:lastModifiedBy>Aleotti, Alessandra</cp:lastModifiedBy>
  <cp:revision>30</cp:revision>
  <dcterms:created xsi:type="dcterms:W3CDTF">2023-07-13T15:25:00Z</dcterms:created>
  <dcterms:modified xsi:type="dcterms:W3CDTF">2023-08-20T16:40:00Z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id="5Yc8gdBX"/&gt;&lt;style id="http://www.zotero.org/styles/molecular-biology-and-evolution" hasBibliography="1" bibliographyStyleHasBeenSet="1"/&gt;&lt;prefs&gt;&lt;pref name="fieldType" value="Field"/&gt;&lt;/prefs&gt;&lt;/dat</vt:lpwstr>
  </property>
  <property fmtid="{D5CDD505-2E9C-101B-9397-08002B2CF9AE}" pid="3" name="ZOTERO_PREF_2">
    <vt:lpwstr>a&gt;</vt:lpwstr>
  </property>
</Properties>
</file>