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elcome-to-texts"/>
      <w:bookmarkEnd w:id="21"/>
      <w:r>
        <w:t xml:space="preserve">Welcome to Texts!</w:t>
      </w:r>
    </w:p>
    <w:p>
      <w:pPr>
        <w:pStyle w:val="FirstParagraph"/>
      </w:pPr>
      <w:r>
        <w:t xml:space="preserve">Texts is “rich editor for plain text”—you can write documents in visual interface and they will be saved in plain text format with Markdown markup. This document shows some styles available in Texts. Please feel free to edit it—a fresh copy is always available via Help menu.</w:t>
      </w:r>
    </w:p>
    <w:p>
      <w:pPr>
        <w:pStyle w:val="Heading2"/>
      </w:pPr>
      <w:bookmarkStart w:id="22" w:name="inline-formatting"/>
      <w:bookmarkEnd w:id="22"/>
      <w:r>
        <w:t xml:space="preserve">Inline Formatting</w:t>
      </w:r>
    </w:p>
    <w:p>
      <w:pPr>
        <w:pStyle w:val="FirstParagraph"/>
      </w:pPr>
      <w:r>
        <w:t xml:space="preserve">To apply</w:t>
      </w:r>
      <w:r>
        <w:t xml:space="preserve"> </w:t>
      </w:r>
      <w:r>
        <w:rPr>
          <w:i/>
        </w:rPr>
        <w:t xml:space="preserve">emphasis</w:t>
      </w:r>
      <w:r>
        <w:t xml:space="preserve"> </w:t>
      </w:r>
      <w:r>
        <w:t xml:space="preserve">or</w:t>
      </w:r>
      <w:r>
        <w:t xml:space="preserve"> </w:t>
      </w:r>
      <w:r>
        <w:rPr>
          <w:b/>
        </w:rPr>
        <w:t xml:space="preserve">strong emphasis</w:t>
      </w:r>
      <w:r>
        <w:t xml:space="preserve"> </w:t>
      </w:r>
      <w:r>
        <w:t xml:space="preserve">press Control+I or Control+B and type. Press again to turn it off.</w:t>
      </w:r>
    </w:p>
    <w:p>
      <w:pPr>
        <w:pStyle w:val="Heading2"/>
      </w:pPr>
      <w:bookmarkStart w:id="23" w:name="footnotes"/>
      <w:bookmarkEnd w:id="23"/>
      <w:r>
        <w:t xml:space="preserve">Footnotes</w:t>
      </w:r>
    </w:p>
    <w:p>
      <w:pPr>
        <w:pStyle w:val="FirstParagraph"/>
      </w:pPr>
      <w:r>
        <w:t xml:space="preserve">Notes can be placed anywhere</w:t>
      </w:r>
      <w:r>
        <w:rPr>
          <w:rStyle w:val="FootnoteReference"/>
        </w:rPr>
        <w:footnoteReference w:id="24"/>
      </w:r>
      <w:r>
        <w:t xml:space="preserve"> </w:t>
      </w:r>
      <w:r>
        <w:t xml:space="preserve">in the source file (press Control+R to insert one). When document is published to paper-oriented format (PDF or Word) footnotes are displayed at the bottom of the corresponding page. E-book readers usually display notes in popups.</w:t>
      </w:r>
    </w:p>
    <w:p>
      <w:pPr>
        <w:pStyle w:val="Heading2"/>
      </w:pPr>
      <w:bookmarkStart w:id="25" w:name="hyperlinks"/>
      <w:bookmarkEnd w:id="25"/>
      <w:r>
        <w:t xml:space="preserve">Hyperlinks</w:t>
      </w:r>
    </w:p>
    <w:p>
      <w:pPr>
        <w:pStyle w:val="FirstParagraph"/>
      </w:pPr>
      <w:r>
        <w:t xml:space="preserve">Press Control+K to insert a hyperlink. It can be either literal URL (</w:t>
      </w:r>
      <w:hyperlink r:id="rId26">
        <w:r>
          <w:rPr>
            <w:rStyle w:val="Hyperlink"/>
          </w:rPr>
          <w:t xml:space="preserve">http://www.google.com/</w:t>
        </w:r>
      </w:hyperlink>
      <w:r>
        <w:t xml:space="preserve">) or have some</w:t>
      </w:r>
      <w:r>
        <w:t xml:space="preserve"> </w:t>
      </w:r>
      <w:hyperlink r:id="rId27">
        <w:r>
          <w:rPr>
            <w:rStyle w:val="Hyperlink"/>
          </w:rPr>
          <w:t xml:space="preserve">text</w:t>
        </w:r>
      </w:hyperlink>
      <w:r>
        <w:t xml:space="preserve">. Click URL with Control key pressed to open it in web browser.</w:t>
      </w:r>
    </w:p>
    <w:p>
      <w:pPr>
        <w:pStyle w:val="Heading2"/>
      </w:pPr>
      <w:bookmarkStart w:id="28" w:name="math"/>
      <w:bookmarkEnd w:id="28"/>
      <w:r>
        <w:t xml:space="preserve">Math</w:t>
      </w:r>
    </w:p>
    <w:p>
      <w:pPr>
        <w:pStyle w:val="FirstParagraph"/>
      </w:pPr>
      <w:r>
        <w:t xml:space="preserve">Formulas can be placed inline like</w:t>
      </w:r>
      <w:r>
        <w:t xml:space="preserve"> </w:t>
      </w:r>
      <m:oMath>
        <m:r>
          <m:rPr/>
          <m:t>E</m:t>
        </m:r>
        <m:r>
          <m:rPr/>
          <m:t>=</m:t>
        </m:r>
        <m:r>
          <m:rPr/>
          <m:t>m</m:t>
        </m:r>
        <m:sSup>
          <m:e>
            <m:r>
              <m:rPr/>
              <m:t>c</m:t>
            </m:r>
          </m:e>
          <m:sup>
            <m:r>
              <m:rPr/>
              <m:t>2</m:t>
            </m:r>
          </m:sup>
        </m:sSup>
      </m:oMath>
      <w:r>
        <w:t xml:space="preserve"> </w:t>
      </w:r>
      <w:r>
        <w:t xml:space="preserve">or in a separate paragraph, like the following one. Standard LaTeX syntax is supported.</w:t>
      </w:r>
    </w:p>
    <w:p>
      <w:pPr>
        <w:pStyle w:val="BodyText"/>
      </w:pPr>
      <m:oMathPara>
        <m:oMathParaPr>
          <m:jc m:val="center"/>
        </m:oMathParaPr>
        <m:oMath>
          <m:f>
            <m:fPr>
              <m:type m:val="bar"/>
            </m:fPr>
            <m:num>
              <m:r>
                <m:rPr/>
                <m:t>n</m:t>
              </m:r>
              <m:r>
                <m:rPr/>
                <m:t>!</m:t>
              </m:r>
            </m:num>
            <m:den>
              <m:r>
                <m:rPr/>
                <m:t>k</m:t>
              </m:r>
              <m:r>
                <m:rPr/>
                <m:t>!</m:t>
              </m:r>
              <m:r>
                <m:rPr/>
                <m:t>(</m:t>
              </m:r>
              <m:r>
                <m:rPr/>
                <m:t>n</m:t>
              </m:r>
              <m:r>
                <m:rPr/>
                <m:t>−</m:t>
              </m:r>
              <m:r>
                <m:rPr/>
                <m:t>k</m:t>
              </m:r>
              <m:r>
                <m:rPr/>
                <m:t>)</m:t>
              </m:r>
              <m:r>
                <m:rPr/>
                <m:t>!</m:t>
              </m:r>
            </m:den>
          </m:f>
          <m:r>
            <m:rPr/>
            <m:t>=</m:t>
          </m:r>
          <m:d>
            <m:dPr>
              <m:begChr m:val="("/>
              <m:endChr m:val=")"/>
              <m:grow/>
            </m:dPr>
            <m:e>
              <m:f>
                <m:fPr>
                  <m:type m:val="noBar"/>
                </m:fPr>
                <m:num>
                  <m:r>
                    <m:rPr/>
                    <m:t>n</m:t>
                  </m:r>
                </m:num>
                <m:den>
                  <m:r>
                    <m:rPr/>
                    <m:t>k</m:t>
                  </m:r>
                </m:den>
              </m:f>
            </m:e>
          </m:d>
        </m:oMath>
      </m:oMathPara>
    </w:p>
    <w:p>
      <w:pPr>
        <w:pStyle w:val="Heading2"/>
      </w:pPr>
      <w:bookmarkStart w:id="29" w:name="code"/>
      <w:bookmarkEnd w:id="29"/>
      <w:r>
        <w:t xml:space="preserve">Code</w:t>
      </w:r>
    </w:p>
    <w:p>
      <w:pPr>
        <w:pStyle w:val="FirstParagraph"/>
      </w:pPr>
      <w:r>
        <w:t xml:space="preserve">Inline</w:t>
      </w:r>
      <w:r>
        <w:t xml:space="preserve"> </w:t>
      </w:r>
      <w:r>
        <w:rPr>
          <w:rStyle w:val="VerbatimChar"/>
        </w:rPr>
        <w:t xml:space="preserve">code</w:t>
      </w:r>
      <w:r>
        <w:t xml:space="preserve"> </w:t>
      </w:r>
      <w:r>
        <w:t xml:space="preserve">gets monospaced font.</w:t>
      </w:r>
    </w:p>
    <w:p>
      <w:pPr>
        <w:pStyle w:val="SourceCode"/>
      </w:pPr>
      <w:r>
        <w:rPr>
          <w:rStyle w:val="VerbatimChar"/>
        </w:rPr>
        <w:t xml:space="preserve">Verbatim blocks use monospaced font as well and preserve line</w:t>
      </w:r>
      <w:r>
        <w:br w:type="textWrapping"/>
      </w:r>
      <w:r>
        <w:rPr>
          <w:rStyle w:val="VerbatimChar"/>
        </w:rPr>
        <w:t xml:space="preserve">breaks</w:t>
      </w:r>
    </w:p>
    <w:p>
      <w:pPr>
        <w:pStyle w:val="FirstParagraph"/>
      </w:pPr>
      <w:r>
        <w:t xml:space="preserve">Press “Enter” key inside code block to insert a line break or “Shift+Enter” to end code block.</w:t>
      </w:r>
    </w:p>
    <w:p>
      <w:pPr>
        <w:pStyle w:val="Heading2"/>
      </w:pPr>
      <w:bookmarkStart w:id="30" w:name="lists"/>
      <w:bookmarkEnd w:id="30"/>
      <w:r>
        <w:t xml:space="preserve">Lists</w:t>
      </w:r>
    </w:p>
    <w:p>
      <w:pPr>
        <w:numPr>
          <w:numId w:val="1001"/>
          <w:ilvl w:val="0"/>
        </w:numPr>
      </w:pPr>
      <w:r>
        <w:t xml:space="preserve">First bulleted item.</w:t>
      </w:r>
    </w:p>
    <w:p>
      <w:pPr>
        <w:numPr>
          <w:numId w:val="1001"/>
          <w:ilvl w:val="0"/>
        </w:numPr>
      </w:pPr>
      <w:r>
        <w:t xml:space="preserve">Second bulleted item.</w:t>
      </w:r>
    </w:p>
    <w:p>
      <w:pPr>
        <w:pStyle w:val="FirstParagraph"/>
      </w:pPr>
      <w:r>
        <w:t xml:space="preserve">Lists can be styled via menu, keyboard shortcut, or using autoformatting: type minus and space for bulleted item or “1”, point and space for numbered item. Press “Tab” to indent paragraph and create subitem, “Shift+Tab” to unindent.</w:t>
      </w:r>
    </w:p>
    <w:p>
      <w:pPr>
        <w:numPr>
          <w:numId w:val="1002"/>
          <w:ilvl w:val="0"/>
        </w:numPr>
      </w:pPr>
      <w:r>
        <w:t xml:space="preserve">First numbered item.</w:t>
      </w:r>
    </w:p>
    <w:p>
      <w:pPr>
        <w:numPr>
          <w:numId w:val="1002"/>
          <w:ilvl w:val="0"/>
        </w:numPr>
      </w:pPr>
      <w:r>
        <w:t xml:space="preserve">Second numbered item.</w:t>
      </w:r>
    </w:p>
    <w:p>
      <w:pPr>
        <w:pStyle w:val="Heading2"/>
      </w:pPr>
      <w:bookmarkStart w:id="31" w:name="tables"/>
      <w:bookmarkEnd w:id="31"/>
      <w:r>
        <w:t xml:space="preserve">Tables</w:t>
      </w:r>
    </w:p>
    <w:p>
      <w:pPr>
        <w:pStyle w:val="FirstParagraph"/>
      </w:pPr>
      <w:r>
        <w:t xml:space="preserve">Press</w:t>
      </w:r>
      <w:r>
        <w:t xml:space="preserve"> </w:t>
      </w:r>
      <w:r>
        <w:rPr>
          <w:b/>
        </w:rPr>
        <w:t xml:space="preserve">Ctrl+Shift+L</w:t>
      </w:r>
      <w:r>
        <w:t xml:space="preserve"> </w:t>
      </w:r>
      <w:r>
        <w:t xml:space="preserve">to create a table, Ctrl+Alt+arrow keys to add more columns or rows, Alt+Shift+arrow keys to move column or row. Here is a sample table.</w:t>
      </w:r>
    </w:p>
    <w:tbl>
      <w:tblPr>
        <w:tblStyle w:val="TableNormal"/>
        <w:tblW w:type="pct" w:w="5000.0"/>
        <w:tblLook/>
      </w:tblPr>
      <w:tblGrid>
        <w:gridCol w:w="1697"/>
        <w:gridCol w:w="2404"/>
        <w:gridCol w:w="1838"/>
        <w:gridCol w:w="1980"/>
      </w:tblGrid>
      <w:tr>
        <w:tc>
          <w:p>
            <w:pPr>
              <w:jc w:val="left"/>
            </w:pPr>
            <w:r>
              <w:rPr>
                <w:b/>
              </w:rPr>
              <w:t xml:space="preserve">Features</w:t>
            </w:r>
          </w:p>
        </w:tc>
        <w:tc>
          <w:p>
            <w:pPr>
              <w:jc w:val="left"/>
            </w:pPr>
            <w:r>
              <w:rPr>
                <w:b/>
              </w:rPr>
              <w:t xml:space="preserve">Editable in Texts</w:t>
            </w:r>
          </w:p>
        </w:tc>
        <w:tc>
          <w:p>
            <w:pPr>
              <w:jc w:val="left"/>
            </w:pPr>
            <w:r>
              <w:rPr>
                <w:b/>
              </w:rPr>
              <w:t xml:space="preserve">Export to PDF</w:t>
            </w:r>
          </w:p>
        </w:tc>
        <w:tc>
          <w:p>
            <w:pPr>
              <w:jc w:val="left"/>
            </w:pPr>
            <w:r>
              <w:rPr>
                <w:b/>
              </w:rPr>
              <w:t xml:space="preserve">Export to HTML</w:t>
            </w:r>
          </w:p>
        </w:tc>
      </w:tr>
      <w:tr>
        <w:tc>
          <w:p>
            <w:pPr>
              <w:jc w:val="left"/>
            </w:pPr>
            <w:r>
              <w:t xml:space="preserve">Basic Styles</w:t>
            </w:r>
          </w:p>
        </w:tc>
        <w:tc>
          <w:p>
            <w:pPr>
              <w:jc w:val="left"/>
            </w:pPr>
            <w:r>
              <w:t xml:space="preserve">Yes</w:t>
            </w:r>
          </w:p>
        </w:tc>
        <w:tc>
          <w:p>
            <w:pPr>
              <w:jc w:val="left"/>
            </w:pPr>
            <w:r>
              <w:t xml:space="preserve">Yes</w:t>
            </w:r>
          </w:p>
        </w:tc>
        <w:tc>
          <w:p>
            <w:pPr>
              <w:jc w:val="left"/>
            </w:pPr>
            <w:r>
              <w:t xml:space="preserve">Yes</w:t>
            </w:r>
          </w:p>
        </w:tc>
      </w:tr>
      <w:tr>
        <w:tc>
          <w:p>
            <w:pPr>
              <w:jc w:val="left"/>
            </w:pPr>
            <w:r>
              <w:t xml:space="preserve">Footnotes</w:t>
            </w:r>
          </w:p>
        </w:tc>
        <w:tc>
          <w:p>
            <w:pPr>
              <w:jc w:val="left"/>
            </w:pPr>
            <w:r>
              <w:t xml:space="preserve">Yes</w:t>
            </w:r>
          </w:p>
        </w:tc>
        <w:tc>
          <w:p>
            <w:pPr>
              <w:jc w:val="left"/>
            </w:pPr>
            <w:r>
              <w:t xml:space="preserve">Yes</w:t>
            </w:r>
          </w:p>
        </w:tc>
        <w:tc>
          <w:p>
            <w:pPr>
              <w:jc w:val="left"/>
            </w:pPr>
            <w:r>
              <w:t xml:space="preserve">Yes</w:t>
            </w:r>
          </w:p>
        </w:tc>
      </w:tr>
      <w:tr>
        <w:tc>
          <w:p>
            <w:pPr>
              <w:jc w:val="left"/>
            </w:pPr>
            <w:r>
              <w:t xml:space="preserve">Images</w:t>
            </w:r>
          </w:p>
        </w:tc>
        <w:tc>
          <w:p>
            <w:pPr>
              <w:jc w:val="left"/>
            </w:pPr>
            <w:r>
              <w:t xml:space="preserve">Yes</w:t>
            </w:r>
          </w:p>
        </w:tc>
        <w:tc>
          <w:p>
            <w:pPr>
              <w:jc w:val="left"/>
            </w:pPr>
            <w:r>
              <w:t xml:space="preserve">Yes</w:t>
            </w:r>
          </w:p>
        </w:tc>
        <w:tc>
          <w:p>
            <w:pPr>
              <w:jc w:val="left"/>
            </w:pPr>
            <w:r>
              <w:t xml:space="preserve">Yes</w:t>
            </w:r>
          </w:p>
        </w:tc>
      </w:tr>
      <w:tr>
        <w:tc>
          <w:p>
            <w:pPr>
              <w:jc w:val="left"/>
            </w:pPr>
            <w:r>
              <w:t xml:space="preserve">Tables</w:t>
            </w:r>
          </w:p>
        </w:tc>
        <w:tc>
          <w:p>
            <w:pPr>
              <w:jc w:val="left"/>
            </w:pPr>
            <w:r>
              <w:t xml:space="preserve">Yes</w:t>
            </w:r>
          </w:p>
        </w:tc>
        <w:tc>
          <w:p>
            <w:pPr>
              <w:jc w:val="left"/>
            </w:pPr>
            <w:r>
              <w:t xml:space="preserve">Yes</w:t>
            </w:r>
          </w:p>
        </w:tc>
        <w:tc>
          <w:p>
            <w:pPr>
              <w:jc w:val="left"/>
            </w:pPr>
            <w:r>
              <w:t xml:space="preserve">Yes</w:t>
            </w:r>
          </w:p>
        </w:tc>
      </w:tr>
    </w:tbl>
    <w:p>
      <w:pPr>
        <w:pStyle w:val="Heading1"/>
      </w:pPr>
      <w:bookmarkStart w:id="32" w:name="happy-writing"/>
      <w:bookmarkEnd w:id="32"/>
      <w:r>
        <w:t xml:space="preserve">Happy writing!</w:t>
      </w:r>
    </w:p>
    <w:p>
      <w:pPr>
        <w:pStyle w:val="FirstParagraph"/>
      </w:pPr>
      <w:r>
        <w:t xml:space="preserve">Got a question? Visit</w:t>
      </w:r>
      <w:r>
        <w:t xml:space="preserve"> </w:t>
      </w:r>
      <w:hyperlink r:id="rId33">
        <w:r>
          <w:rPr>
            <w:rStyle w:val="Hyperlink"/>
          </w:rPr>
          <w:t xml:space="preserve">http://www.texts.io/support/</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Yes, right here.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973c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f8613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bd02ca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www.google.com/" TargetMode="External" /><Relationship Type="http://schemas.openxmlformats.org/officeDocument/2006/relationships/hyperlink" Id="rId27" Target="http://www.texts.io/" TargetMode="External" /><Relationship Type="http://schemas.openxmlformats.org/officeDocument/2006/relationships/hyperlink" Id="rId33" Target="http://www.texts.io/support/" TargetMode="External" /></Relationships>
</file>

<file path=word/_rels/footnotes.xml.rels><?xml version="1.0" encoding="UTF-8"?>
<Relationships xmlns="http://schemas.openxmlformats.org/package/2006/relationships"><Relationship Type="http://schemas.openxmlformats.org/officeDocument/2006/relationships/hyperlink" Id="rId26" Target="http://www.google.com/" TargetMode="External" /><Relationship Type="http://schemas.openxmlformats.org/officeDocument/2006/relationships/hyperlink" Id="rId27" Target="http://www.texts.io/" TargetMode="External" /><Relationship Type="http://schemas.openxmlformats.org/officeDocument/2006/relationships/hyperlink" Id="rId33" Target="http://www.texts.io/sup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