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50"/>
        </w:rPr>
        <w:t>INFORME TÉCNICO PRELIMINAR</w:t>
        <w:br/>
        <w:t>DE REMAPEO DE PROCESOS ADMINISTRATIVOS</w:t>
      </w:r>
    </w:p>
    <w:p>
      <w:pPr>
        <w:jc w:val="center"/>
      </w:pPr>
      <w:r>
        <w:rPr>
          <w:i/>
          <w:color w:val="2F5597"/>
          <w:sz w:val="28"/>
        </w:rPr>
        <w:t>Diagnóstico operativo, procesos prioritarios, responsabilidades y oportunidades de automatización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16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</w:rPr>
              <w:t>Organización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Notaría</w:t>
            </w:r>
          </w:p>
        </w:tc>
      </w:tr>
      <w:tr>
        <w:tc>
          <w:tcPr>
            <w:tcW w:type="dxa" w:w="216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Remapeo preliminar de procesos administrativos</w:t>
            </w:r>
          </w:p>
        </w:tc>
      </w:tr>
      <w:tr>
        <w:tc>
          <w:tcPr>
            <w:tcW w:type="dxa" w:w="216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Preliminar — sujeto a validación</w:t>
            </w:r>
          </w:p>
        </w:tc>
      </w:tr>
      <w:tr>
        <w:tc>
          <w:tcPr>
            <w:tcW w:type="dxa" w:w="216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</w:rPr>
              <w:t>Fecha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7 de agosto de 2026</w:t>
            </w:r>
          </w:p>
        </w:tc>
      </w:tr>
    </w:tbl>
    <w:p>
      <w:r>
        <w:br/>
      </w:r>
    </w:p>
    <w:p>
      <w:pPr>
        <w:jc w:val="center"/>
      </w:pPr>
      <w:r>
        <w:rPr>
          <w:color w:val="666666"/>
          <w:sz w:val="21"/>
        </w:rPr>
        <w:t>Documento de trabajo para validación con la Notaria y Administración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80"/>
      </w:pPr>
      <w:r>
        <w:t>1. Resumen ejecutivo</w:t>
      </w:r>
    </w:p>
    <w:p>
      <w:pPr>
        <w:spacing w:after="80"/>
      </w:pPr>
      <w:r>
        <w:t>2. Objetivo y alcance</w:t>
      </w:r>
    </w:p>
    <w:p>
      <w:pPr>
        <w:spacing w:after="80"/>
      </w:pPr>
      <w:r>
        <w:t>3. Mapa general de macroprocesos e interacciones administrativas</w:t>
      </w:r>
    </w:p>
    <w:p>
      <w:pPr>
        <w:spacing w:after="80"/>
      </w:pPr>
      <w:r>
        <w:t>4. Hallazgos preliminares</w:t>
      </w:r>
    </w:p>
    <w:p>
      <w:pPr>
        <w:spacing w:after="80"/>
      </w:pPr>
      <w:r>
        <w:t>5. BPMN prioritario — Gestión de cartera y cobranza</w:t>
      </w:r>
    </w:p>
    <w:p>
      <w:pPr>
        <w:spacing w:after="80"/>
      </w:pPr>
      <w:r>
        <w:t>6. BPMN prioritario — Recepción y aplicación del pago</w:t>
      </w:r>
    </w:p>
    <w:p>
      <w:pPr>
        <w:spacing w:after="80"/>
      </w:pPr>
      <w:r>
        <w:t>7. Propuesta preliminar de responsabilidades</w:t>
      </w:r>
    </w:p>
    <w:p>
      <w:pPr>
        <w:spacing w:after="80"/>
      </w:pPr>
      <w:r>
        <w:t>8. Piloto de automatización de cobranzas</w:t>
      </w:r>
    </w:p>
    <w:p>
      <w:pPr>
        <w:spacing w:after="80"/>
      </w:pPr>
      <w:r>
        <w:t>9. Hoja de ruta de siguientes fases</w:t>
      </w:r>
    </w:p>
    <w:p>
      <w:pPr>
        <w:spacing w:after="80"/>
      </w:pPr>
      <w:r>
        <w:t>10. Conclusiones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presente informe consolida el levantamiento preliminar de los procesos administrativos de la notaría. El trabajo partió de una relación extensa de actividades y fue complementado con observación directa, entrevistas con la administradora y revisión de interacciones entre áreas. El resultado es una visión estructurada de los macroprocesos, dependencias, puntos de control, riesgos operativos y oportunidades de mejora.</w:t>
      </w:r>
    </w:p>
    <w:p>
      <w:r>
        <w:t>Preliminarmente, se observa que Administración participa de forma transversal en frentes financieros, operativos, regulatorios y de soporte. Una parte importante de las actividades combina ejecución, revisión, coordinación, seguimiento y reporte, con información distribuida entre el sistema notarial, hojas de cálculo, correo electrónico, plataformas externas, banca y archivos físicos. Esto incrementa la dependencia del conocimiento individual y reduce el tiempo disponible para supervisión y análisis.</w:t>
      </w:r>
    </w:p>
    <w:p>
      <w:r>
        <w:t>También se identificó una redistribución operativa ya iniciada: Diana participa en caja y facturación operativa; Marlon en logística y abastecimiento; y Gabriel en mantenimiento y soporte físico. El siguiente paso no es simplemente trasladar más tareas, sino formalizar responsabilidades, definir evidencias de cierre y establecer un esquema de supervisión que permita a la administradora concentrarse progresivamente en control, coordinación y reporte.</w:t>
      </w:r>
    </w:p>
    <w:p>
      <w:r>
        <w:t>Como primera iniciativa de automatización se priorizó cobranzas. El proceso es repetitivo, medible y tiene impacto directo en liquidez y trazabilidad. El piloto busca consolidar la cartera, calcular vencimientos, generar borradores de comunicaciones y mantener revisión humana antes del envío. Su evolución puede incorporar registro de compromisos, conciliación con pagos, bandeja de excepciones y un dashboard ejecutivo.</w:t>
      </w:r>
    </w:p>
    <w:p>
      <w:pPr>
        <w:pStyle w:val="Heading1"/>
      </w:pPr>
      <w:r>
        <w:t>2. Objetivo y alcance</w:t>
      </w:r>
    </w:p>
    <w:p>
      <w:pPr>
        <w:pStyle w:val="Heading2"/>
      </w:pPr>
      <w:r>
        <w:t>2.1 Objetivo general</w:t>
      </w:r>
    </w:p>
    <w:p>
      <w:r>
        <w:rPr>
          <w:b/>
        </w:rPr>
        <w:t>Ordenar, documentar y analizar los principales procesos administrativos de la notaría para identificar oportunidades de mejora, redistribución de responsabilidades, reducción de tareas manuales y automatización controlada.</w:t>
      </w:r>
    </w:p>
    <w:p>
      <w:pPr>
        <w:pStyle w:val="Heading2"/>
      </w:pPr>
      <w:r>
        <w:t>2.2 Alcance preliminar</w:t>
      </w:r>
    </w:p>
    <w:p>
      <w:pPr>
        <w:pStyle w:val="ListBullet"/>
        <w:spacing w:after="60"/>
        <w:ind w:left="360"/>
      </w:pPr>
      <w:r>
        <w:t>Tesorería y bancos</w:t>
      </w:r>
    </w:p>
    <w:p>
      <w:pPr>
        <w:pStyle w:val="ListBullet"/>
        <w:spacing w:after="60"/>
        <w:ind w:left="360"/>
      </w:pPr>
      <w:r>
        <w:t>Caja y control de ventas</w:t>
      </w:r>
    </w:p>
    <w:p>
      <w:pPr>
        <w:pStyle w:val="ListBullet"/>
        <w:spacing w:after="60"/>
        <w:ind w:left="360"/>
      </w:pPr>
      <w:r>
        <w:t>Facturación y cobranzas</w:t>
      </w:r>
    </w:p>
    <w:p>
      <w:pPr>
        <w:pStyle w:val="ListBullet"/>
        <w:spacing w:after="60"/>
        <w:ind w:left="360"/>
      </w:pPr>
      <w:r>
        <w:t>Contabilidad y tributos</w:t>
      </w:r>
    </w:p>
    <w:p>
      <w:pPr>
        <w:pStyle w:val="ListBullet"/>
        <w:spacing w:after="60"/>
        <w:ind w:left="360"/>
      </w:pPr>
      <w:r>
        <w:t>Recursos humanos</w:t>
      </w:r>
    </w:p>
    <w:p>
      <w:pPr>
        <w:pStyle w:val="ListBullet"/>
        <w:spacing w:after="60"/>
        <w:ind w:left="360"/>
      </w:pPr>
      <w:r>
        <w:t>Operación notarial y plataformas</w:t>
      </w:r>
    </w:p>
    <w:p>
      <w:pPr>
        <w:pStyle w:val="ListBullet"/>
        <w:spacing w:after="60"/>
        <w:ind w:left="360"/>
      </w:pPr>
      <w:r>
        <w:t>Cumplimiento y reclamos</w:t>
      </w:r>
    </w:p>
    <w:p>
      <w:pPr>
        <w:pStyle w:val="ListBullet"/>
        <w:spacing w:after="60"/>
        <w:ind w:left="360"/>
      </w:pPr>
      <w:r>
        <w:t>Tecnología y soporte</w:t>
      </w:r>
    </w:p>
    <w:p>
      <w:pPr>
        <w:pStyle w:val="ListBullet"/>
        <w:spacing w:after="60"/>
        <w:ind w:left="360"/>
      </w:pPr>
      <w:r>
        <w:t>Compras y abastecimiento</w:t>
      </w:r>
    </w:p>
    <w:p>
      <w:pPr>
        <w:pStyle w:val="ListBullet"/>
        <w:spacing w:after="60"/>
        <w:ind w:left="360"/>
      </w:pPr>
      <w:r>
        <w:t>Mantenimiento y seguridad</w:t>
      </w:r>
    </w:p>
    <w:p>
      <w:r>
        <w:t>El levantamiento incluyó revisión de actividades declaradas, observación directa, entrevista con la administradora, análisis de interacciones, diagramación AS-IS de procesos prioritarios, propuesta preliminar de responsabilidades y desarrollo de un piloto de cobranzas.</w:t>
      </w:r>
    </w:p>
    <w:p>
      <w:pPr>
        <w:pStyle w:val="Heading1"/>
      </w:pPr>
      <w:r>
        <w:t>3. Mapa general de macroprocesos e interacciones administrativas</w:t>
      </w:r>
    </w:p>
    <w:p>
      <w:r>
        <w:t>El mapa general organiza la operación en tres capas: origen del servicio, cadena administrativa-financiera y procesos transversales de soporte. Administración se representa como coordinador transversal, ya que articula información, validaciones, pagos, cobros, seguimiento de excepciones y reportes.</w:t>
      </w:r>
    </w:p>
    <w:p>
      <w:pPr>
        <w:sectPr>
          <w:headerReference w:type="default" r:id="rId13"/>
          <w:footerReference w:type="default" r:id="rId14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FigureIntro"/>
      </w:pPr>
      <w:r>
        <w:t>La figura presenta una vista de alto nivel. Los flujos específicos se desarrollan posteriormente mediante diagramas AS-IS de procesos prioritarios.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5265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7 ago 2026, 11_37_28 a.m.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26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1. Mapa preliminar de macroprocesos e interacciones administrativas.</w:t>
      </w:r>
    </w:p>
    <w:p>
      <w:pPr>
        <w:sectPr>
          <w:pgSz w:w="16834" w:h="11909" w:orient="landscape"/>
          <w:pgMar w:top="648" w:right="648" w:bottom="720" w:left="648" w:header="720" w:footer="720" w:gutter="0"/>
          <w:cols w:space="720"/>
          <w:docGrid w:linePitch="360"/>
        </w:sectPr>
      </w:pPr>
    </w:p>
    <w:p>
      <w:pPr>
        <w:pStyle w:val="Heading2"/>
      </w:pPr>
      <w:r>
        <w:t>3.1 Operación legal y origen del servicio</w:t>
      </w:r>
    </w:p>
    <w:p>
      <w:r>
        <w:t>La operación se origina en la Notaria, gerencia legal, abogados responsables, caja/legalizaciones y mecanografía/archivo. Estas áreas generan, validan o documentan los servicios que posteriormente alimentan el circuito administrativo.</w:t>
      </w:r>
    </w:p>
    <w:p>
      <w:pPr>
        <w:pStyle w:val="Heading2"/>
      </w:pPr>
      <w:r>
        <w:t>3.2 Cadena principal administrativa-financiera</w:t>
      </w:r>
    </w:p>
    <w:p>
      <w:r>
        <w:t>La secuencia principal es: servicio notarial/kardex → validación y cierre del servicio → facturación → cobranza → recepción y aplicación del pago → conciliación bancaria → contabilidad y obligaciones tributarias.</w:t>
      </w:r>
    </w:p>
    <w:p>
      <w:pPr>
        <w:pStyle w:val="Heading2"/>
      </w:pPr>
      <w:r>
        <w:t>3.3 Administración como coordinador transversal</w:t>
      </w:r>
    </w:p>
    <w:p>
      <w:r>
        <w:t>Administración no constituye un único paso del flujo. Su función actual articula información, validaciones, pagos, cobros, seguimientos, excepciones, reportes y coordinación con actores internos y externos.</w:t>
      </w:r>
    </w:p>
    <w:p>
      <w:pPr>
        <w:pStyle w:val="Heading2"/>
      </w:pPr>
      <w:r>
        <w:t>3.4 Procesos transversales de soporte</w:t>
      </w:r>
    </w:p>
    <w:p>
      <w:r>
        <w:t>Tesorería, caja, cobranzas, contabilidad, recursos humanos, plataformas notariales, cumplimiento, TI, compras y mantenimiento acompañan la operación y requieren calendarios, responsables y evidencias de cierre.</w:t>
      </w:r>
    </w:p>
    <w:p>
      <w:pPr>
        <w:pStyle w:val="Heading2"/>
      </w:pPr>
      <w:r>
        <w:t>3.5 Actores externos</w:t>
      </w:r>
    </w:p>
    <w:p>
      <w:r>
        <w:t>Clientes, proveedores, bancos, estudio contable, SUNAT, entidades registrales y municipalidad/INDECI condicionan distintos puntos de la operación y generan dependencias de información, pagos, aprobaciones y plazos.</w:t>
      </w:r>
    </w:p>
    <w:p>
      <w:pPr>
        <w:pStyle w:val="Heading1"/>
      </w:pPr>
      <w:r>
        <w:t>4. Hallazgos preliminares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880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4608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Implicancia</w:t>
            </w:r>
          </w:p>
        </w:tc>
        <w:tc>
          <w:tcPr>
            <w:tcW w:type="dxa" w:w="3024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Orientación de mejora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Trabajo fragmentado por interrupciones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La jornada combina actividades programadas con solicitudes no planificadas de la notaria, abogados, clientes, proveedores y colaboradores. Esto afecta bloques de concentración y puede desplazar tareas de control y cierre.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Tablero único y reglas de prioridad.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Concentración de ejecución y control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Administración participa simultáneamente en ejecución, revisión, coordinación, seguimiento y reporte. La oportunidad es separar preparación operativa de revisión y decisión.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Delegar preparación y mantener revisión en Administración.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Dependencia de conocimiento individual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Bancos, conciliaciones, pagos, cobranzas, plataformas y requerimientos regulatorios presentan una alta dependencia de la administradora. Esto representa un riesgo de continuidad durante ausencias.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Documentar procesos críticos y crear respaldo.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Delegación operativa en proceso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Diana, Marlon y Gabriel ya han asumido funciones concretas. Sin embargo, conviene formalizar el alcance de cada rol, su evidencia de cierre y los casos de escalamiento.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Formalizar funciones, límites y evidencias.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Procesos manuales y dispersión de información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La operación combina sistema notarial, Excel, correo, banca, plataformas públicas, documentos físicos y seguimiento verbal, lo que genera retrabajo y dificulta la trazabilidad.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Estandarizar repositorio, datos y automatización gradual.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Doble revisión en cierres de clientes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Administración vuelve a contrastar información de abogados con kardex o bases internas para detectar faltantes. La recomendación es que el responsable de cartera valide integridad antes de entregar el cierre.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Control por excepción y validación previa del responsable.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Seguimiento de cobranzas no centralizado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Correo, WhatsApp, llamadas y hojas de control se utilizan en paralelo. Falta una bitácora central de compromisos, estados y escalamiento.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Cartera única, bitácora y reglas de escalamiento.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Reporting gerencial sin vista consolidada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La notaria recibe reportes diarios, pero no cuenta con un tablero ejecutivo consolidado de ventas, producción, facturación, cobranzas y pendientes.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Diseñar dashboard ejecutivo y KPIs.</w:t>
            </w:r>
          </w:p>
        </w:tc>
      </w:tr>
    </w:tbl>
    <w:p>
      <w:pPr>
        <w:pStyle w:val="Heading1"/>
      </w:pPr>
      <w:r>
        <w:t>5. BPMN prioritario — Gestión de cartera y cobranza</w:t>
      </w:r>
    </w:p>
    <w:p>
      <w:r>
        <w:t>Este proceso cubre desde la emisión del comprobante a crédito hasta la regularización, compromiso de pago, escalamiento o recepción del pago. La aplicación bancaria del abono se modela por separado para mantener claridad del flujo.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4966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7 ago 2026, 11_37_33 a.m.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2. BPMN AS-IS preliminar del proceso de gestión de cartera y cobranza.</w:t>
      </w:r>
    </w:p>
    <w:p>
      <w:pPr>
        <w:sectPr>
          <w:pgSz w:w="16834" w:h="11909" w:orient="landscape"/>
          <w:pgMar w:top="648" w:right="648" w:bottom="720" w:left="648" w:header="720" w:footer="720" w:gutter="0"/>
          <w:cols w:space="720"/>
          <w:docGrid w:linePitch="360"/>
        </w:sectPr>
      </w:pPr>
    </w:p>
    <w:p>
      <w:pPr>
        <w:pStyle w:val="ListNumber"/>
        <w:spacing w:after="60"/>
      </w:pPr>
      <w:r>
        <w:t>Se emite un comprobante a crédito y se registra inicialmente.</w:t>
      </w:r>
    </w:p>
    <w:p>
      <w:pPr>
        <w:pStyle w:val="ListNumber"/>
        <w:spacing w:after="60"/>
      </w:pPr>
      <w:r>
        <w:t>Administración revisa requisitos pendientes; si faltan, solicita regularización.</w:t>
      </w:r>
    </w:p>
    <w:p>
      <w:pPr>
        <w:pStyle w:val="ListNumber"/>
        <w:spacing w:after="60"/>
      </w:pPr>
      <w:r>
        <w:t>Con requisitos completos, el comprobante ingresa a cartera activa y se envía recordatorio.</w:t>
      </w:r>
    </w:p>
    <w:p>
      <w:pPr>
        <w:pStyle w:val="ListNumber"/>
        <w:spacing w:after="60"/>
      </w:pPr>
      <w:r>
        <w:t>Si el cliente responde, se registra compromiso u observación; si no responde, se reitera el contacto.</w:t>
      </w:r>
    </w:p>
    <w:p>
      <w:pPr>
        <w:pStyle w:val="ListNumber"/>
        <w:spacing w:after="60"/>
      </w:pPr>
      <w:r>
        <w:t>Si persiste la mora o falta de respuesta, el caso se escala al abogado responsable.</w:t>
      </w:r>
    </w:p>
    <w:p>
      <w:pPr>
        <w:pStyle w:val="ListNumber"/>
        <w:spacing w:after="60"/>
      </w:pPr>
      <w:r>
        <w:t>El abogado interviene con el cliente; si no se resuelve, se escala a Notaria/gerencia.</w:t>
      </w:r>
    </w:p>
    <w:p>
      <w:pPr>
        <w:pStyle w:val="ListNumber"/>
        <w:spacing w:after="60"/>
      </w:pPr>
      <w:r>
        <w:t>Si se recibe el pago, el flujo se enlaza con recepción y aplicación del pago.</w:t>
      </w:r>
    </w:p>
    <w:p>
      <w:r>
        <w:rPr>
          <w:b/>
        </w:rPr>
        <w:t xml:space="preserve">Oportunidades principales: </w:t>
      </w:r>
      <w:r>
        <w:t>cartera única, bitácora de contactos y compromisos, alertas, recordatorios estandarizados y reglas claras de escalamiento.</w:t>
      </w:r>
    </w:p>
    <w:p>
      <w:pPr>
        <w:pStyle w:val="Heading1"/>
      </w:pPr>
      <w:r>
        <w:t>6. BPMN prioritario — Recepción y aplicación del pago</w:t>
      </w:r>
    </w:p>
    <w:p>
      <w:r>
        <w:t>Este proceso representa la identificación del abono, su cruce con el comprobante y la actualización de la cartera. La automatización debe enfocarse primero en coincidencias claras y mantener las excepciones bajo revisión humana.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4966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7 ago 2026, 11_37_41 a.m.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3. BPMN AS-IS preliminar del proceso de recepción y aplicación del pago.</w:t>
      </w:r>
    </w:p>
    <w:p>
      <w:pPr>
        <w:sectPr>
          <w:pgSz w:w="16834" w:h="11909" w:orient="landscape"/>
          <w:pgMar w:top="648" w:right="648" w:bottom="720" w:left="648" w:header="720" w:footer="720" w:gutter="0"/>
          <w:cols w:space="720"/>
          <w:docGrid w:linePitch="360"/>
        </w:sectPr>
      </w:pPr>
    </w:p>
    <w:p>
      <w:pPr>
        <w:pStyle w:val="ListNumber"/>
        <w:spacing w:after="60"/>
      </w:pPr>
      <w:r>
        <w:t>El banco registra un abono y Administración actualiza movimientos bancarios.</w:t>
      </w:r>
    </w:p>
    <w:p>
      <w:pPr>
        <w:pStyle w:val="ListNumber"/>
        <w:spacing w:after="60"/>
      </w:pPr>
      <w:r>
        <w:t>Se identifica al cliente y el comprobante relacionado.</w:t>
      </w:r>
    </w:p>
    <w:p>
      <w:pPr>
        <w:pStyle w:val="ListNumber"/>
        <w:spacing w:after="60"/>
      </w:pPr>
      <w:r>
        <w:t>Si el abono no puede identificarse, se registra como partida pendiente, se investiga el origen y se mantiene para conciliación posterior.</w:t>
      </w:r>
    </w:p>
    <w:p>
      <w:pPr>
        <w:pStyle w:val="ListNumber"/>
        <w:spacing w:after="60"/>
      </w:pPr>
      <w:r>
        <w:t>Si el abono está identificado, se revisan detracción y/o retención cuando corresponda.</w:t>
      </w:r>
    </w:p>
    <w:p>
      <w:pPr>
        <w:pStyle w:val="ListNumber"/>
        <w:spacing w:after="60"/>
      </w:pPr>
      <w:r>
        <w:t>Si el pago no corresponde exactamente a la deuda, se registra una incidencia, se mantiene saldo pendiente y el caso retorna a cobranza.</w:t>
      </w:r>
    </w:p>
    <w:p>
      <w:pPr>
        <w:pStyle w:val="ListNumber"/>
        <w:spacing w:after="60"/>
      </w:pPr>
      <w:r>
        <w:t>Si el pago es correcto, se aplica, se actualiza el comprobante y la cartera, se verifica, se archiva evidencia y se envía confirmación.</w:t>
      </w:r>
    </w:p>
    <w:p>
      <w:r>
        <w:rPr>
          <w:b/>
        </w:rPr>
        <w:t xml:space="preserve">Oportunidad tecnológica: </w:t>
      </w:r>
      <w:r>
        <w:t>matching banco–comprobante con bandeja de excepciones, evitando automatizar decisiones ambiguas.</w:t>
      </w:r>
    </w:p>
    <w:p>
      <w:pPr>
        <w:pStyle w:val="Heading1"/>
      </w:pPr>
      <w:r>
        <w:t>7. Propuesta preliminar de responsabilidades</w:t>
      </w:r>
    </w:p>
    <w:p>
      <w:r>
        <w:t>La propuesta busca separar los niveles de decisión, supervisión y ejecución. No constituye una definición definitiva de puestos; debe validarse con carga, disponibilidad de recursos, controles y responsabilidades legales.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4966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7 ago 2026, 11_46_26 a.m.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4. Modelo operativo preliminar de Administración.</w:t>
      </w:r>
    </w:p>
    <w:p>
      <w:pPr>
        <w:sectPr>
          <w:pgSz w:w="16834" w:h="11909" w:orient="landscape"/>
          <w:pgMar w:top="648" w:right="648" w:bottom="720" w:left="648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Enfoque</w:t>
            </w:r>
          </w:p>
        </w:tc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Responsabilidades principales</w:t>
            </w:r>
          </w:p>
        </w:tc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Notaria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Decisión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Aprobaciones, excepciones, créditos/devoluciones relevantes, reclamos complejos y reportes.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Actual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Administradora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Control y supervisión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Supervisión de procesos, conciliaciones, vencimientos, cobranzas, coordinación contable y consolidación de reportes.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Actual / rol objetivo reforzado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Diana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Ejecución operativa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Caja, comprobantes, facturación operativa, caja chica, reportes diarios y sustentos.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Actual / ampliado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Asistente administrativo-financiero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Ejecución operativa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Bancos, conciliaciones, identificación de pagos, cartera, cancelaciones, seguimiento y sustentos.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Propuesto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Marlon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Soporte operativo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Abastecimiento, inventarios y logística.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Actual en formalización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Gabriel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Soporte operativo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Mantenimiento, instalaciones, soporte físico, licencias y seguridad.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Actual en formalización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Abogados responsables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Colaboración lateral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Integridad de información del cliente, cierres, conformidades, facturación y apoyo en cobranzas escaladas.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Actual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Estudio contable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Colaboración lateral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Contabilidad, tributos, planillas, declaraciones y validación técnica.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Externo</w:t>
            </w:r>
          </w:p>
        </w:tc>
      </w:tr>
    </w:tbl>
    <w:p>
      <w:pPr>
        <w:pStyle w:val="Heading1"/>
      </w:pPr>
      <w:r>
        <w:t>8. Piloto de automatización de cobranzas</w:t>
      </w:r>
    </w:p>
    <w:p>
      <w:pPr>
        <w:pStyle w:val="Heading2"/>
      </w:pPr>
      <w:r>
        <w:t>8.1 Problema actual</w:t>
      </w:r>
    </w:p>
    <w:p>
      <w:r>
        <w:t>La cobranza requiere identificar comprobantes pendientes, calcular vencimientos, preparar cartera, redactar comunicaciones, reiterar contactos, revisar pagos y actualizar estados. Gran parte de estas tareas es repetitiva y se realiza manualmente, con información repartida entre reportes, hojas de cálculo y correo.</w:t>
      </w:r>
    </w:p>
    <w:p>
      <w:pPr>
        <w:pStyle w:val="Heading2"/>
      </w:pPr>
      <w:r>
        <w:t>8.2 Objetivo del piloto</w:t>
      </w:r>
    </w:p>
    <w:p>
      <w:r>
        <w:t>Automatizar las tareas de preparación y seguimiento que no requieren criterio discrecional, manteniendo revisión humana antes de cualquier comunicación externa o aplicación de una excepción.</w:t>
      </w:r>
    </w:p>
    <w:p>
      <w:pPr>
        <w:pStyle w:val="Heading2"/>
      </w:pPr>
      <w:r>
        <w:t>8.3 Funcionamiento actual del prototipo</w:t>
      </w:r>
    </w:p>
    <w:p>
      <w:pPr>
        <w:pStyle w:val="ListNumber"/>
        <w:spacing w:after="60"/>
      </w:pPr>
      <w:r>
        <w:t>Recibe un reporte exportable de comprobantes del sistema notarial.</w:t>
      </w:r>
    </w:p>
    <w:p>
      <w:pPr>
        <w:pStyle w:val="ListNumber"/>
        <w:spacing w:after="60"/>
      </w:pPr>
      <w:r>
        <w:t>Recibe la base de créditos actuales en Excel.</w:t>
      </w:r>
    </w:p>
    <w:p>
      <w:pPr>
        <w:pStyle w:val="ListNumber"/>
        <w:spacing w:after="60"/>
      </w:pPr>
      <w:r>
        <w:t>Compara ambas fuentes y detecta diferencias.</w:t>
      </w:r>
    </w:p>
    <w:p>
      <w:pPr>
        <w:pStyle w:val="ListNumber"/>
        <w:spacing w:after="60"/>
      </w:pPr>
      <w:r>
        <w:t>Clasifica comprobantes vigentes, por vencer, vencidos, pagados o pendientes de revisión.</w:t>
      </w:r>
    </w:p>
    <w:p>
      <w:pPr>
        <w:pStyle w:val="ListNumber"/>
        <w:spacing w:after="60"/>
      </w:pPr>
      <w:r>
        <w:t>Calcula fechas de vencimiento y agrupa deuda por cliente.</w:t>
      </w:r>
    </w:p>
    <w:p>
      <w:pPr>
        <w:pStyle w:val="ListNumber"/>
        <w:spacing w:after="60"/>
      </w:pPr>
      <w:r>
        <w:t>Genera borradores de correo para Outlook.</w:t>
      </w:r>
    </w:p>
    <w:p>
      <w:pPr>
        <w:pStyle w:val="ListNumber"/>
        <w:spacing w:after="60"/>
      </w:pPr>
      <w:r>
        <w:t>Permite revisión humana antes del envío.</w:t>
      </w:r>
    </w:p>
    <w:p>
      <w:pPr>
        <w:pStyle w:val="Heading2"/>
      </w:pPr>
      <w:r>
        <w:t>8.4 Arquitectura prevista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SIGNO / reporte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Base intermedia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Conciliación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Cartera consolidada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Reglas de vencimiento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Borradores</w:t>
            </w:r>
          </w:p>
        </w:tc>
        <w:tc>
          <w:tcPr>
            <w:tcW w:type="dxa" w:w="1099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Revisión humana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Envío</w:t>
            </w:r>
          </w:p>
        </w:tc>
        <w:tc>
          <w:tcPr>
            <w:tcW w:type="dxa" w:w="1099"/>
            <w:shd w:fill="D9E2F3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Seguimiento</w:t>
            </w:r>
          </w:p>
        </w:tc>
      </w:tr>
    </w:tbl>
    <w:p>
      <w:r>
        <w:t>La solución objetivo no requiere una integración invasiva con el sistema notarial. Puede operar inicialmente con un exportable periódico hacia una base intermedia y evolucionar posteriormente a una conexión estable cuando exista un mecanismo oficial de consulta.</w:t>
      </w:r>
    </w:p>
    <w:p>
      <w:pPr>
        <w:pStyle w:val="Heading2"/>
      </w:pPr>
      <w:r>
        <w:t>8.5 Evolución propuesta</w:t>
      </w:r>
    </w:p>
    <w:p>
      <w:pPr>
        <w:pStyle w:val="ListBullet"/>
        <w:spacing w:after="60"/>
        <w:ind w:left="360"/>
      </w:pPr>
      <w:r>
        <w:t>Tres cortes de actualización diaria.</w:t>
      </w:r>
    </w:p>
    <w:p>
      <w:pPr>
        <w:pStyle w:val="ListBullet"/>
        <w:spacing w:after="60"/>
        <w:ind w:left="360"/>
      </w:pPr>
      <w:r>
        <w:t>Recepción automática o semiautomática del exportable de SIGNO.</w:t>
      </w:r>
    </w:p>
    <w:p>
      <w:pPr>
        <w:pStyle w:val="ListBullet"/>
        <w:spacing w:after="60"/>
        <w:ind w:left="360"/>
      </w:pPr>
      <w:r>
        <w:t>Uso de una base intermedia (por ejemplo, MariaDB) para consolidar cartera, contactos, compromisos y estados.</w:t>
      </w:r>
    </w:p>
    <w:p>
      <w:pPr>
        <w:pStyle w:val="ListBullet"/>
        <w:spacing w:after="60"/>
        <w:ind w:left="360"/>
      </w:pPr>
      <w:r>
        <w:t>Registro central de respuestas y compromisos de pago.</w:t>
      </w:r>
    </w:p>
    <w:p>
      <w:pPr>
        <w:pStyle w:val="ListBullet"/>
        <w:spacing w:after="60"/>
        <w:ind w:left="360"/>
      </w:pPr>
      <w:r>
        <w:t>Matching con movimientos bancarios y bandeja de excepciones.</w:t>
      </w:r>
    </w:p>
    <w:p>
      <w:pPr>
        <w:pStyle w:val="ListBullet"/>
        <w:spacing w:after="60"/>
        <w:ind w:left="360"/>
      </w:pPr>
      <w:r>
        <w:t>Dashboard de cartera y antigüedad.</w:t>
      </w:r>
    </w:p>
    <w:p>
      <w:pPr>
        <w:pStyle w:val="ListBullet"/>
        <w:spacing w:after="60"/>
        <w:ind w:left="360"/>
      </w:pPr>
      <w:r>
        <w:t>Escalamiento a abogado responsable cuando se cumplan reglas definidas.</w:t>
      </w:r>
    </w:p>
    <w:p>
      <w:pPr>
        <w:pStyle w:val="Heading2"/>
      </w:pPr>
      <w:r>
        <w:t>8.6 Principios de control</w:t>
      </w:r>
    </w:p>
    <w:p>
      <w:pPr>
        <w:pStyle w:val="ListBullet"/>
        <w:spacing w:after="60"/>
        <w:ind w:left="360"/>
      </w:pPr>
      <w:r>
        <w:t>Validación humana antes del envío de correos.</w:t>
      </w:r>
    </w:p>
    <w:p>
      <w:pPr>
        <w:pStyle w:val="ListBullet"/>
        <w:spacing w:after="60"/>
        <w:ind w:left="360"/>
      </w:pPr>
      <w:r>
        <w:t>Trazabilidad de cambios y contactos.</w:t>
      </w:r>
    </w:p>
    <w:p>
      <w:pPr>
        <w:pStyle w:val="ListBullet"/>
        <w:spacing w:after="60"/>
        <w:ind w:left="360"/>
      </w:pPr>
      <w:r>
        <w:t>Gestión explícita de excepciones.</w:t>
      </w:r>
    </w:p>
    <w:p>
      <w:pPr>
        <w:pStyle w:val="ListBullet"/>
        <w:spacing w:after="60"/>
        <w:ind w:left="360"/>
      </w:pPr>
      <w:r>
        <w:t>Permisos según rol.</w:t>
      </w:r>
    </w:p>
    <w:p>
      <w:pPr>
        <w:pStyle w:val="ListBullet"/>
        <w:spacing w:after="60"/>
        <w:ind w:left="360"/>
      </w:pPr>
      <w:r>
        <w:t>Respaldo y recuperación de información.</w:t>
      </w:r>
    </w:p>
    <w:p>
      <w:pPr>
        <w:pStyle w:val="ListBullet"/>
        <w:spacing w:after="60"/>
        <w:ind w:left="360"/>
      </w:pPr>
      <w:r>
        <w:t>Separación entre preparación automática y aprobación/decisión.</w:t>
      </w:r>
    </w:p>
    <w:p>
      <w:pPr>
        <w:pStyle w:val="Heading2"/>
      </w:pPr>
      <w:r>
        <w:t>8.7 Indicadores potenciales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Cartera</w:t>
            </w:r>
          </w:p>
        </w:tc>
        <w:tc>
          <w:tcPr>
            <w:tcW w:type="dxa" w:w="329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Cartera total / vencida</w:t>
            </w:r>
          </w:p>
        </w:tc>
        <w:tc>
          <w:tcPr>
            <w:tcW w:type="dxa" w:w="329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Monto por antigüedad</w:t>
            </w:r>
          </w:p>
        </w:tc>
      </w:tr>
      <w:tr>
        <w:tc>
          <w:tcPr>
            <w:tcW w:type="dxa" w:w="329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Gestión</w:t>
            </w:r>
          </w:p>
        </w:tc>
        <w:tc>
          <w:tcPr>
            <w:tcW w:type="dxa" w:w="329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Recordatorios / compromisos</w:t>
            </w:r>
          </w:p>
        </w:tc>
        <w:tc>
          <w:tcPr>
            <w:tcW w:type="dxa" w:w="329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Casos escalados</w:t>
            </w:r>
          </w:p>
        </w:tc>
      </w:tr>
      <w:tr>
        <w:tc>
          <w:tcPr>
            <w:tcW w:type="dxa" w:w="329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Cobro</w:t>
            </w:r>
          </w:p>
        </w:tc>
        <w:tc>
          <w:tcPr>
            <w:tcW w:type="dxa" w:w="329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% recuperado / días promedio</w:t>
            </w:r>
          </w:p>
        </w:tc>
        <w:tc>
          <w:tcPr>
            <w:tcW w:type="dxa" w:w="329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t>Pagos no identificados</w:t>
            </w:r>
          </w:p>
        </w:tc>
      </w:tr>
    </w:tbl>
    <w:p>
      <w:pPr>
        <w:pStyle w:val="Heading1"/>
      </w:pPr>
      <w:r>
        <w:t>9. Hoja de ruta de siguientes fases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Línea de trabajo</w:t>
            </w:r>
          </w:p>
        </w:tc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2473"/>
            <w:shd w:fill="2F559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b/>
                <w:color w:val="FFFFFF"/>
              </w:rPr>
              <w:t>Horizonte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1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Formalizar responsabilidades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Definir funciones de Diana, Gabriel y Marlon; rol de abogados; alcance del estudio contable; aprobadores.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Inmediato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2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Crear respaldo operativo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Definir apoyo administrativo-financiero y documentar bancos, conciliaciones, cobranzas y pagos.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Corto plazo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3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Centralizar pendientes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Tablero único con responsable, fecha límite, estado y evidencia.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Inmediato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4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Implementar cobranzas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Cartera consolidada, vencimientos, borradores, historial, compromisos y escalamiento.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Inmediato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5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Estandarizar caja y cierres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Checklist diario, medios de pago, compensaciones, revisión y evidencia.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Corto plazo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6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Completar BPMN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Pagos, cobranzas, aplicación de pagos, cierres corporativos, onboarding y cumplimiento.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Corto plazo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7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Diseñar TO-BE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Simplificar pasos, redistribuir responsables, automatizar y eliminar retrabajo.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Corto / medio plazo</w:t>
            </w:r>
          </w:p>
        </w:tc>
      </w:tr>
      <w:tr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8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Dashboard ejecutivo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Ventas, producción, facturación, cobranzas, cartera, medios de pago y pendientes.</w:t>
            </w:r>
          </w:p>
        </w:tc>
        <w:tc>
          <w:tcPr>
            <w:tcW w:type="dxa" w:w="24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t>Medio plazo</w:t>
            </w:r>
          </w:p>
        </w:tc>
      </w:tr>
    </w:tbl>
    <w:p>
      <w:pPr>
        <w:pStyle w:val="Heading1"/>
      </w:pPr>
      <w:r>
        <w:t>10. Conclusiones</w:t>
      </w:r>
    </w:p>
    <w:p>
      <w:pPr>
        <w:pStyle w:val="ListNumber"/>
        <w:spacing w:after="60"/>
      </w:pPr>
      <w:r>
        <w:t>El levantamiento evidencia que Administración articula una cantidad significativa de procesos, actores y fuentes de información.</w:t>
      </w:r>
    </w:p>
    <w:p>
      <w:pPr>
        <w:pStyle w:val="ListNumber"/>
        <w:spacing w:after="60"/>
      </w:pPr>
      <w:r>
        <w:t>La principal oportunidad no consiste únicamente en acelerar tareas, sino en clarificar roles, reducir dependencia individual y separar ejecución de control.</w:t>
      </w:r>
    </w:p>
    <w:p>
      <w:pPr>
        <w:pStyle w:val="ListNumber"/>
        <w:spacing w:after="60"/>
      </w:pPr>
      <w:r>
        <w:t>Ya existe una redistribución inicial de funciones que puede consolidarse mediante responsabilidades, evidencias y reglas de escalamiento.</w:t>
      </w:r>
    </w:p>
    <w:p>
      <w:pPr>
        <w:pStyle w:val="ListNumber"/>
        <w:spacing w:after="60"/>
      </w:pPr>
      <w:r>
        <w:t>Cobranzas constituye un piloto adecuado porque combina alta manualidad, frecuencia, trazabilidad y posibilidad de medición.</w:t>
      </w:r>
    </w:p>
    <w:p>
      <w:pPr>
        <w:pStyle w:val="ListNumber"/>
        <w:spacing w:after="60"/>
      </w:pPr>
      <w:r>
        <w:t>Antes de formalizar puestos o automatizaciones completas, corresponde validar volúmenes, tiempos, responsables, accesos y excepciones de los procesos prioritarios.</w:t>
      </w:r>
    </w:p>
    <w:p>
      <w:pPr>
        <w:spacing w:before="320"/>
      </w:pPr>
      <w:r>
        <w:rPr>
          <w:b/>
        </w:rPr>
        <w:t xml:space="preserve">Nota de alcance: </w:t>
      </w:r>
      <w:r>
        <w:t>Este documento representa un diagnóstico preliminar. No constituye una auditoría de desempeño individual ni una definición definitiva de estructura organizacional.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Documento preliminar — sujeto a validación  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7"/>
      </w:rPr>
      <w:t>Remapeo preliminar de procesos administrativos |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Intro">
    <w:name w:val="Figure Intro"/>
    <w:pPr>
      <w:spacing w:after="80"/>
    </w:pPr>
    <w:rPr>
      <w:rFonts w:ascii="Aptos" w:hAnsi="Aptos"/>
      <w:i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