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D12. QA Risk Management Plan (Example)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Cadence:</w:t>
      </w:r>
      <w:r w:rsidDel="00000000" w:rsidR="00000000" w:rsidRPr="00000000">
        <w:rPr>
          <w:rtl w:val="0"/>
        </w:rPr>
        <w:t xml:space="preserve"> weekly 30-min risk review (QA lead + dev rep)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  <w:t xml:space="preserve"> P (1–5), I (1–5), Exposure=P×I; High ≥ 15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Escalation:</w:t>
      </w:r>
      <w:r w:rsidDel="00000000" w:rsidR="00000000" w:rsidRPr="00000000">
        <w:rPr>
          <w:rtl w:val="0"/>
        </w:rPr>
        <w:t xml:space="preserve"> Any High risk or blocker &gt; 24h → escalate to PM/owner same day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Reporting:</w:t>
      </w:r>
      <w:r w:rsidDel="00000000" w:rsidR="00000000" w:rsidRPr="00000000">
        <w:rPr>
          <w:rtl w:val="0"/>
        </w:rPr>
        <w:t xml:space="preserve"> top 5 risks in weekly QA report + status trend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Reserves:</w:t>
      </w:r>
      <w:r w:rsidDel="00000000" w:rsidR="00000000" w:rsidRPr="00000000">
        <w:rPr>
          <w:rtl w:val="0"/>
        </w:rPr>
        <w:t xml:space="preserve"> 15% time buffer reserved for retests + environment issues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3.8459226892668"/>
        <w:gridCol w:w="2008.9144091645587"/>
        <w:gridCol w:w="1392.1048677579565"/>
        <w:gridCol w:w="4090.6466114118416"/>
        <w:tblGridChange w:id="0">
          <w:tblGrid>
            <w:gridCol w:w="813.8459226892668"/>
            <w:gridCol w:w="2008.9144091645587"/>
            <w:gridCol w:w="1392.1048677579565"/>
            <w:gridCol w:w="4090.646611411841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3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30" w:lineRule="auto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3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Exposure (PxI)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30" w:lineRule="auto"/>
              <w:rPr/>
            </w:pPr>
            <w:r w:rsidDel="00000000" w:rsidR="00000000" w:rsidRPr="00000000">
              <w:rPr>
                <w:rtl w:val="0"/>
              </w:rPr>
              <w:t xml:space="preserve">Response Strategy (Mitigation)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3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30" w:lineRule="auto"/>
              <w:rPr/>
            </w:pPr>
            <w:r w:rsidDel="00000000" w:rsidR="00000000" w:rsidRPr="00000000">
              <w:rPr>
                <w:rtl w:val="0"/>
              </w:rPr>
              <w:t xml:space="preserve">Administrative Hierarchy Conflict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3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16(</w:t>
            </w:r>
            <w:r w:rsidDel="00000000" w:rsidR="00000000" w:rsidRPr="00000000">
              <w:rPr>
                <w:rtl w:val="0"/>
              </w:rPr>
              <w:t xml:space="preserve">High)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30" w:lineRule="auto"/>
              <w:rPr/>
            </w:pPr>
            <w:r w:rsidDel="00000000" w:rsidR="00000000" w:rsidRPr="00000000">
              <w:rPr>
                <w:rtl w:val="0"/>
              </w:rPr>
              <w:t xml:space="preserve">Mitigation: Define and document Business Process Rules.</w:t>
            </w:r>
          </w:p>
          <w:p w:rsidR="00000000" w:rsidDel="00000000" w:rsidP="00000000" w:rsidRDefault="00000000" w:rsidRPr="00000000" w14:paraId="00000010">
            <w:pPr>
              <w:spacing w:line="330" w:lineRule="auto"/>
              <w:rPr/>
            </w:pPr>
            <w:r w:rsidDel="00000000" w:rsidR="00000000" w:rsidRPr="00000000">
              <w:rPr>
                <w:rtl w:val="0"/>
              </w:rPr>
              <w:t xml:space="preserve"> Added specific Business Logic scenario   to the Manual Regression Suite to verify the "as-designed" behavior during each cycle.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3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30" w:lineRule="auto"/>
              <w:rPr/>
            </w:pPr>
            <w:r w:rsidDel="00000000" w:rsidR="00000000" w:rsidRPr="00000000">
              <w:rPr>
                <w:rtl w:val="0"/>
              </w:rPr>
              <w:t xml:space="preserve">DB Table Corruption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3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(High)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30" w:lineRule="auto"/>
              <w:rPr/>
            </w:pPr>
            <w:r w:rsidDel="00000000" w:rsidR="00000000" w:rsidRPr="00000000">
              <w:rPr>
                <w:rtl w:val="0"/>
              </w:rPr>
              <w:t xml:space="preserve">Prevention: Weekly DB optimization and backups. Strategy established after recurring corruption/regression was observed during testing across different team environments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330" w:lineRule="auto"/>
              <w:rPr/>
            </w:pPr>
            <w:r w:rsidDel="00000000" w:rsidR="00000000" w:rsidRPr="00000000">
              <w:rPr>
                <w:rtl w:val="0"/>
              </w:rPr>
              <w:t xml:space="preserve">Contingency: </w:t>
            </w:r>
            <w:r w:rsidDel="00000000" w:rsidR="00000000" w:rsidRPr="00000000">
              <w:rPr>
                <w:rtl w:val="0"/>
              </w:rPr>
              <w:t xml:space="preserve">Technical remedy: REPAIR TABLE wp_comments USE_FRM to reconstruct table headers from source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3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30" w:lineRule="auto"/>
              <w:rPr/>
            </w:pPr>
            <w:r w:rsidDel="00000000" w:rsidR="00000000" w:rsidRPr="00000000">
              <w:rPr>
                <w:rtl w:val="0"/>
              </w:rPr>
              <w:t xml:space="preserve">Media Sync Lag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3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 (Medium)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30" w:lineRule="auto"/>
              <w:rPr/>
            </w:pPr>
            <w:r w:rsidDel="00000000" w:rsidR="00000000" w:rsidRPr="00000000">
              <w:rPr>
                <w:rtl w:val="0"/>
              </w:rPr>
              <w:t xml:space="preserve">Workaround: Establish a shared repository for the </w:t>
            </w:r>
            <w:r w:rsidDel="00000000" w:rsidR="00000000" w:rsidRPr="00000000">
              <w:rPr>
                <w:rtl w:val="0"/>
              </w:rPr>
              <w:t xml:space="preserve">wp-content/uploads</w:t>
            </w:r>
            <w:r w:rsidDel="00000000" w:rsidR="00000000" w:rsidRPr="00000000">
              <w:rPr>
                <w:rtl w:val="0"/>
              </w:rPr>
              <w:t xml:space="preserve"> folder to ensure visual consistency across all environments.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3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30" w:lineRule="auto"/>
              <w:rPr/>
            </w:pPr>
            <w:r w:rsidDel="00000000" w:rsidR="00000000" w:rsidRPr="00000000">
              <w:rPr>
                <w:rtl w:val="0"/>
              </w:rPr>
              <w:t xml:space="preserve">Cross-Browser Inconsistency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3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 (Medium)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30" w:lineRule="auto"/>
              <w:rPr/>
            </w:pPr>
            <w:r w:rsidDel="00000000" w:rsidR="00000000" w:rsidRPr="00000000">
              <w:rPr>
                <w:rtl w:val="0"/>
              </w:rPr>
              <w:t xml:space="preserve">Mitigation: Implementation of a Dual-Browser Automation Framework (Selenium Chrome &amp; Firefox) to validate UI parity and functional consistency.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3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R07 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Unstable Test Environment (Local WordPress setup)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3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(High)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30" w:lineRule="auto"/>
              <w:rPr/>
            </w:pPr>
            <w:r w:rsidDel="00000000" w:rsidR="00000000" w:rsidRPr="00000000">
              <w:rPr>
                <w:rtl w:val="0"/>
              </w:rPr>
              <w:t xml:space="preserve">Standardize local setup instructions and maintain a clean baseline snapshot of the Database and /uploads repository to quickly recover from MAMP/WAMP environment crashes.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lineRule="auto"/>
        <w:rPr>
          <w:rFonts w:ascii="Arial" w:cs="Arial" w:eastAsia="Arial" w:hAnsi="Arial"/>
          <w:color w:val="3b3b3b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b3b3b"/>
          <w:sz w:val="21"/>
          <w:szCs w:val="21"/>
          <w:rtl w:val="0"/>
        </w:rPr>
        <w:t xml:space="preserve">Strategic Coverage</w:t>
      </w:r>
      <w:r w:rsidDel="00000000" w:rsidR="00000000" w:rsidRPr="00000000">
        <w:rPr>
          <w:rFonts w:ascii="Arial" w:cs="Arial" w:eastAsia="Arial" w:hAnsi="Arial"/>
          <w:color w:val="3b3b3b"/>
          <w:sz w:val="21"/>
          <w:szCs w:val="21"/>
          <w:rtl w:val="0"/>
        </w:rPr>
        <w:t xml:space="preserve">: These risks span all critical project categories: Business Logic, Database, Infrastructure, Automation, and Operations.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b3b3b"/>
          <w:sz w:val="21"/>
          <w:szCs w:val="21"/>
          <w:rtl w:val="0"/>
        </w:rPr>
        <w:t xml:space="preserve">R01 (16):</w:t>
      </w:r>
      <w:r w:rsidDel="00000000" w:rsidR="00000000" w:rsidRPr="00000000">
        <w:rPr>
          <w:rFonts w:ascii="Arial" w:cs="Arial" w:eastAsia="Arial" w:hAnsi="Arial"/>
          <w:color w:val="3b3b3b"/>
          <w:sz w:val="21"/>
          <w:szCs w:val="21"/>
          <w:rtl w:val="0"/>
        </w:rPr>
        <w:t xml:space="preserve"> Hierarchy Conflict (Business Risk)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b3b3b"/>
          <w:sz w:val="21"/>
          <w:szCs w:val="21"/>
          <w:rtl w:val="0"/>
        </w:rPr>
        <w:t xml:space="preserve">R02 (15):</w:t>
      </w:r>
      <w:r w:rsidDel="00000000" w:rsidR="00000000" w:rsidRPr="00000000">
        <w:rPr>
          <w:rFonts w:ascii="Arial" w:cs="Arial" w:eastAsia="Arial" w:hAnsi="Arial"/>
          <w:color w:val="3b3b3b"/>
          <w:sz w:val="21"/>
          <w:szCs w:val="21"/>
          <w:rtl w:val="0"/>
        </w:rPr>
        <w:t xml:space="preserve"> DB Table Corruption (Technical/Critical Risk)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b3b3b"/>
          <w:sz w:val="21"/>
          <w:szCs w:val="21"/>
          <w:rtl w:val="0"/>
        </w:rPr>
        <w:t xml:space="preserve">R07 (15)</w:t>
      </w:r>
      <w:r w:rsidDel="00000000" w:rsidR="00000000" w:rsidRPr="00000000">
        <w:rPr>
          <w:rFonts w:ascii="Arial" w:cs="Arial" w:eastAsia="Arial" w:hAnsi="Arial"/>
          <w:color w:val="3b3b3b"/>
          <w:sz w:val="21"/>
          <w:szCs w:val="21"/>
          <w:rtl w:val="0"/>
        </w:rPr>
        <w:t xml:space="preserve">: Unstable local environment (Infrastructure Risk)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b3b3b"/>
          <w:sz w:val="21"/>
          <w:szCs w:val="21"/>
          <w:rtl w:val="0"/>
        </w:rPr>
        <w:t xml:space="preserve">R04 (12)</w:t>
      </w:r>
      <w:r w:rsidDel="00000000" w:rsidR="00000000" w:rsidRPr="00000000">
        <w:rPr>
          <w:rFonts w:ascii="Arial" w:cs="Arial" w:eastAsia="Arial" w:hAnsi="Arial"/>
          <w:color w:val="3b3b3b"/>
          <w:sz w:val="21"/>
          <w:szCs w:val="21"/>
          <w:rtl w:val="0"/>
        </w:rPr>
        <w:t xml:space="preserve">: Cross-Browser Inconsistency (Automation Focus)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b3b3b"/>
          <w:sz w:val="21"/>
          <w:szCs w:val="21"/>
          <w:rtl w:val="0"/>
        </w:rPr>
        <w:t xml:space="preserve">R03 (12):</w:t>
      </w:r>
      <w:r w:rsidDel="00000000" w:rsidR="00000000" w:rsidRPr="00000000">
        <w:rPr>
          <w:rFonts w:ascii="Arial" w:cs="Arial" w:eastAsia="Arial" w:hAnsi="Arial"/>
          <w:color w:val="3b3b3b"/>
          <w:sz w:val="21"/>
          <w:szCs w:val="21"/>
          <w:rtl w:val="0"/>
        </w:rPr>
        <w:t xml:space="preserve"> Media Sync Lag (Operational Risk)</w:t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1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b3b3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520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520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520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520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520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520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520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520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520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520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520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520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520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520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520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520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520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520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520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520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520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7Fas4Jt8Z5SU0+8FZ1liQErMtg==">CgMxLjA4AHIhMVRvdVRyLUVYbDE5M0FzUE5NUHRmX2lXd193c0JHN1RQ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2026-02-24T11:05:00Z</dcterms:created>
  <dc:creator>Theo Lag</dc:creator>
</cp:coreProperties>
</file>