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jc w:val="center"/>
      </w:pPr>
      <w:r>
        <w:rPr>
          <w:rFonts w:ascii="Times New Roman" w:hAnsi="Times New Roman" w:eastAsia="黑体"/>
          <w:b/>
          <w:sz w:val="36"/>
        </w:rPr>
        <w:t>短视频广告虚假宣传话术检测系统</w:t>
      </w:r>
    </w:p>
    <w:p>
      <w:pPr>
        <w:spacing w:line="360" w:lineRule="auto" w:after="240" w:before="0"/>
        <w:jc w:val="center"/>
      </w:pPr>
      <w:r>
        <w:rPr>
          <w:rFonts w:ascii="Times New Roman" w:hAnsi="Times New Roman" w:eastAsia="黑体"/>
          <w:b/>
          <w:sz w:val="36"/>
        </w:rPr>
        <w:t>实验报告（实践项目三 · 共用稿）</w:t>
      </w:r>
    </w:p>
    <w:p>
      <w:pPr>
        <w:spacing w:line="360" w:lineRule="auto" w:after="320" w:before="0"/>
        <w:jc w:val="center"/>
      </w:pPr>
      <w:r>
        <w:rPr>
          <w:rFonts w:ascii="Times New Roman" w:hAnsi="Times New Roman" w:eastAsia="宋体"/>
          <w:b w:val="0"/>
          <w:sz w:val="24"/>
        </w:rPr>
        <w:t>作者：【待填】　　学号：【待填】　　日期：2026年9月5日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摘要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直播带货与短视频广告同时包含口播、字幕、商品卡和促销叠字。审核不能只给“有风险 / 无风险”，还要留下可复核的原文证据、位置和法规依据。本实验在教师提供的237条约30秒切片上，完成样本信息表、六类多标签人工标注、SenseVoice口播转写、PP-OCRv6画面识别、关键词规则基线（E1）、本地Qwen2.5-7B少样本分类（E2），以及规则与模型的标签并集改进（E3）。风险标签micro F1由E1的0.390升至E2的0.513，再升至E3的0.612；诱导消费F1在融合后达到0.885。分层复核24条预测，归纳漏检、误检和证据不充分的典型原因。词表与少样本示例只来自任务书和法规，不把测试视频原句写回规则。系统以Web Demo「审言」展示视频、ASR/OCR、风险类别、证据和时间戳。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关键词：虚假宣传；多标签分类；ASR；OCR；规则基线；少样本学习；证据抽取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1 项目背景与任务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直播间话术常见“行业天花板”“根治”“速效”“无效退款”“稳赚”“保本”“日入”“最后几单”“扫码加群”等表达，可能构成绝对化、夸大功效、收益承诺、促销误导或站外导流。任务书要求以公开直播回放或短视频广告为输入，走通“视频处理 → ASR/OCR → 文本风险分类 → 证据抽取 → 效果评价 → Demo”的完整过程，并借助AI完成编码、提示词和结果分析。本报告按任务书主要任务组织，实验记录对应E1关键词/规则、E2少样本分类、E3融合改进。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判断原则依据任务书第九条：只依据本条切片中可见、可听到的内容，不推测商品真实效果或商家经营情况；允许多标签；“可能”“有助于”“效果因人而异”等有条件描述不必然构成风险；医疗、药品、保健食品、金融投资从严；没有原文证据时应输出“无法判断”。导向、低俗、地域歧视等原标问题不纳入本任务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2 样本与标签设计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2.1 样本信息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使用教师提供的公开直播/短视频广告切片，共237条，整包当作测试集。每条记录sample_id、视频文件名、视频标题、商品/服务类别、来源、采集日期、时长，见annotations/sample_info.xlsx。时长约28.9–61.4秒，均值约32.5秒。来源统一记为“教师提供公开直播/短视频广告切片”，采集日期与标注日期对齐为2026-09-04。视频原文件体积大，提交时可只交转写文本、样本编号和获取说明；本地复现使用data/asr与data/ocr即可。</w:t>
      </w:r>
    </w:p>
    <w:p>
      <w:pPr>
        <w:spacing w:line="360" w:lineRule="auto" w:after="80" w:before="0"/>
        <w:jc w:val="center"/>
      </w:pPr>
      <w:r>
        <w:rPr>
          <w:rFonts w:ascii="Times New Roman" w:hAnsi="Times New Roman" w:eastAsia="楷体"/>
          <w:b w:val="0"/>
          <w:sz w:val="21"/>
        </w:rPr>
        <w:t>表1 主要商品/服务类别分布（前8类）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68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商品/服务类别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样本数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占比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0301-普通化妆品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33.8%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0904-厨卫电器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19.4%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0601-保健食品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9.7%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1207-服饰箱包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0901-视听设备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6.3%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0510-其他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0906-小家电产品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4.2%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1205-清洁用品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2.1%</w:t>
            </w:r>
          </w:p>
        </w:tc>
      </w:tr>
    </w:tbl>
    <w:p/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品类以化妆品和家电为主，保健食品与特许加盟数量少，但是法规从严领域。对疾病治疗用语和收益承诺应采用更严格的标准。样本信息表由抽取索引与人工标注表生成，不改金标准标签。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2.2 标签体系与标注表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标签至少六类，一条可多标。另设“无法判断”处理证据不足。标注表包含ASR口播、字幕/OCR、文案、风险标签、证据文本、证据时间戳或文本位置、人工说明，见annotations/manual_annotation.xlsx。原videos/output.xlsx中的导向、低俗等标签仅供参考。推荐方式为规则/模型辅助初标，再按原文人工复核。</w:t>
      </w:r>
    </w:p>
    <w:p>
      <w:pPr>
        <w:spacing w:line="360" w:lineRule="auto" w:after="80" w:before="0"/>
        <w:jc w:val="center"/>
      </w:pPr>
      <w:r>
        <w:rPr>
          <w:rFonts w:ascii="Times New Roman" w:hAnsi="Times New Roman" w:eastAsia="楷体"/>
          <w:b w:val="0"/>
          <w:sz w:val="21"/>
        </w:rPr>
        <w:t>表2 金标准标签分布（237条，可多标）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标签</w:t>
            </w:r>
          </w:p>
        </w:tc>
        <w:tc>
          <w:tcPr>
            <w:tcW w:type="dxa" w:w="3969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口径摘要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条数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正常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普通介绍、常规促销、有条件描述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存在夸大功效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功效断言、医疗用语、绝对化描述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195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存在虚假收益承诺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稳赚、保本、日入、保过等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存在诱导消费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限时稀缺、虚构最低价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存在站外导流风险线索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扫码加群、加微信、私信下单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存在其他线索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四类未覆盖，如迷信好运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无法判断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原文过短或证据不足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</w:tbl>
    <w:p/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多标签20条，其中“夸大功效+诱导消费”19条，“夸大功效+虚假收益承诺”1条（样本192）。站外导流在本包金标准中支持为0，规则和提示词仍保留该类，以便Demo处理新视频。绝对化描述（如行业天花板、全国第一）按细则归入夸大功效，而不是单独开“绝对化”标签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3 视频预处理与文字信息获取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3.1 音频与口播转写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src/media.py使用ffmpeg抽取wav。默认ASR为FunASR SenseVoiceSmall，输出带时间戳的分段和全文，并去掉SenseVoice的语言与情感标记。备选后端为Whisper。全量237条抽取成功，写入data/asr/{id}.json。口播质量受直播噪音、方言和顺口溜影响。部分切片口播几乎为空（如样本210），此时必须以画面为准，或按任务书9(5)标“无法判断”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3.2 抽帧与OCR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每隔3秒抽取一帧，相邻帧画面变化小于阈值则跳过，避免对静止商品卡重复识别。OCR使用PP-OCRv6 small检测+识别。src/merge.py去掉公屏、进场提示、控件和明显重复行，保留右侧商品卡与卖点叠字。结果写入data/ocr与data/merged。虚假宣传话术经常只出现在画面：“天花板”“全年最低价”“活动就一天”“国内首个”都可能完全不入口播。因此后续分类必须同时读取ASR与OCR。OCR仍会把“无毒无害”认成“无海无害”，叠字重复也会干扰模型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3.3 清洗原则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清洗只做去重和控件过滤，不根据测试集词频删除“疑似风险”句子，以免评测泄漏。合并后的audio_text与visual_text作为E1、E2的共同输入，保证方法对比时文本条件一致。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4 规则基线（E1）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E1是小规模关键词与正则基线，实现于src/rules.py与src/detect.py。词表只允许从Knowledge/写入：任务书示例（行业天花板、根治、速效、无效退款、稳赚、保本、日入、最后几单、扫码加群）以及《广告法》第九、十六至十八、二十四、二十五条和《直播电商监督管理办法》第三十二条。禁止根据本包句子或P/R/F1漏检加词。这是本实验的硬约束，也是E3选择融合而不是扩词表的原因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规则分为五组。绝对化归入夸大功效，包括国家级、最高级、最佳、第一、天花板等，但不用单字“最”，以免“最高领取”误伤。功效/医疗包括根治、治愈、速效、三天见效、无效退款、治疗功能。收益承诺包括稳赚、保本、日入、包过。诱导消费包括最后几单/一批/一天以及全网/全年/历史最低价。站外导流包括扫码加群、加微信、私信下单。命中点附近若出现“可能”“有助于”“效果因人而异”，按任务书9(3)改为无法判断。无命中则输出正常，并在解释中写明“未命中不等于人工认定无风险”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E1在237条上的风险标签micro精确率为0.948，召回仅0.246，micro F1为0.390，完全匹配72/237。诱导消费F1为0.773，夸大功效F1为0.322。虚假收益承诺与其他线索均为0，因为词表没有“只谈收益”“带来好运”这类写法。规则的价值是证据可回原文、依据可写到具体条款，适合作为审核台的可解释底线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5 语言模型少样本分类（E2）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5.1 模型与提示词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任务书要求使用小规模LM（示例Qwen8B同档），不得直接使用28B。本实验使用本机Ollama部署的qwen2.5:7b。系统提示要求：只根据本条ASR/OCR原文判断；先读画面叠字再读口播；导向低俗不属于本任务；每一项风险必须带能在原文落地的短证据；医疗保健金融从严。同时明确列出不要标成风险的直播套话：最高领取N元、拍下链接、粉丝真实反馈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少样本共8组，全部来自任务书背景句和法规表述，例如“行业天花板/根治/三天见效”“稳赚不赔”“最后几单/全网最低价”“扫码加群”“带来好运”“可能有助于/效果因人而异”，以及空文本对应无法判断。没有使用videos/中的任何原句。这保证E2的提升来自泛化，而不是背测试集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5.2 结构化输出与后处理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模型只允许输出一个JSON对象，字段与E1对齐。src/classify.py随后做标签白名单、证据接地（证据必须是口播或OCR的子串）、风险与“正常/无法判断”互斥。解释里若提到站外导流但证据不合格，标签会被丢掉。该后处理把风险标签精确率维持在0.88左右，明显减少把领券、拍链接当成风险的情况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5.3 E2结果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237条全部出数。风险micro P/R/F1为0.880/0.362/0.513，macro F1为0.423，完全匹配89/237（37.6%）。夸大功效F1由0.322升到0.495，能够抓住“肌肤老10倍”“14天改善”等词表外断言；诱导消费F1由0.773降到0.619，常把“最低价”当成常规促销；其他线索1条命中；收益承诺仍漏。与E1对照，两者精确率都高、召回都低，且强项不同，具备融合条件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6 输出格式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E1、E2、E3与Demo共用同一套字段，便于人工对照。risk_labels为多标签列表；evidence为原文短句；evidence_position给出source（audio/visual）、time和span；rule_basis写任务书位置或法条；explanation用一两句话说明依据哪句原文。Demo另有verdict（risk/normal/unknown）。模型不得推测商品是否真有效，只能引用看得见、听得见的原文。若证据不足，应输出无法判断，而不是用常识补全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7 方法对比结果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测试集237条，金标准见annotations/manual_annotation.json。指标按风险五类做多标签Precision、Recall和F1，同时报告完全匹配率。表3对应任务书建议的最小实验记录。E3细节见第10节。</w:t>
      </w:r>
    </w:p>
    <w:p>
      <w:pPr>
        <w:spacing w:line="360" w:lineRule="auto" w:after="80" w:before="0"/>
        <w:jc w:val="center"/>
      </w:pPr>
      <w:r>
        <w:rPr>
          <w:rFonts w:ascii="Times New Roman" w:hAnsi="Times New Roman" w:eastAsia="楷体"/>
          <w:b w:val="0"/>
          <w:sz w:val="21"/>
        </w:rPr>
        <w:t>表3 最小实验记录（风险标签micro指标）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4"/>
        <w:gridCol w:w="1264"/>
        <w:gridCol w:w="1264"/>
        <w:gridCol w:w="1264"/>
        <w:gridCol w:w="1264"/>
        <w:gridCol w:w="1264"/>
        <w:gridCol w:w="1264"/>
      </w:tblGrid>
      <w:tr>
        <w:tc>
          <w:tcPr>
            <w:tcW w:type="dxa" w:w="90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实验</w:t>
            </w:r>
          </w:p>
        </w:tc>
        <w:tc>
          <w:tcPr>
            <w:tcW w:type="dxa" w:w="2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方法/条件</w:t>
            </w:r>
          </w:p>
        </w:tc>
        <w:tc>
          <w:tcPr>
            <w:tcW w:type="dxa" w:w="85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P</w:t>
            </w:r>
          </w:p>
        </w:tc>
        <w:tc>
          <w:tcPr>
            <w:tcW w:type="dxa" w:w="85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R</w:t>
            </w:r>
          </w:p>
        </w:tc>
        <w:tc>
          <w:tcPr>
            <w:tcW w:type="dxa" w:w="85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F1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完全匹配</w:t>
            </w:r>
          </w:p>
        </w:tc>
        <w:tc>
          <w:tcPr>
            <w:tcW w:type="dxa" w:w="181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关键词/规则基线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0.948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0.246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0.390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72/237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精确高，召回低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E2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Qwen2.5-7B少样本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0.880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0.362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0.513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89/237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功效补上，促销变弱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E3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E1∪E2标签并集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0.897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0.464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106/237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不改词表即可提升</w:t>
            </w:r>
          </w:p>
        </w:tc>
      </w:tr>
    </w:tbl>
    <w:p/>
    <w:p>
      <w:pPr>
        <w:spacing w:line="360" w:lineRule="auto" w:after="80" w:before="0"/>
        <w:jc w:val="center"/>
      </w:pPr>
      <w:r>
        <w:rPr>
          <w:rFonts w:ascii="Times New Roman" w:hAnsi="Times New Roman" w:eastAsia="楷体"/>
          <w:b w:val="0"/>
          <w:sz w:val="21"/>
        </w:rPr>
        <w:t>表4 分标签F1对比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4"/>
        <w:gridCol w:w="1264"/>
        <w:gridCol w:w="1264"/>
        <w:gridCol w:w="1264"/>
        <w:gridCol w:w="1264"/>
        <w:gridCol w:w="1264"/>
        <w:gridCol w:w="1264"/>
      </w:tblGrid>
      <w:tr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标签</w:t>
            </w:r>
          </w:p>
        </w:tc>
        <w:tc>
          <w:tcPr>
            <w:tcW w:type="dxa" w:w="90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支持</w:t>
            </w:r>
          </w:p>
        </w:tc>
        <w:tc>
          <w:tcPr>
            <w:tcW w:type="dxa" w:w="96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E1 F1</w:t>
            </w:r>
          </w:p>
        </w:tc>
        <w:tc>
          <w:tcPr>
            <w:tcW w:type="dxa" w:w="96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E2 F1</w:t>
            </w:r>
          </w:p>
        </w:tc>
        <w:tc>
          <w:tcPr>
            <w:tcW w:type="dxa" w:w="96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E3 F1</w:t>
            </w:r>
          </w:p>
        </w:tc>
        <w:tc>
          <w:tcPr>
            <w:tcW w:type="dxa" w:w="90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E3 P</w:t>
            </w:r>
          </w:p>
        </w:tc>
        <w:tc>
          <w:tcPr>
            <w:tcW w:type="dxa" w:w="90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E3 R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存在夸大功效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195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0.322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0.495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0.561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0.889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0.410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存在虚假收益承诺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存在诱导消费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0.773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0.619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0.885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0.920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存在站外导流风险线索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存在其他线索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</w:tr>
    </w:tbl>
    <w:p/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E3没有引入测试集新词，只是把已经算过的预测并起来。诱导消费召回从E2的0.482升到0.852，接近并超过单独E1；夸大功效召回从E2的0.344升到0.410。精确率仍保持约0.90，说明并集没有把大量误检带进来——原因是两路本身精确率都高、召回都低。收益承诺（192）两边都漏，融合无法挽回。无法判断（210）在融合规则里被E1的“正常”盖掉，这是并集策略的代价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8 人工复核结果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按任务书要求，从E1/E2分歧和漏检中分层抽取24条（多于20条），对照金标准与ASR/OCR原文填写复核表。字段包括样本编号、人工标签、E1/E2模型标签、证据是否正确、是否需要修改、误判原因，见annotations/review_20.xlsx。复核阶段不改词表或提示词，符合“先分析、再改进”的实验顺序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抽样构成：稀有标签191/192/210；已知问题10、162；E1/E2互补20、18、78、129、150；双边漏检6、16、24、94；误检17、136、167、208、216；完全匹配正负例1、7。摘要上，E1有16条需要修改，E2同样16条；E1证据正确或部分正确8条，E2为10条。两边改动数量接近，但错误类型不同，说明不是同一套失败模式。</w:t>
      </w:r>
    </w:p>
    <w:p>
      <w:pPr>
        <w:spacing w:line="360" w:lineRule="auto" w:after="80" w:before="0"/>
        <w:jc w:val="center"/>
      </w:pPr>
      <w:r>
        <w:rPr>
          <w:rFonts w:ascii="Times New Roman" w:hAnsi="Times New Roman" w:eastAsia="楷体"/>
          <w:b w:val="0"/>
          <w:sz w:val="21"/>
        </w:rPr>
        <w:t>表5 复核中归纳的主要误判类型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15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类型</w:t>
            </w:r>
          </w:p>
        </w:tc>
        <w:tc>
          <w:tcPr>
            <w:tcW w:type="dxa" w:w="181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代表样本</w:t>
            </w:r>
          </w:p>
        </w:tc>
        <w:tc>
          <w:tcPr>
            <w:tcW w:type="dxa" w:w="453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主要表现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词表外功效漏检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6, 16, 24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即刻紧致、无毒无害、瓦解黑色素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价格误导被模型放过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18, 44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最低价被当成常规促销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天花板字面误伤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208, 216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预算上限或“没有天花板”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标签对证据错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162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应引治疗骨关节炎，却取可达0.4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稀有标签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191, 192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好运E2对；收益承诺两边漏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催拍无关键词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94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倒计时321不含最后几单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证据不足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210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E2标无法判断，E1标正常</w:t>
            </w:r>
          </w:p>
        </w:tc>
      </w:tr>
    </w:tbl>
    <w:p/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这些观察直接支持第10节的改进选择：用并集吃互补，而不是根据漏检把本包句子写进词表。若在复核之后把“治疗骨关节炎”“不谈模式只谈收益”写进规则，表面上F1会涨，但违反测试集纪律，也不能证明方法对未见视频有效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9 典型正确与错误案例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9.1 正确正例：样本7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海信激光电视画面同时出现“行业唯一”和“色域天花板”。E1命中天花板，E2两条都引用。标签与金标准一致。说明任务书示例词出现在画面上时，规则和模型都可以稳定工作，此时审核解释也能写到《广告法》第九条第三项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9.2 互补漏检：样本10与20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样本10金标准为夸大功效+诱导消费。E1只打中口播“天花板”，E2只打中画面“活动就一天”。样本20类似：E1打中“水蜜桃片的也个天花板”，E2打中“最后十四箱”。各自证据都能在原文落地，单路标签却不完整。并集后与金标准对齐。这是E3最直接的动机，也说明Demo提供“规则+模型”模式不是界面点缀，而是评测上站得住的策略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9.3 标签对、证据错：样本162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保健食品切片口播出现“盐酸氨糖治疗骨关节炎”，同时口头声明“不涉及治疗”。按任务书从严和高敏感领域条款，仍应标夸大功效，证据应落在“治疗骨关节炎”。E1无单独“治疗”规则，输出正常。E2标签正确，证据却取了效应量“可达0.4”。复核结论是需要修改证据，而不是改金标准。后续若从《广告法》第十七条补“治疗”二字，属于法规同义，仍然不得写入本条原句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9.4 双边漏检：样本192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加盟广告画面有“国内首个线上AI测肤功能”和“不谈模式只谈收益”。合并文本里这两句都在，并不是抽取失败。E1词表没有“首个”，也没有“只谈收益”；E2在较长OCR中输出正常。这是本包唯一的虚假收益承诺，E1/E2/E3该类F1均为0。报告把它列为当前召回上限，用来说明稀有类不能只看一个F1数字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9.5 误检：样本208与216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样本208“学生党的耳机价格天花板也就几百块”是预算上限，E1误伤，E2正确放行。样本216“吃梅才真的没有天花板”是程度修辞，两边都误伤。说明“天花板”规则过宽，需要否定或预算语境，但不能用本包这两句当新正则的唯一来源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9.6 正确负例：样本1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口播属于导向/性别对立，画面有“最高领取20元”。E1与E2都标正常，符合“本任务只标虚假宣传、领券不是最高级”。这条用来检查系统有没有把原数据集的其它审核口径带进来。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10 一次简单改进及验证（E3）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任务书允许的改进方向包括增加同义规则、改进文本清洗、加入少样本、法规条款检索、优化提示词等。受词表纪律约束，本实验选择不改词表、不改提示词、不重跑237次LLM，只把已有E1与E2的风险标签取并集，证据去重后一并输出。融合逻辑与Demo的“规则+模型”模式相同，批量入口为python -m src.hybrid，评测为experiment=e3。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改进前（E2）micro F1为0.513，诱导消费F1为0.619，夸大功效F1为0.495。改进后（E3）分别为0.612、0.885、0.561。完全匹配由89升到106。诱导消费漏检从14降到4，夸大功效真阳性从67升到80。精确率仍保持0.90左右。该改进满足任务书“比较改进前后的指标或典型案例效果”，并且可以在没有Ollama的机器上复现，因为只读data/detect与data/classify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未解决的问题仍然清楚：192收益承诺、大量词表外功效（夸大功效仍有115条漏检）、210被融合成正常。后续方向均不得使用测试集原句：从法规补“治疗”“首个/首创”等同义；给“天花板”加否定窗；空口播且无画面命中时优先无法判断；对保健食品提高疾病治疗用语的权重。这些方向写进报告，本轮不落地到词表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11 审核结果展示Demo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编写了简单Web页面，满足任务书第7项。执行python -m src.app后，默认打开http://127.0.0.1:7860。页面名称为「审言」。使用者可以上传mp4，或从237条测试集中选择样本。三种分析模式分别为规则基线、模型分类、规则+模型。页面展示视频基本信息、口播分段文本、OCR叠字、风险类别、原文证据、时间戳、规则依据和审核解释。不要求账号登录、在线爬取或自动处罚。已抽取样本会复用缓存；新视频会现场跑SenseVoice与OCR。模型模式需要本机Ollama可用。命令行等价入口为src.detect、src.classify与src.hybrid。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eastAsia="黑体"/>
          <w:b/>
          <w:sz w:val="24"/>
        </w:rPr>
        <w:t>11.1 AI协作如何进入本实验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任务书要求记录至少两条关键AI使用情况。第一条用于设计结构化输出和少样本约束：向AI询问如何让7B模型给出可复核JSON，并避免把拍链接、领券标成风险。建议被采用，落实为src/prompts.py与classify.py的证据接地。第二条用于选择改进策略：在不能把测试集句子写进词表的前提下，AI建议先复核再做E1∪E2融合。该建议被采用，并得到第7节的指标支持。完整问答见reports/AI协作记录.md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12 结论与分工说明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本实践完成了任务书规定的样本准备、标注、ASR/OCR、规则基线、小规模LM分类、指标评估、不少于20条人工复核、一次简单改进和Demo。主要结论有五条。第一，虚假宣传话术大量出现在画面叠字，只做ASR不够。第二，冻结词表的规则精确、召回窄；少样本模型能补词表外功效，但促销误导不稳。第三，在禁止测试集泄漏的前提下，标签并集是有效且可复现的简单改进。第四，稀有类支持不足，复核比单一F1更能说明系统边界。第五，证据质量与标签同等重要，162说明标签对、证据错仍不合格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书面材料另附AI协作记录、小组分工说明和答辩PPT。组员姓名在提交前填入【待填】。建议三人分组时，一人负责样本与标注，一人负责抽取与规则，一人负责模型、评测与报告；四人时再拆出Demo与答辩。各人提交的报告可在本共用稿基础上增加个人负责模块的细节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参考文献与材料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sz w:val="24"/>
        </w:rPr>
        <w:t>[1] 实践项目任务书（三）：短视频广告虚假宣传话术检测。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sz w:val="24"/>
        </w:rPr>
        <w:t>[2] 《中华人民共和国广告法》第九条、第十六条至第十八条、第二十四条、第二十五条。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sz w:val="24"/>
        </w:rPr>
        <w:t>[3] 《直播电商监督管理办法》第三十二条、第三十四条。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sz w:val="24"/>
        </w:rPr>
        <w:t>[4] 本仓库源代码src/、标注annotations/、评测data/eval/与书面材料reports/。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附录A 复现命令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环境安装执行./setup_env.sh后激活.venv。评测E1：python -m src.detect 再 python -m src.eval。评测E2需本机Ollama：python -m src.classify，再指定--detect-dir data/classify --experiment e2。E3：python -m src.hybrid 与 python -m src.eval --detect-dir data/hybrid --experiment e3。Demo：python -m src.app。无模型机器可跳过抽取与E2，直接评已提交的预测目录。</w:t>
      </w:r>
    </w:p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附录B 复核样本编号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1、6、7、10、14、16、17、18、20、24、44、50、78、94、129、136、150、162、167、191、192、208、210、216。完整字段见annotations/review_20.xlsx。组员抽查时建议至少重看10、162、192、208四条。</w:t>
      </w:r>
    </w:p>
    <w:p>
      <w:pPr>
        <w:spacing w:line="360" w:lineRule="auto" w:after="80" w:before="0"/>
        <w:jc w:val="center"/>
      </w:pPr>
      <w:r>
        <w:rPr>
          <w:rFonts w:ascii="Times New Roman" w:hAnsi="Times New Roman" w:eastAsia="楷体"/>
          <w:b w:val="0"/>
          <w:sz w:val="21"/>
        </w:rPr>
        <w:t>表6 复核表字段与统计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83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项目</w:t>
            </w:r>
          </w:p>
        </w:tc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数量</w:t>
            </w:r>
          </w:p>
        </w:tc>
        <w:tc>
          <w:tcPr>
            <w:tcW w:type="dxa" w:w="3969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复核条数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24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多于任务书要求的20条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E1需要修改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漏检为主，另有天花板误伤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E2需要修改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漏最低价、误标卖点、证据取偏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E1证据正确/部分正确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命中后span一般可回原文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E2证据正确/部分正确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存在重复堆叠和取错短句</w:t>
            </w:r>
          </w:p>
        </w:tc>
      </w:tr>
    </w:tbl>
    <w:p/>
    <w:p>
      <w:pPr>
        <w:spacing w:line="360" w:lineRule="auto" w:after="160" w:before="0"/>
        <w:jc w:val="both"/>
      </w:pPr>
      <w:r>
        <w:rPr>
          <w:rFonts w:ascii="Times New Roman" w:hAnsi="Times New Roman" w:eastAsia="黑体"/>
          <w:b/>
          <w:sz w:val="28"/>
        </w:rPr>
        <w:t>附录C 系统流程说明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视频进入后先探测时长并抽音、抽帧。ASR与OCR可以跳过已有缓存。规则引擎在口播分段和OCR合并行上做正则命中，记录span与时间戳。语言模型接收拼接后的【口播ASR】与【画面OCR】，返回JSON，再做接地过滤。融合器只在风险标签集合上取并，解释拼接“规则命中/模型命中/谁补上了哪一类”。评测脚本不回写规则。Web层用SSE推送加载模型、抽取、检测、融合等阶段，便于课堂演示。</w:t>
      </w:r>
    </w:p>
    <w:p>
      <w:pPr>
        <w:spacing w:line="360" w:lineRule="auto" w:after="120" w:before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若设备无法运行ASR/OCR，任务书允许提交已提取文本和清晰复现说明。本仓库已包含237条转写与识别结果，以及E1/E2/E3预测和指标文件。因此评阅人可以在不下载视频、不下载本地权重的情况下复核数字和案例。</w:t>
      </w:r>
    </w:p>
    <w:sectPr w:rsidR="00FC693F" w:rsidRPr="0006063C" w:rsidSect="00034616">
      <w:pgSz w:w="11906" w:h="16838"/>
      <w:pgMar w:top="1417" w:right="1474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