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jc w:val="center"/>
      </w:pPr>
      <w:r>
        <w:rPr>
          <w:rFonts w:ascii="Times New Roman" w:hAnsi="Times New Roman" w:eastAsia="黑体"/>
          <w:b/>
          <w:sz w:val="36"/>
        </w:rPr>
        <w:t>短视频广告虚假宣传话术检测系统</w:t>
      </w:r>
    </w:p>
    <w:p>
      <w:pPr>
        <w:spacing w:line="360" w:lineRule="auto" w:after="240" w:before="0"/>
        <w:jc w:val="center"/>
      </w:pPr>
      <w:r>
        <w:rPr>
          <w:rFonts w:ascii="Times New Roman" w:hAnsi="Times New Roman" w:eastAsia="黑体"/>
          <w:b/>
          <w:sz w:val="36"/>
        </w:rPr>
        <w:t>实验报告（实践项目三 · 共用稿）</w:t>
      </w:r>
    </w:p>
    <w:p>
      <w:pPr>
        <w:spacing w:line="360" w:lineRule="auto" w:after="320" w:before="0"/>
        <w:jc w:val="center"/>
      </w:pPr>
      <w:r>
        <w:rPr>
          <w:rFonts w:ascii="Times New Roman" w:hAnsi="Times New Roman" w:eastAsia="宋体"/>
          <w:b w:val="0"/>
          <w:sz w:val="24"/>
        </w:rPr>
        <w:t>作者：【待填】　　学号：【待填】　　日期：2026年9月7日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摘要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直播带货与短视频广告同时包含口播、字幕、商品卡和促销叠字。审核不能只给“有风险 / 无风险”，还要留下可复核的原文证据、位置和法规依据。本实验在教师提供的237条约30秒切片上，完成样本信息表、六类多标签人工标注、SenseVoice口播转写、PP-OCRv6画面识别、关键词规则基线（E1）、本地Qwen2.5-7B少样本分类（E2）、规则与模型的标签并集（E3），以及口播与画面分路再并（E4）。风险标签micro F1为E1 0.772、E2 0.731、E3 0.867、E4 0.879；E4诱导消费召回26/27。分层复核24条预测，归纳漏检、误检和证据不充分的典型原因。词表与少样本示例只来自任务书和法规，不把测试视频原句写回规则。系统以Web Demo「审言」展示视频、ASR/OCR、风险类别、证据和时间戳。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关键词：虚假宣传；多标签分类；ASR；OCR；规则基线；少样本学习；证据抽取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1 项目背景与任务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直播间话术常见“行业天花板”“根治”“速效”“无效退款”“稳赚”“保本”“日入”“最后几单”“扫码加群”等表达，可能构成绝对化、夸大功效、收益承诺、促销误导或站外导流。任务书要求以公开直播回放或短视频广告为输入，走通“视频处理 → ASR/OCR → 文本风险分类 → 证据抽取 → 效果评价 → Demo”的完整过程，并借助AI完成编码、提示词和结果分析。本报告按任务书主要任务组织，实验记录对应E1关键词/规则、E2少样本分类、E3融合改进、E4口播/画面分路。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判断原则依据任务书第九条：只依据本条切片中可见、可听到的内容，不推测商品真实效果或商家经营情况；允许多标签；“可能”“有助于”“效果因人而异”等有条件描述不必然构成风险；医疗、药品、保健食品、金融投资从严。金标准只保留任务书规定的六类标签，不设“无法判断”；原文不足或未见可核风险时标“正常”。系统输出同样不主动发出该标签。导向、低俗、地域歧视等原标问题不纳入本任务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2 样本与标签设计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2.1 样本信息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使用教师提供的公开直播/短视频广告切片，共237条，整包当作测试集。每条记录sample_id、视频文件名、视频标题、商品/服务类别、来源、采集日期、时长，见annotations/sample_info.xlsx。时长约28.9–61.4秒，均值约32.5秒。来源统一记为“教师提供公开直播/短视频广告切片”，采集日期与标注日期对齐为2026-09-04。视频原文件体积大，提交时可只交转写文本、样本编号和获取说明；本地复现使用data/asr与data/ocr即可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表1 主要商品/服务类别分布（前8类）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68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商品/服务类别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样本数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占比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0301-普通化妆品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33.8%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0904-厨卫电器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19.4%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0601-保健食品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9.7%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1207-服饰箱包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6.8%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0901-视听设备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6.3%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0510-其他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0906-小家电产品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4.2%</w:t>
            </w:r>
          </w:p>
        </w:tc>
      </w:tr>
      <w:tr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1205-清洁用品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2.1%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品类以化妆品和家电为主，保健食品与特许加盟数量少，但是法规从严领域。对疾病治疗用语和收益承诺应采用更严格的标准。样本信息表由抽取索引与人工标注表生成，不改金标准标签。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2.2 标签体系与标注表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标签至少六类，一条可多标。金标准不设“无法判断”，原文不足标正常。标注表包含ASR口播、字幕/OCR、文案、风险标签、证据文本、证据时间戳或文本位置、人工说明，见annotations/manual_annotation.xlsx。原videos/output.xlsx中的导向、低俗等标签仅供参考。推荐方式为规则/模型辅助初标，再按原文人工复核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表2 金标准标签分布（237条，可多标）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标签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口径摘要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条数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正常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普通介绍、常规促销、有条件描述；原文不足亦标正常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33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存在夸大功效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功效断言、医疗用语、绝对化描述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195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存在虚假收益承诺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稳赚、保本、日入、保过等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存在诱导消费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限时稀缺、虚构最低价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存在站外导流风险线索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扫码加群、加微信、私信下单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</w:tr>
      <w:tr>
        <w:tc>
          <w:tcPr>
            <w:tcW w:type="dxa" w:w="294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存在其他线索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四类未覆盖，如迷信好运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多标签20条，其中“夸大功效+诱导消费”19条，“夸大功效+虚假收益承诺”1条（样本192）。站外导流在本包金标准中支持为0，规则和提示词仍保留该类，以便Demo处理新视频。绝对化描述（如行业天花板、全国第一）按细则归入夸大功效，而不是单独开“绝对化”标签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3 视频预处理与文字信息获取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3.1 音频与口播转写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src/media.py使用ffmpeg抽取wav。默认ASR为FunASR SenseVoiceSmall，输出带时间戳的分段和全文，并去掉SenseVoice的语言与情感标记。备选后端为Whisper。全量237条抽取成功，写入data/asr/{id}.json。口播质量受直播噪音、方言和顺口溜影响。部分切片口播几乎为空（如样本210），此时必须以画面为准；画面也未见风险原文则标“正常”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3.2 抽帧与OCR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每隔3秒抽取一帧，相邻帧画面变化小于阈值则跳过，避免对静止商品卡重复识别。OCR使用PP-OCRv6 small检测+识别。src/merge.py去掉公屏、进场提示、控件和明显重复行，保留右侧商品卡与卖点叠字。结果写入data/ocr与data/merged。虚假宣传话术经常只出现在画面：“天花板”“全年最低价”“活动就一天”“国内首个”都可能完全不入口播。因此后续分类必须同时读取ASR与OCR。OCR仍会把“无毒无害”认成“无海无害”，叠字重复也会干扰模型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3.3 清洗原则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清洗只做去重和控件过滤，不根据测试集词频删除“疑似风险”句子，以免评测泄漏。合并后的audio_text与visual_text作为E1、E2的共同输入，保证方法对比时文本条件一致。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4 规则基线（E1）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1是小规模关键词与正则基线，实现于src/rules.py与src/detect.py。词表只允许从Knowledge/写入：任务书示例（行业天花板、根治、速效、无效退款、稳赚、保本、日入、最后几单、扫码加群）以及《广告法》第九、十六至十八、二十四、二十五条和《直播电商监督管理办法》第三十二条。第九条第三项「等」覆盖首创、首个、首款；第十七条覆盖疾病治疗等医疗用语。禁止根据本包句子或P/R/F1漏检加词。这是本实验的硬约束，也是E3选择融合而不是扩词表的原因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规则分为五组。绝对化归入夸大功效，包括国家级、最高级、最佳、第一、唯一、首创、首个、首款、天花板等，但不用单字“最”，以免“最高领取”误伤。功效/医疗包括根治、治愈、速效、三天见效、无效退款、治疗。收益承诺包括稳赚、保本、日入、包过。诱导消费包括最后几单/一批/一天以及全网/全年/历史最低价。站外导流包括扫码加群、加微信、私信下单。命中点附近若出现“可能”“有助于”“效果因人而异”，按任务书9(3)不标风险，输出正常。无命中则同样输出正常，并在解释中写明“未命中不等于人工认定无风险”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E1在237条上的风险标签micro精确率为0.966，召回0.643，micro F1为0.772，完全匹配157/237。诱导消费F1为0.773，夸大功效F1为0.777。虚假收益承诺为0：词表没有、也不应写入本包“只谈收益”。其他线索无对应词面，亦为0。规则的价值是证据可回原文、依据可写到具体条款，适合作为审核台的可解释底线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5 语言模型少样本分类（E2）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5.1 模型与提示词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任务书要求使用小规模LM（示例Qwen8B同档），不得直接使用28B。本实验使用本机Ollama部署的qwen2.5:7b。系统提示要求：只根据本条ASR/OCR原文判断；先读画面叠字再读口播；导向低俗不属于本任务；每一项风险必须带能在原文落地的短证据；医疗保健金融从严。同时明确列出不要标成风险的直播套话：最高领取N元、拍下链接、粉丝真实反馈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少样本共8组，全部来自任务书背景句和法规表述，例如“行业天花板/根治/三天见效”“稳赚不赔”“最后几单/全网最低价”“扫码加群”“带来好运”“可能有助于/效果因人而异”，以及空文本对应正常。没有使用videos/中的任何原句。这保证E2的提升来自泛化，而不是背测试集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5.2 结构化输出与后处理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模型只允许输出一个JSON对象，字段与E1对齐。src/classify.py随后做标签白名单、证据接地（证据必须是口播或OCR的子串）、风险与“正常”互斥；若模型仍写出无法判断，后处理收成正常。解释里若提到站外导流但证据不合格，标签会被丢掉。该后处理把风险标签精确率维持在0.91左右，明显减少把领券、拍链接当成风险的情况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5.3 E2结果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237条全部出数。风险micro P/R/F1为0.907/0.612/0.731，macro F1为0.493，完全匹配138/237。夸大功效F1为0.731，能够抓住部分词表外断言（如“肌肤老10倍”“14天改善”）；诱导消费F1为0.735，仍会把部分“最低价”当成常规促销；其他线索1条命中；收益承诺仍漏。与E1对照，规则在绝对化与医疗用语上更稳，模型能补一些词表外功效，促销误导则规则更稳，具备融合条件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6 输出格式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1、E2、E3、E4与Demo共用同一套字段，便于人工对照。risk_labels为多标签列表；evidence为原文短句；evidence_position给出source（audio/visual）、time和span；rule_basis写任务书位置或法条；explanation用一两句话说明依据哪句原文。Demo另有verdict（risk/normal）。模型不得推测商品是否真有效，只能引用看得见、听得见的原文。若证据不足，输出正常，不另开无法判断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7 方法对比结果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测试集237条，金标准见annotations/manual_annotation.json。指标按风险五类做多标签Precision、Recall和F1，同时报告完全匹配率。风险标签micro F1不受无法判断口径调整影响；完全匹配因该标签并入正常而上升。表3为E1至E4的风险标签micro指标。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表3 最小实验记录（风险标签micro指标）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90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实验</w:t>
            </w:r>
          </w:p>
        </w:tc>
        <w:tc>
          <w:tcPr>
            <w:tcW w:type="dxa" w:w="204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方法/条件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P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R</w:t>
            </w:r>
          </w:p>
        </w:tc>
        <w:tc>
          <w:tcPr>
            <w:tcW w:type="dxa" w:w="85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F1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完全匹配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关键词/规则基线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0.643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0.772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157/237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精确高，绝对化与医疗稳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Qwen2.5-7B少样本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0.907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0.612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0.731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138/237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补词表外功效，促销较弱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E3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E1∪E2标签并集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0.911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0.826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182/237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不改词表即可提升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E4</w:t>
            </w:r>
          </w:p>
        </w:tc>
        <w:tc>
          <w:tcPr>
            <w:tcW w:type="dxa" w:w="204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E1∪口播∪画面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0.922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0.839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185/237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拆开模态再并</w:t>
            </w:r>
          </w:p>
        </w:tc>
      </w:tr>
    </w:tbl>
    <w:p/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表4 分标签F1对比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标签</w:t>
            </w:r>
          </w:p>
        </w:tc>
        <w:tc>
          <w:tcPr>
            <w:tcW w:type="dxa" w:w="90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支持</w:t>
            </w:r>
          </w:p>
        </w:tc>
        <w:tc>
          <w:tcPr>
            <w:tcW w:type="dxa" w:w="9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E1 F1</w:t>
            </w:r>
          </w:p>
        </w:tc>
        <w:tc>
          <w:tcPr>
            <w:tcW w:type="dxa" w:w="9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E2 F1</w:t>
            </w:r>
          </w:p>
        </w:tc>
        <w:tc>
          <w:tcPr>
            <w:tcW w:type="dxa" w:w="9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E3 F1</w:t>
            </w:r>
          </w:p>
        </w:tc>
        <w:tc>
          <w:tcPr>
            <w:tcW w:type="dxa" w:w="96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E4 F1</w:t>
            </w:r>
          </w:p>
        </w:tc>
        <w:tc>
          <w:tcPr>
            <w:tcW w:type="dxa" w:w="90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E4 R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存在夸大功效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0.777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0.826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存在虚假收益承诺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存在诱导消费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0.773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0.897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0.963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存在站外导流风险线索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存在其他线索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3没有引入测试集新词，只是把已经算过的预测并起来。诱导消费召回从E2的0.667升到0.889；夸大功效召回从E2的0.605升到0.821。精确率仍保持约0.91，说明并集没有把大量误检带进来——原因是两路本身精确率都高、召回都偏低。收益承诺（192）两边都漏收益标签，融合无法挽回：规则已打上「首个」对应的夸大功效，但「只谈收益」不是词表中的保证性承诺。样本210金标准为正常，并集后仍为正常。这是并集策略的代价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8 人工复核结果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按任务书要求，从E1/E2分歧和漏检中分层抽取24条（多于20条），对照金标准与ASR/OCR原文填写复核表。字段包括样本编号、人工标签、E1/E2模型标签、证据是否正确、是否需要修改、误判原因，见annotations/review_20.xlsx。复核阶段不改词表或提示词，符合“先分析、再改进”的实验顺序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抽样构成：稀有标签191/192；口播为空负例210；已知问题10、162；E1/E2互补20、18、78、129、150；双边漏检6、16、24、94；误检17、136、167、208、216；完全匹配正负例1、7。摘要上，E1有15条需要修改，E2有16条；E1证据正确或部分正确8条，E2为9条。两边改动数量接近，但错误类型不同，说明不是同一套失败模式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表5 复核中归纳的主要误判类型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15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代表样本</w:t>
            </w:r>
          </w:p>
        </w:tc>
        <w:tc>
          <w:tcPr>
            <w:tcW w:type="dxa" w:w="45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主要表现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词表外功效漏检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6, 16, 24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即刻紧致、无毒无害、瓦解黑色素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价格误导被模型放过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18, 44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最低价被当成常规促销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天花板字面误伤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208, 216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预算上限或“没有天花板”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标签对证据错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162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应引治疗骨关节炎，却取可达0.4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稀有标签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191, 192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好运E2对；192规则打首个，只谈收益不标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催拍无关键词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倒计时321不含最后几单</w:t>
            </w:r>
          </w:p>
        </w:tc>
      </w:tr>
      <w:tr>
        <w:tc>
          <w:tcPr>
            <w:tcW w:type="dxa" w:w="215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空文本负例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210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金标准与两边均标正常，不输出无法判断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这些观察直接支持第10节的改进选择：用并集吃互补，而不是根据漏检把本包句子写进词表。若在复核之后把“治疗骨关节炎”“不谈模式只谈收益”写进规则，表面上F1会涨，但违反测试集纪律，也不能证明方法对未见视频有效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9 典型正确与错误案例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9.1 正确正例：样本7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海信激光电视画面同时出现“行业唯一”和“色域天花板”。E1命中天花板，E2两条都引用。标签与金标准一致。说明任务书示例词出现在画面上时，规则和模型都可以稳定工作，此时审核解释也能写到《广告法》第九条第三项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9.2 互补漏检：样本10与20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样本10金标准为夸大功效+诱导消费。E1只打中口播“天花板”，E2只打中画面“活动就一天”。样本20类似：E1打中“水蜜桃片的也个天花板”，E2打中“最后十四箱”。各自证据都能在原文落地，单路标签却不完整。并集后与金标准对齐。这是E3最直接的动机，也说明Demo提供“规则+模型”模式不是界面点缀，而是评测上站得住的策略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9.3 标签对、证据错：样本162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保健食品切片口播出现“盐酸氨糖治疗骨关节炎”，同时口头声明“不涉及治疗”。按任务书从严和高敏感领域条款，仍应标夸大功效，证据应落在“治疗骨关节炎”。E1按第十七条命中「治疗」。E2标签正确，证据却取了效应量“可达0.4”。复核结论是需要修改证据，而不是改金标准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9.4 双边漏检：样本192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加盟广告画面有“国内首个线上AI测肤功能”和“不谈模式只谈收益”。合并文本里这两句都在，并不是识别失败。E1命中「首个」，打上夸大功效；「只谈收益」不是稳赚/保本/日入一类保证性承诺，词表不收、也不应写入本包原句。E2与E4同样只补到功效，收益承诺F1为0。报告把它列为当前召回上限，用来说明稀有类不能只看一个F1数字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9.5 误检：样本208与216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样本208“学生党的耳机价格天花板也就几百块”是预算上限，E1误伤，E2正确放行。样本216“吃梅才真的没有天花板”是程度修辞，两边都误伤。说明“天花板”规则过宽，需要否定或预算语境，但不能用本包这两句当新正则的唯一来源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9.6 正确负例：样本1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口播属于导向/性别对立，画面有“最高领取20元”。E1与E2都标正常，符合“本任务只标虚假宣传、领券不是最高级”。这条用来检查系统有没有把原数据集的其它审核口径带进来。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10 一次简单改进及验证（E3）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任务书允许的改进方向包括增加同义规则、改进文本清洗、加入少样本、法规条款检索、优化提示词等。受词表纪律约束，本实验选择不改词表、不改提示词、不重跑237次LLM，只把已有E1与E2的风险标签取并集，证据去重后一并输出。融合逻辑与Demo的“规则+模型”模式相同，批量入口为python -m src.hybrid，评测为experiment=e3。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改进前（E2）micro F1为0.731，诱导消费F1为0.735，夸大功效F1为0.731。改进后（E3）分别为0.867、0.873、0.867。完全匹配由138升到182。诱导消费漏检从9降到3，夸大功效真阳性从118升到160。精确率仍保持0.91左右。该改进满足任务书“比较改进前后的指标或典型案例效果”，并且可以在没有Ollama的机器上复现，因为只读data/detect与data/classify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未解决的问题仍然清楚：192收益承诺、仍有35条夸大功效漏检。第11节把口播与画面拆开再并（E4）。仍不得使用测试集原句；天花板否定窗尚未改规则。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11 分路再改进（E4）与消融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2把口播与OCR拼进同一条prompt。样本10/20的互补发生在模态之间，长画面叠字时合路分类容易只抓住更显眼的绝对化。E4因此只改输入切分，不改词表、不加测试集少样本。口播-only、画面-only各跑一遍同一套7B少样本，再与E1做标签并集。入口为python -m src.e4a。无风险时输出正常。画面分路有2条JSON解析失败（117、120），按正常写入后照常融合。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11.1 消融：单独口播 / 单独画面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若增益只是多跑一次模型，单独看口播或单独看画面就应该接近合路E2。实际不是。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表7 E4消融（单独口播 / 单独画面）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4"/>
        <w:gridCol w:w="1474"/>
        <w:gridCol w:w="1474"/>
        <w:gridCol w:w="1474"/>
        <w:gridCol w:w="1474"/>
        <w:gridCol w:w="1474"/>
      </w:tblGrid>
      <w:tr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设置</w:t>
            </w:r>
          </w:p>
        </w:tc>
        <w:tc>
          <w:tcPr>
            <w:tcW w:type="dxa" w:w="19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输入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P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F1</w:t>
            </w:r>
          </w:p>
        </w:tc>
        <w:tc>
          <w:tcPr>
            <w:tcW w:type="dxa" w:w="13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完全匹配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E2合路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口播+画面同一条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0.907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0.612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0.731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138/237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只口播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仅ASR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0.420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0.577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105/237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只画面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仅OCR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0.935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0.513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0.663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122/237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E4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E1∪口播∪画面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185/237</w:t>
            </w:r>
          </w:p>
        </w:tc>
      </w:tr>
      <w:tr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E4+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E4∪合路E2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0.897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0.857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183/237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只口播、只画面都弱于合路E2：促销话术更多在口播，绝对化叠字更多在画面。E4的增益来自拆开后再与规则并。E4+再并合路E2召回更高但精确率下降，micro F1为0.877，主结果取E4。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11.2 与E3对比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表8 E4与E3对比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64"/>
        <w:gridCol w:w="1264"/>
        <w:gridCol w:w="1264"/>
        <w:gridCol w:w="1264"/>
        <w:gridCol w:w="1264"/>
        <w:gridCol w:w="1264"/>
        <w:gridCol w:w="1264"/>
      </w:tblGrid>
      <w:tr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实验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P</w:t>
            </w:r>
          </w:p>
        </w:tc>
        <w:tc>
          <w:tcPr>
            <w:tcW w:type="dxa" w:w="11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R</w:t>
            </w:r>
          </w:p>
        </w:tc>
        <w:tc>
          <w:tcPr>
            <w:tcW w:type="dxa" w:w="1247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micro F1</w:t>
            </w:r>
          </w:p>
        </w:tc>
        <w:tc>
          <w:tcPr>
            <w:tcW w:type="dxa" w:w="136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完全匹配</w:t>
            </w:r>
          </w:p>
        </w:tc>
        <w:tc>
          <w:tcPr>
            <w:tcW w:type="dxa" w:w="147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夸大功效F1</w:t>
            </w:r>
          </w:p>
        </w:tc>
        <w:tc>
          <w:tcPr>
            <w:tcW w:type="dxa" w:w="147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诱导消费F1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0.911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0.826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0.867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182/237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0.873</w:t>
            </w:r>
          </w:p>
        </w:tc>
      </w:tr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0.922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0.839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0.879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185/237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0.877</w:t>
            </w:r>
          </w:p>
        </w:tc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0.897</w:t>
            </w:r>
          </w:p>
        </w:tc>
      </w:tr>
    </w:tbl>
    <w:p/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诱导消费漏检从3降到1（26/27）。相对E3，11条由错变完全匹配（如168口播打功效、画面打诱导），8条由对变错（合路能看懂、拆开变正常）。样本192仍只有夸大功效。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12 审核结果展示Demo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编写了简单Web页面，满足任务书第7项。执行python -m src.app后，默认打开http://127.0.0.1:7860。页面名称为「审言」。使用者可以上传mp4，或从237条测试集中选择样本。三种分析模式分别为规则基线、模型分类、规则+模型。页面展示视频基本信息、口播分段文本、OCR叠字、风险类别、原文证据、时间戳、规则依据和审核解释。不要求账号登录、在线爬取或自动处罚。已抽取样本会复用缓存；新视频会现场跑SenseVoice与OCR。模型模式需要本机Ollama可用。命令行等价入口为src.detect、src.classify与src.hybrid。</w:t>
      </w:r>
    </w:p>
    <w:p>
      <w:pPr>
        <w:spacing w:line="360" w:lineRule="auto" w:after="120" w:before="0"/>
        <w:jc w:val="both"/>
      </w:pPr>
      <w:r>
        <w:rPr>
          <w:rFonts w:ascii="Times New Roman" w:hAnsi="Times New Roman" w:eastAsia="黑体"/>
          <w:b/>
          <w:sz w:val="24"/>
        </w:rPr>
        <w:t>11.1 AI协作如何进入本实验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任务书要求记录至少两条关键AI使用情况。第一条用于设计结构化输出和少样本约束：向AI询问如何让7B模型给出可复核JSON，并避免把拍链接、领券标成风险。建议被采用，落实为src/prompts.py与classify.py的证据接地。第二条用于选择改进策略：在不能把测试集句子写进词表的前提下，AI建议先复核再做E1∪E2融合。该建议被采用，并得到第7节的指标支持。第三条用于在同样纪律下选择口播/画面分路（E4），而不是把本包漏检句写入词表。完整问答见reports/AI协作记录.md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13 结论与分工说明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实践完成了任务书规定的样本准备、标注、ASR/OCR、规则基线、小规模LM分类、指标评估、不少于20条人工复核、一次简单改进、分路再改进和Demo。主要结论有六条。第一，虚假宣传话术大量出现在画面叠字，只做ASR不够；只做OCR也会漏口播里的促销误导。第二，冻结词表的规则精确、可解释；少样本模型能补部分词表外功效，但促销误导不稳。第三，在禁止测试集泄漏的前提下，标签并集是有效且可复现的简单改进。第四，口播/画面分路再并能再补促销召回；消融表明单路都弱于合路，增益来自拆开后再并。第五，稀有类支持不足，复核比单一F1更能说明系统边界。第六，证据质量与标签同等重要，162说明标签对、证据错仍不合格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书面材料另附AI协作记录、小组分工说明和答辩PPT。组员姓名在提交前填入【待填】。建议三人分组时，一人负责样本与标注，一人负责抽取与规则，一人负责模型、评测与报告；四人时再拆出Demo与答辩。各人提交的报告可在本共用稿基础上增加个人负责模块的细节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参考文献与材料</w:t>
      </w:r>
    </w:p>
    <w:p>
      <w:pPr>
        <w:spacing w:line="360" w:lineRule="auto" w:after="80" w:before="0"/>
        <w:jc w:val="both"/>
      </w:pPr>
      <w:r>
        <w:rPr>
          <w:rFonts w:ascii="Times New Roman" w:hAnsi="Times New Roman" w:eastAsia="宋体"/>
          <w:b w:val="0"/>
          <w:sz w:val="24"/>
        </w:rPr>
        <w:t>[1] 实践项目任务书（三）：短视频广告虚假宣传话术检测。</w:t>
      </w:r>
    </w:p>
    <w:p>
      <w:pPr>
        <w:spacing w:line="360" w:lineRule="auto" w:after="80" w:before="0"/>
        <w:jc w:val="both"/>
      </w:pPr>
      <w:r>
        <w:rPr>
          <w:rFonts w:ascii="Times New Roman" w:hAnsi="Times New Roman" w:eastAsia="宋体"/>
          <w:b w:val="0"/>
          <w:sz w:val="24"/>
        </w:rPr>
        <w:t>[2] 《中华人民共和国广告法》第九条、第十六条至第十八条、第二十四条、第二十五条。</w:t>
      </w:r>
    </w:p>
    <w:p>
      <w:pPr>
        <w:spacing w:line="360" w:lineRule="auto" w:after="80" w:before="0"/>
        <w:jc w:val="both"/>
      </w:pPr>
      <w:r>
        <w:rPr>
          <w:rFonts w:ascii="Times New Roman" w:hAnsi="Times New Roman" w:eastAsia="宋体"/>
          <w:b w:val="0"/>
          <w:sz w:val="24"/>
        </w:rPr>
        <w:t>[3] 《直播电商监督管理办法》第三十二条、第三十四条。</w:t>
      </w:r>
    </w:p>
    <w:p>
      <w:pPr>
        <w:spacing w:line="360" w:lineRule="auto" w:after="80" w:before="0"/>
        <w:jc w:val="both"/>
      </w:pPr>
      <w:r>
        <w:rPr>
          <w:rFonts w:ascii="Times New Roman" w:hAnsi="Times New Roman" w:eastAsia="宋体"/>
          <w:b w:val="0"/>
          <w:sz w:val="24"/>
        </w:rPr>
        <w:t>[4] 本仓库源代码src/、标注annotations/、评测data/eval/与书面材料reports/。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附录A 复现命令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环境安装执行./setup_env.sh后激活.venv。评测E1：python -m src.detect 再 python -m src.eval。评测E2需本机Ollama：python -m src.classify，再指定--detect-dir data/classify --experiment e2。E3：python -m src.hybrid 与 python -m src.eval --detect-dir data/hybrid --experiment e3。E4：python -m src.e4a。Demo：python -m src.app。无模型机器可跳过抽取与E2/E4，直接评已提交的预测目录。</w:t>
      </w:r>
    </w:p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附录B 复核样本编号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1、6、7、10、14、16、17、18、20、24、44、50、78、94、129、136、150、162、167、191、192、208、210、216。完整字段见annotations/review_20.xlsx。组员抽查时建议至少重看10、162、192、208四条。</w:t>
      </w:r>
    </w:p>
    <w:p>
      <w:pPr>
        <w:spacing w:line="360" w:lineRule="auto" w:after="80" w:before="0"/>
        <w:jc w:val="center"/>
      </w:pPr>
      <w:r>
        <w:rPr>
          <w:rFonts w:ascii="Times New Roman" w:hAnsi="Times New Roman" w:eastAsia="楷体"/>
          <w:b w:val="0"/>
          <w:sz w:val="21"/>
        </w:rPr>
        <w:t>表6 复核表字段与统计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项目</w:t>
            </w:r>
          </w:p>
        </w:tc>
        <w:tc>
          <w:tcPr>
            <w:tcW w:type="dxa" w:w="170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数量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复核条数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24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多于任务书要求的20条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E1需要修改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漏检为主，另有天花板误伤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E2需要修改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漏最低价、误标卖点、证据取偏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E1证据正确/部分正确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命中后span一般可回原文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E2证据正确/部分正确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存在重复堆叠和取错短句</w:t>
            </w:r>
          </w:p>
        </w:tc>
      </w:tr>
    </w:tbl>
    <w:p/>
    <w:p>
      <w:pPr>
        <w:spacing w:line="360" w:lineRule="auto" w:after="160" w:before="0"/>
        <w:jc w:val="both"/>
      </w:pPr>
      <w:r>
        <w:rPr>
          <w:rFonts w:ascii="Times New Roman" w:hAnsi="Times New Roman" w:eastAsia="黑体"/>
          <w:b/>
          <w:sz w:val="28"/>
        </w:rPr>
        <w:t>附录C 系统流程说明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视频进入后先探测时长并抽音、抽帧。ASR与OCR可以跳过已有缓存。规则引擎在口播分段和OCR合并行上做正则命中，记录span与时间戳。语言模型接收拼接后的【口播ASR】与【画面OCR】，返回JSON，再做接地过滤。融合器只在风险标签集合上取并，解释拼接“规则命中/模型命中/谁补上了哪一类”。评测脚本不回写规则。Web层用SSE推送加载模型、抽取、检测、融合等阶段，便于课堂演示。</w:t>
      </w:r>
    </w:p>
    <w:p>
      <w:pPr>
        <w:spacing w:line="360" w:lineRule="auto" w:after="120" w:before="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若设备无法运行ASR/OCR，任务书允许提交已提取文本和清晰复现说明。本仓库已包含237条转写与识别结果，以及E1/E2/E3/E4预测和指标文件。因此评阅人可以在不下载视频、不下载本地权重的情况下复核数字和案例。</w:t>
      </w:r>
    </w:p>
    <w:sectPr w:rsidR="00FC693F" w:rsidRPr="0006063C" w:rsidSect="00034616">
      <w:pgSz w:w="11906" w:h="16838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