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3C7C" w:rsidRDefault="00E52085">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226A7E">
        <w:br/>
      </w:r>
      <w:r>
        <w:t>(i_cam_independent)=</w:t>
      </w:r>
      <w:r>
        <w:br/>
        <w:t># {{ title_i_cam_independent }}</w:t>
      </w:r>
      <w:r w:rsidR="00F13C7C">
        <w:br/>
      </w:r>
      <w:r>
        <w:t>&lt;!--</w:t>
      </w:r>
      <w:r w:rsidR="00226A7E">
        <w:br/>
      </w:r>
      <w:r>
        <w:t>:::{hint}</w:t>
      </w:r>
      <w:r w:rsidR="00226A7E">
        <w:br/>
      </w:r>
      <w:r>
        <w:t>replace me with text</w:t>
      </w:r>
      <w:r w:rsidR="00226A7E">
        <w:br/>
      </w:r>
      <w:r>
        <w:t>:::</w:t>
      </w:r>
      <w:r w:rsidR="00226A7E">
        <w:br/>
      </w:r>
      <w:r>
        <w:t>--&gt;</w:t>
      </w:r>
      <w:r w:rsidR="00F13C7C">
        <w:br/>
      </w:r>
      <w:r>
        <w:t>**{{ term_cam_independent }}**: {{ term_def_cam_independent }}</w:t>
      </w:r>
    </w:p>
    <w:p w:rsidR="00F13C7C" w:rsidRDefault="00F13C7C">
      <w:r>
        <w:t>:::::::{tab-set}</w:t>
      </w:r>
    </w:p>
    <w:p w:rsidR="00F13C7C" w:rsidRDefault="00F13C7C">
      <w:r>
        <w:t>:</w:t>
      </w:r>
      <w:r w:rsidR="00226A7E">
        <w:t>::</w:t>
      </w:r>
      <w:r w:rsidR="00E52085">
        <w:t>:::{tab-item} Overview</w:t>
      </w:r>
      <w:r w:rsidR="00E52085">
        <w:br/>
        <w:t xml:space="preserve">To determine whether your {{ camera_location_tl_pl }} should be treated as independent samples or not, consider the following questions. First, are cameras “sharing” the same animals? If there are multiple cameras within an animal’s home range, the answer is likely “yes”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“yes”, {{ camera_location_tl_pl }} should also be treated as dependent samples. The answer to these questions will depend on the biology of the Target Species (e.g., how far they move, and their grouping tendency, territoriality etc.), the survey interval and sampling design. For example, Zuckerberg et al. (2020) </w:t>
      </w:r>
      <w:r w:rsidR="00E52085">
        <w:lastRenderedPageBreak/>
        <w:t xml:space="preserve">illustrate how stratified and systematic non-random designs may lead to biases caused by non-independence of camera locations in some cases (Figures 1 and 3). They also show the implications of independent locations on the number of camera locations. </w:t>
      </w:r>
      <w:r>
        <w:br/>
      </w:r>
      <w:r w:rsidR="00E52085">
        <w:t>Whether {{ camera_location_tl_pl }}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“truth”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 {{ rtxt_wearn_gloverkapfer_2017 }}).</w:t>
      </w:r>
      <w:r w:rsidR="00E52085">
        <w:br/>
        <w:t>:::</w:t>
      </w:r>
      <w:r>
        <w:t>:::</w:t>
      </w:r>
    </w:p>
    <w:p w:rsidR="00F13C7C" w:rsidRDefault="00F13C7C">
      <w:r>
        <w:t>:::</w:t>
      </w:r>
      <w:r w:rsidR="00E52085">
        <w:t>:::{tab-item} In-depth</w:t>
      </w:r>
      <w:r w:rsidR="00E52085">
        <w:br/>
        <w:t xml:space="preserve">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 rtxt_hurlbert_1984 }}) and false conclusions ({{ rtxt_ramage_et_al_2013 }}) (e.g., using random effects; {{rtxt_wearn_gloverkapfer_2017 }}] or spatial autoregressive models; {{ rtxt_kelejian_prucha_1998 }}). </w:t>
      </w:r>
      <w:r>
        <w:br/>
      </w:r>
      <w:r w:rsidR="00E52085">
        <w:t>Note that pseudoreplication (({{ rtxt_hurlbert_1984 }}) can also occur over time (e.g., if camera locations are sampled repeatedly to obtain detection rates as repeated counts, or if the inter-detection interval is too short for a subsequent detection to be truly independent of the first detection).</w:t>
      </w:r>
      <w:r>
        <w:br/>
      </w:r>
      <w:r w:rsidR="00E52085">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McClintock et al. \[2013\] and Augustine et al. \[2016\] for single camera approaches) or needing to increase detection probability of rare species when single independent cameras are insufficient (e.g., {{ rtxt_ooconnor_et_al_2017 }}). In the latter case, </w:t>
      </w:r>
      <w:r w:rsidR="00E52085">
        <w:lastRenderedPageBreak/>
        <w:t>increasing survey effort (e.g., survey duration, more cameras) may achieve the same goal without leading to issues on non-independent samples highlighted above.</w:t>
      </w:r>
      <w:r>
        <w:br/>
      </w:r>
      <w:r w:rsidR="00E52085">
        <w:t>**{{ term_spatial_autocorrelation }}**: {{ term_def_spatial_autocorrelation }}</w:t>
      </w:r>
      <w:r>
        <w:br/>
      </w:r>
      <w:r w:rsidR="00E52085">
        <w:t>**{{ term_pseudoreplication }}**: {{ term_def_pseudoreplication }}</w:t>
      </w:r>
      <w:r w:rsidR="00226A7E">
        <w:br/>
        <w:t>:::</w:t>
      </w:r>
      <w:r>
        <w:t>:::</w:t>
      </w:r>
    </w:p>
    <w:p w:rsidR="00F13C7C" w:rsidRDefault="00F13C7C">
      <w:r>
        <w:t>:::</w:t>
      </w:r>
      <w:r w:rsidR="00E52085">
        <w:t>:::{tab-item} Visual resources</w:t>
      </w:r>
    </w:p>
    <w:p w:rsidR="00F13C7C" w:rsidRDefault="00F13C7C">
      <w:r>
        <w:t>:::::{grid}</w:t>
      </w:r>
      <w:r w:rsidR="00E52085">
        <w:t xml:space="preserve"> 3</w:t>
      </w:r>
      <w:r w:rsidR="00E52085">
        <w:br/>
      </w:r>
      <w:r>
        <w:t>:gutter: 1</w:t>
      </w:r>
      <w:r>
        <w:br/>
        <w:t>:padding: 0</w:t>
      </w:r>
      <w:r>
        <w:br/>
        <w:t>:margin: 0</w:t>
      </w:r>
    </w:p>
    <w:p w:rsidR="00F13C7C" w:rsidRDefault="00226A7E">
      <w:r>
        <w:t>:::</w:t>
      </w:r>
      <w:r w:rsidR="00E52085">
        <w:t xml:space="preserve">:{grid-item-card} {{ rtxt_zuckerberg_et_al_2020 </w:t>
      </w:r>
      <w:r w:rsidR="00F13C7C">
        <w:t>}}</w:t>
      </w:r>
      <w:r w:rsidR="00F13C7C">
        <w:br/>
        <w:t xml:space="preserve">:::{figure} </w:t>
      </w:r>
      <w:r w:rsidR="00E52085">
        <w:t>../03_images/03_image_files/zuckerberg_et_al_2020_fig1_clipped.png</w:t>
      </w:r>
      <w:r w:rsidR="00E52085">
        <w:br/>
        <w:t>:class: img_grid</w:t>
      </w:r>
      <w:r w:rsidR="00E52085">
        <w:br/>
        <w:t>:::</w:t>
      </w:r>
      <w:r w:rsidR="00E52085">
        <w:br/>
        <w:t xml:space="preserve">**Zuckerberg et al. (2020) - Fig. 1** Four experimental designs sampling species occupancy on a theoretical landscape. </w:t>
      </w:r>
      <w:r>
        <w:br/>
      </w:r>
      <w:r w:rsidR="00E52085">
        <w:t>:::{dropdown}</w:t>
      </w:r>
      <w:r>
        <w:br/>
      </w:r>
      <w:r w:rsidR="00E52085">
        <w:t>**a** A simple random sampling scheme demonstrating classical pseudoreplication by failing to adequately sample an important environmental predictor (elevation) operating across the study area. . **b** A systematic sampling design with strong replication and landscape coverage, but with significant overlapping of landscape buffers. **c**  A systematic design that attempts to avoid overlap by reducing buffering extent. **d** A systematic design that attempts to avoid overlap by sacrificing sample size.</w:t>
      </w:r>
      <w:r w:rsidR="00F13C7C">
        <w:br/>
        <w:t>:::</w:t>
      </w:r>
      <w:r w:rsidR="00F13C7C">
        <w:br/>
        <w:t>::::</w:t>
      </w:r>
      <w:r w:rsidR="00F13C7C">
        <w:br/>
      </w:r>
      <w:r>
        <w:t>:::</w:t>
      </w:r>
      <w:r w:rsidR="00E52085">
        <w:t xml:space="preserve">:{grid-item-card} {{ rtxt_zuckerberg-et-al_2020 </w:t>
      </w:r>
      <w:r w:rsidR="00F13C7C">
        <w:t>}}</w:t>
      </w:r>
      <w:r w:rsidR="00F13C7C">
        <w:br/>
        <w:t xml:space="preserve">:::{figure} </w:t>
      </w:r>
      <w:r w:rsidR="00E52085">
        <w:t xml:space="preserve">../03_images/03_image_files/zuckerberg_et_al_2020_fig3_clipped.png </w:t>
      </w:r>
      <w:r w:rsidR="00E52085">
        <w:br/>
        <w:t>:class: img_grid</w:t>
      </w:r>
      <w:r w:rsidR="00E52085">
        <w:br/>
        <w:t>:::</w:t>
      </w:r>
      <w:r w:rsidR="00E52085">
        <w:br/>
        <w:t xml:space="preserve">**Zuckerberg et al. (2020) - Fig. 3** Four different sampling scenarios superimposed on maps of probability of occurrence aggregated to different scales of resolution to match the corresponding landscape buffer. </w:t>
      </w:r>
      <w:r>
        <w:br/>
      </w:r>
      <w:r w:rsidR="00E52085">
        <w:t>:::{dropdown}</w:t>
      </w:r>
      <w:r>
        <w:br/>
      </w:r>
      <w:r w:rsidR="00E52085">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r w:rsidR="00F13C7C">
        <w:br/>
        <w:t>:::</w:t>
      </w:r>
      <w:r w:rsidR="00F13C7C">
        <w:br/>
        <w:t>::::</w:t>
      </w:r>
      <w:r w:rsidR="00F13C7C">
        <w:br/>
      </w:r>
      <w:r>
        <w:t>:::</w:t>
      </w:r>
      <w:r w:rsidR="00E52085">
        <w:t xml:space="preserve">:{grid-item-card} {{ rtxt_moqanaki_et_al_2021 </w:t>
      </w:r>
      <w:r w:rsidR="00F13C7C">
        <w:t>}}</w:t>
      </w:r>
      <w:r w:rsidR="00F13C7C">
        <w:br/>
        <w:t xml:space="preserve">:::{figure} </w:t>
      </w:r>
      <w:r w:rsidR="00E52085">
        <w:t xml:space="preserve">../03_images/03_image_files/moqanaki_et_al_2021_fig1_clipped.png </w:t>
      </w:r>
      <w:r w:rsidR="00E52085">
        <w:br/>
        <w:t>:class: img_grid</w:t>
      </w:r>
      <w:r w:rsidR="00E52085">
        <w:br/>
        <w:t>:::</w:t>
      </w:r>
      <w:r w:rsidR="00E52085">
        <w:br/>
        <w:t xml:space="preserve">**Moqanaki et al. (2021) - Fig. 1** Examples of spatially variable and autocorrelated baseline detection probability (higher = darker blue shading) in grid of detectors (gray dots) centered in a habitat (entire area surrounded by the blue line with rounded corners). </w:t>
      </w:r>
      <w:r>
        <w:br/>
      </w:r>
      <w:r w:rsidR="00E52085">
        <w:t>:::{dropdown}</w:t>
      </w:r>
      <w:r>
        <w:br/>
      </w:r>
      <w:r w:rsidR="00E52085">
        <w:t>Shown in rows, spatial variation may be continuous or categorical (with  different proportion of area in the lower detectability category). Shown in columns, spatial autocorration may vary from high (Moran’s I ≈ 1) to low (Moran’s I ≈ 0). For a detailed description of each scenario, see the main text.</w:t>
      </w:r>
      <w:r w:rsidR="00F13C7C">
        <w:br/>
        <w:t>:::</w:t>
      </w:r>
      <w:r w:rsidR="00F13C7C">
        <w:br/>
        <w:t>::::</w:t>
      </w:r>
      <w:r w:rsidR="00F13C7C">
        <w:br/>
      </w:r>
      <w:r w:rsidR="00E52085">
        <w:t>::</w:t>
      </w:r>
      <w:r w:rsidR="00F13C7C">
        <w:t>:::</w:t>
      </w:r>
    </w:p>
    <w:p w:rsidR="00F13C7C" w:rsidRDefault="00F13C7C">
      <w:r>
        <w:t>::::::</w:t>
      </w:r>
    </w:p>
    <w:p w:rsidR="00F13C7C" w:rsidRDefault="00F13C7C">
      <w:r>
        <w:t>:::</w:t>
      </w:r>
      <w:r w:rsidR="00E52085">
        <w:t>:::{tab-item} Shiny apps/Widgets</w:t>
      </w:r>
      <w:r w:rsidR="00E52085">
        <w:br/>
        <w:t>Check back in the future!</w:t>
      </w:r>
      <w:r w:rsidR="00E52085">
        <w:br/>
        <w:t>:::</w:t>
      </w:r>
      <w:r>
        <w:t>:::</w:t>
      </w:r>
    </w:p>
    <w:p w:rsidR="00F13C7C" w:rsidRDefault="00F13C7C">
      <w:r>
        <w:t>:::</w:t>
      </w:r>
      <w:r w:rsidR="00E52085">
        <w:t>::{tab-item} Analytical tools &amp; Resources</w:t>
      </w:r>
      <w:r w:rsidR="00E52085">
        <w:br/>
        <w:t>| Type | Name | Note | URL |Reference |</w:t>
      </w:r>
      <w:r w:rsidR="00E52085">
        <w:br/>
        <w:t xml:space="preserve">|:----------------|:-------------------------------|:----------------------------------------------------------------|:----------------------|:----------------------------------------| </w:t>
      </w:r>
      <w:r w:rsidR="00E52085">
        <w:br/>
        <w:t>| resource1_type | resource1_name | resource1_note | resource1_url | {{ rbib_resource1_ref_id }} |</w:t>
      </w:r>
      <w:r w:rsidR="00E52085">
        <w:br/>
        <w:t>| resource2_type | resource2_name | resource2_note | resource2_url | {{ rbib_resource2_ref_id }} |</w:t>
      </w:r>
      <w:r w:rsidR="00E52085">
        <w:br/>
        <w:t>| resource3_type | resource3_name | resource3_note | resource3_url | {{ rbib_resource3_ref_id }} |</w:t>
      </w:r>
      <w:r w:rsidR="00E52085">
        <w:br/>
        <w:t>| resource4_type | resource4_name | resource4_note | resource4_url | {{ rbib_resource4_ref_id }} |</w:t>
      </w:r>
      <w:r w:rsidR="00E52085">
        <w:br/>
        <w:t>| resource5_type | resource5_name | resource5_note | resource5_url | {{ rbib_resource5_ref_id }} |</w:t>
      </w:r>
      <w:r w:rsidR="00E52085">
        <w:br/>
        <w:t>| resource6_type | resource6_name | resource6_note | resource6_url | {{ rbib_resource6_ref_id }} |</w:t>
      </w:r>
      <w:r w:rsidR="00E52085">
        <w:br/>
        <w:t>| resource7_type | resource7_name | resource7_note | resource7_url | {{ rbib_resource7_ref_id }} |</w:t>
      </w:r>
      <w:r w:rsidR="00E52085">
        <w:br/>
        <w:t>| resource8_type | resource8_name | resource8_note | resource8_url | {{ rbib_resource8_ref_id}} |</w:t>
      </w:r>
      <w:r w:rsidR="00E52085">
        <w:br/>
        <w:t>| resource9_type | resource9_name | resource9_note | resource9_url | {{ rbib_resource9_ref_id }} |</w:t>
      </w:r>
      <w:r w:rsidR="00E52085">
        <w:br/>
        <w:t>| resource10_type | resource10_name | resource10_note | resource10_url | {{ rbib_resource10_ref_id }} |</w:t>
      </w:r>
      <w:r w:rsidR="00E52085">
        <w:br/>
        <w:t>| resource11_type | resource11_name | resource11_note | resource11_url | {{ rbib_resource11_ref_id }} |</w:t>
      </w:r>
      <w:r w:rsidR="00E52085">
        <w:br/>
        <w:t>| resource12_type | resource12_name | resource12_note | resource12_url | {{ rbib_resource12_ref_id }} |</w:t>
      </w:r>
      <w:r w:rsidR="00E52085">
        <w:br/>
        <w:t>| resource13_type | resource13_name | resource13_note | resource13_url | {{ rbib_resource13_ref_id }} |</w:t>
      </w:r>
      <w:r w:rsidR="00E52085">
        <w:br/>
        <w:t>| resource14_type | resource14_name | resource14_note | resource14_url | {{ rbib_resource14_ref_id }} |</w:t>
      </w:r>
      <w:r w:rsidR="00E52085">
        <w:br/>
        <w:t>| resource15_type | resource15_name | resource15_note | resource15_url | {{ rbib_resource15_ref_id }} |</w:t>
      </w:r>
      <w:r w:rsidR="00E52085">
        <w:br/>
        <w:t>| resource16_type | resource16_name | resource16_note | resource16_url | {{ rbib_resource16_ref_id }} |</w:t>
      </w:r>
      <w:r w:rsidR="00E52085">
        <w:br/>
        <w:t>| resource17_type | resource17_name | resource17_note | resource17_url | {{ rbib_resource17_ref_id }} |</w:t>
      </w:r>
      <w:r w:rsidR="00E52085">
        <w:br/>
        <w:t>| resource18_type | resource18_name | resource18_note | resource18_url| {{ rbib_resource18_ref_id}} |</w:t>
      </w:r>
      <w:r w:rsidR="00E52085">
        <w:br/>
        <w:t>| resource19_type | resource19_name | resource19_note | resource19_url | {{ rbib_resource19_ref_id }} |</w:t>
      </w:r>
      <w:r w:rsidR="00E52085">
        <w:br/>
        <w:t>| resource20_type | resource20_name | resource20_note | resource20_url | {{ rbib_resource20_ref_id }} |</w:t>
      </w:r>
      <w:r w:rsidR="00E52085">
        <w:br/>
        <w:t>:::</w:t>
      </w:r>
      <w:r>
        <w:t>:::</w:t>
      </w:r>
    </w:p>
    <w:p w:rsidR="00F13C7C" w:rsidRDefault="00F13C7C">
      <w:r>
        <w:t>:::</w:t>
      </w:r>
      <w:r w:rsidR="00E52085">
        <w:t>:::{tab-item} References</w:t>
      </w:r>
      <w:r w:rsidR="00E52085">
        <w:br/>
        <w:t>{{ rbib_augustine_et_al_2016 }}</w:t>
      </w:r>
      <w:r>
        <w:br/>
      </w:r>
      <w:r w:rsidR="00E52085">
        <w:t>{{ rbib_oconnor_et_al_2017 }}</w:t>
      </w:r>
      <w:r>
        <w:br/>
      </w:r>
      <w:r w:rsidR="00E52085">
        <w:t>{{ rbib_hurlbert_1984 }}</w:t>
      </w:r>
      <w:r>
        <w:br/>
      </w:r>
      <w:r w:rsidR="00E52085">
        <w:t>{{ rbib_kelejian_prucha_1998 }}</w:t>
      </w:r>
      <w:r>
        <w:br/>
      </w:r>
      <w:r w:rsidR="00E52085">
        <w:t>{{ rbib_mcclintock_et_al_2013 }}</w:t>
      </w:r>
      <w:r>
        <w:br/>
      </w:r>
      <w:r w:rsidR="00E52085">
        <w:t>{{ rbib_ramage_et_al_2013 }}</w:t>
      </w:r>
      <w:r>
        <w:br/>
      </w:r>
      <w:r w:rsidR="00E52085">
        <w:t>{{ rbib_wearn_gloverkapfer_2017 }}</w:t>
      </w:r>
      <w:r>
        <w:br/>
      </w:r>
      <w:r w:rsidR="00E52085">
        <w:t>{{ rbib_zuckerberg_et_al_2020 }}</w:t>
      </w:r>
      <w:r w:rsidR="00E52085">
        <w:tab/>
      </w:r>
      <w:r w:rsidR="00E52085">
        <w:br/>
        <w:t>:::</w:t>
      </w:r>
      <w:r>
        <w:t>:::</w:t>
      </w:r>
    </w:p>
    <w:p w:rsidR="00F13C7C" w:rsidRDefault="00F13C7C">
      <w:r>
        <w:t>:::</w:t>
      </w:r>
      <w:r w:rsidR="00E52085">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85"/>
    <w:rsid w:val="00226A7E"/>
    <w:rsid w:val="004B316E"/>
    <w:rsid w:val="006C2A04"/>
    <w:rsid w:val="00782B25"/>
    <w:rsid w:val="00B8086A"/>
    <w:rsid w:val="00E52085"/>
    <w:rsid w:val="00F13C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41C3A-774C-4FE9-94F3-D203A180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085"/>
    <w:rPr>
      <w:rFonts w:eastAsiaTheme="majorEastAsia" w:cstheme="majorBidi"/>
      <w:color w:val="272727" w:themeColor="text1" w:themeTint="D8"/>
    </w:rPr>
  </w:style>
  <w:style w:type="paragraph" w:styleId="Title">
    <w:name w:val="Title"/>
    <w:basedOn w:val="Normal"/>
    <w:next w:val="Normal"/>
    <w:link w:val="TitleChar"/>
    <w:uiPriority w:val="10"/>
    <w:qFormat/>
    <w:rsid w:val="00E52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085"/>
    <w:pPr>
      <w:spacing w:before="160"/>
      <w:jc w:val="center"/>
    </w:pPr>
    <w:rPr>
      <w:i/>
      <w:iCs/>
      <w:color w:val="404040" w:themeColor="text1" w:themeTint="BF"/>
    </w:rPr>
  </w:style>
  <w:style w:type="character" w:customStyle="1" w:styleId="QuoteChar">
    <w:name w:val="Quote Char"/>
    <w:basedOn w:val="DefaultParagraphFont"/>
    <w:link w:val="Quote"/>
    <w:uiPriority w:val="29"/>
    <w:rsid w:val="00E52085"/>
    <w:rPr>
      <w:i/>
      <w:iCs/>
      <w:color w:val="404040" w:themeColor="text1" w:themeTint="BF"/>
    </w:rPr>
  </w:style>
  <w:style w:type="paragraph" w:styleId="ListParagraph">
    <w:name w:val="List Paragraph"/>
    <w:basedOn w:val="Normal"/>
    <w:uiPriority w:val="34"/>
    <w:qFormat/>
    <w:rsid w:val="00E52085"/>
    <w:pPr>
      <w:ind w:left="720"/>
      <w:contextualSpacing/>
    </w:pPr>
  </w:style>
  <w:style w:type="character" w:styleId="IntenseEmphasis">
    <w:name w:val="Intense Emphasis"/>
    <w:basedOn w:val="DefaultParagraphFont"/>
    <w:uiPriority w:val="21"/>
    <w:qFormat/>
    <w:rsid w:val="00E52085"/>
    <w:rPr>
      <w:i/>
      <w:iCs/>
      <w:color w:val="0F4761" w:themeColor="accent1" w:themeShade="BF"/>
    </w:rPr>
  </w:style>
  <w:style w:type="paragraph" w:styleId="IntenseQuote">
    <w:name w:val="Intense Quote"/>
    <w:basedOn w:val="Normal"/>
    <w:next w:val="Normal"/>
    <w:link w:val="IntenseQuoteChar"/>
    <w:uiPriority w:val="30"/>
    <w:qFormat/>
    <w:rsid w:val="00E52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085"/>
    <w:rPr>
      <w:i/>
      <w:iCs/>
      <w:color w:val="0F4761" w:themeColor="accent1" w:themeShade="BF"/>
    </w:rPr>
  </w:style>
  <w:style w:type="character" w:styleId="IntenseReference">
    <w:name w:val="Intense Reference"/>
    <w:basedOn w:val="DefaultParagraphFont"/>
    <w:uiPriority w:val="32"/>
    <w:qFormat/>
    <w:rsid w:val="00E52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