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65DC" w:rsidRDefault="00496C51">
      <w:r>
        <w:t>---</w:t>
      </w:r>
      <w:r>
        <w:br/>
        <w:t>jupytext:</w:t>
      </w:r>
      <w:r>
        <w:br/>
        <w:t>[[space2]]formats: md:myst</w:t>
      </w:r>
      <w:r w:rsidR="005965DC">
        <w:br/>
      </w:r>
      <w:r>
        <w:t>[[space2]]text_representation:</w:t>
      </w:r>
      <w:r w:rsidR="005965DC">
        <w:br/>
      </w:r>
      <w:r>
        <w:t>[[space4]]extension: .md</w:t>
      </w:r>
      <w:r w:rsidR="005965DC">
        <w:br/>
      </w:r>
      <w:r>
        <w:t>[[space4]]format_name: myst</w:t>
      </w:r>
      <w:r w:rsidR="005965DC">
        <w:br/>
      </w:r>
      <w:r>
        <w:t>[[space4]]format_version: 0.17.2 &lt;!--0.13--&gt;</w:t>
      </w:r>
      <w:r w:rsidR="005965DC">
        <w:br/>
      </w:r>
      <w:r>
        <w:t>[[space4]]jupytext_version: 1.16.4 &lt;!-- 6.5.4--&gt;</w:t>
      </w:r>
      <w:r>
        <w:br/>
        <w:t>kernelspec:</w:t>
      </w:r>
      <w:r>
        <w:br/>
        <w:t>[[space2]]display_name: Python 3</w:t>
      </w:r>
      <w:r w:rsidR="005965DC">
        <w:br/>
      </w:r>
      <w:r>
        <w:t>[[space2]]language: python</w:t>
      </w:r>
      <w:r w:rsidR="005965DC">
        <w:br/>
      </w:r>
      <w:r>
        <w:t>[[space2]]name: python3</w:t>
      </w:r>
      <w:r>
        <w:br/>
        <w:t xml:space="preserve">editor_options: </w:t>
      </w:r>
      <w:r>
        <w:br/>
        <w:t>[[space2]]markdown:</w:t>
      </w:r>
      <w:r w:rsidR="005965DC">
        <w:br/>
      </w:r>
      <w:r>
        <w:t>[[space4]]wrap: none</w:t>
      </w:r>
      <w:r>
        <w:br/>
        <w:t>---</w:t>
      </w:r>
      <w:r w:rsidR="005965DC">
        <w:br/>
      </w:r>
      <w:r>
        <w:t>(i_mod_rest)=</w:t>
      </w:r>
      <w:r>
        <w:br/>
        <w:t># {{ title_i_mod_rest }}</w:t>
      </w:r>
    </w:p>
    <w:p w:rsidR="005965DC" w:rsidRDefault="00496C51">
      <w:r>
        <w:t>&lt;!--</w:t>
      </w:r>
      <w:r w:rsidR="005965DC">
        <w:br/>
      </w:r>
      <w:r>
        <w:t>:::{hint}</w:t>
      </w:r>
      <w:r w:rsidR="005965DC">
        <w:br/>
      </w:r>
      <w:r>
        <w:t>replace me with text</w:t>
      </w:r>
      <w:r w:rsidR="005965DC">
        <w:br/>
      </w:r>
      <w:r>
        <w:t>:::</w:t>
      </w:r>
      <w:r w:rsidR="005965DC">
        <w:br/>
      </w:r>
      <w:r>
        <w:t>--&gt;</w:t>
      </w:r>
    </w:p>
    <w:p w:rsidR="005965DC" w:rsidRDefault="00496C51">
      <w:r>
        <w:t>**{{ name_mod_rest }}**: {{ def_mod_rest }}</w:t>
      </w:r>
      <w:r w:rsidR="005965DC">
        <w:br/>
        <w:t>```</w:t>
      </w:r>
      <w:r>
        <w:t>{include} pro_con_assump/mod_rest_apc.md</w:t>
      </w:r>
      <w:r>
        <w:br/>
        <w:t>```</w:t>
      </w:r>
    </w:p>
    <w:p w:rsidR="005965DC" w:rsidRDefault="005965DC">
      <w:r>
        <w:t>:::::::{tab-set}</w:t>
      </w:r>
    </w:p>
    <w:p w:rsidR="005965DC" w:rsidRDefault="005965DC">
      <w:r>
        <w:t>:::</w:t>
      </w:r>
      <w:r w:rsidR="00496C51">
        <w:t>:::{tab-item} Overview</w:t>
      </w:r>
      <w:r w:rsidR="00496C51">
        <w:br/>
        <w:t>```{include} include/00_coming_soon.md</w:t>
      </w:r>
      <w:r>
        <w:br/>
      </w:r>
      <w:r w:rsidR="00496C51">
        <w:t>```</w:t>
      </w:r>
      <w:r>
        <w:br/>
        <w:t>::::::</w:t>
      </w:r>
    </w:p>
    <w:p w:rsidR="005965DC" w:rsidRDefault="005965DC">
      <w:r>
        <w:t>:::</w:t>
      </w:r>
      <w:r w:rsidR="00496C51">
        <w:t>:::{tab-item} In-depth</w:t>
      </w:r>
      <w:r w:rsidR="00496C51">
        <w:br/>
        <w:t>```{include} include/note_adapted_clarke_et_al_2023.md</w:t>
      </w:r>
      <w:r>
        <w:br/>
      </w:r>
      <w:r w:rsidR="00496C51">
        <w:t>```</w:t>
      </w:r>
    </w:p>
    <w:p w:rsidR="005965DC" w:rsidRDefault="00496C51">
      <w:r>
        <w:lastRenderedPageBreak/>
        <w:t xml:space="preserve">The random encounter and staying time (REST) model is an extension of the random encounter model (REM; ({{ rtxt_gilbert_et_al_2020 }}). 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005965DC">
        <w:t>"</w:t>
      </w:r>
      <w:r>
        <w:t>staying time</w:t>
      </w:r>
      <w:r w:rsidR="005965DC">
        <w:t>"</w:t>
      </w:r>
      <w:r>
        <w:t xml:space="preserve">) as a proxy for animal movement speed, since the two measures are inversely proportional ({{ rtxt_nakashima_et_al_2017 }}). </w:t>
      </w:r>
    </w:p>
    <w:p w:rsidR="005965DC" w:rsidRDefault="00496C51">
      <w:r>
        <w:t xml:space="preserve">The REST equation is a modified version of the REM equation which substitutes staying time for movement speed, and a detection area of set size for detection zone radius and angle, such that: </w:t>
      </w:r>
      <w:r w:rsidR="005965DC">
        <w:br/>
      </w:r>
      <w:r>
        <w:t xml:space="preserve"> </w:t>
      </w:r>
      <w:r w:rsidR="005965DC">
        <w:br/>
      </w:r>
      <w:r>
        <w:t>```{figure} ../03_images/03_image_files/clarke_et_al_2023_eqn_rest1.png</w:t>
      </w:r>
      <w:r w:rsidR="005965DC">
        <w:br/>
      </w:r>
      <w:r>
        <w:t>:align: center</w:t>
      </w:r>
      <w:r w:rsidR="005965DC">
        <w:br/>
      </w:r>
      <w:r>
        <w:t>```</w:t>
      </w:r>
    </w:p>
    <w:p w:rsidR="005965DC" w:rsidRDefault="00496C51">
      <w:r>
        <w:t>where *</w:t>
      </w:r>
      <w:r>
        <w:rPr>
          <w:rFonts w:ascii="Cambria Math" w:hAnsi="Cambria Math" w:cs="Cambria Math"/>
        </w:rPr>
        <w:t>𝑌</w:t>
      </w:r>
      <w:r>
        <w:t>* is the number of detections, *</w:t>
      </w:r>
      <w:r>
        <w:rPr>
          <w:rFonts w:ascii="Cambria Math" w:hAnsi="Cambria Math" w:cs="Cambria Math"/>
        </w:rPr>
        <w:t>𝑇</w:t>
      </w:r>
      <w:r>
        <w:t>* is the staying time, *</w:t>
      </w:r>
      <w:r>
        <w:rPr>
          <w:rFonts w:ascii="Cambria Math" w:hAnsi="Cambria Math" w:cs="Cambria Math"/>
        </w:rPr>
        <w:t>𝑠</w:t>
      </w:r>
      <w:r>
        <w:t>* is the area within which all individuals are certain to be detected (hereafter, focal area), and *</w:t>
      </w:r>
      <w:r>
        <w:rPr>
          <w:rFonts w:ascii="Cambria Math" w:hAnsi="Cambria Math" w:cs="Cambria Math"/>
        </w:rPr>
        <w:t>𝐻</w:t>
      </w:r>
      <w:r>
        <w:t>* is the total research period (i.e., the total sampling time; {{ rtxt_nakashima_et_al_2017 }}). This equation produces an estimate of density *</w:t>
      </w:r>
      <w:r>
        <w:rPr>
          <w:rFonts w:ascii="Cambria Math" w:hAnsi="Cambria Math" w:cs="Cambria Math"/>
        </w:rPr>
        <w:t>𝐷</w:t>
      </w:r>
      <w:r>
        <w:t xml:space="preserve">* at a single camera; to determine population density for the study area, density estimates must be averaged across camera stations.  </w:t>
      </w:r>
    </w:p>
    <w:p w:rsidR="005965DC" w:rsidRDefault="00496C51">
      <w:r>
        <w:t>To implement the REST model, practitioners must first establish the focal area *</w:t>
      </w:r>
      <w:r>
        <w:rPr>
          <w:rFonts w:ascii="Cambria Math" w:hAnsi="Cambria Math" w:cs="Cambria Math"/>
        </w:rPr>
        <w:t>𝑠</w:t>
      </w:r>
      <w:r>
        <w:t xml:space="preserve">*.  Methods at practitioners’ disposal include testing focal areas of different sizes under controlled conditions (e.g., using domestic animals) and determining detection probabilities ({{ rtxt_nakashima_et_al_2017 }}; {{ rtxt_rowcliffe_et_al_2014 }}), or using distance sampling (DS) functions to delineate the zone of certain detection (as described in Hofmeester et al. [2017] and implemented in Palencia et al. [2021]). Although it can be any shape, a triangular focal area maximizes the number of usable detections (fewer captures fall outside of the focal area; {{ rtxt_nakashima_et_al_2017 }}). </w:t>
      </w:r>
    </w:p>
    <w:p w:rsidR="005965DC" w:rsidRDefault="00496C51">
      <w:r>
        <w:t>Once established, the focal area is staked out in front of every camera in the field (e.g., using ropes and pegs), a reference image is taken, and any staking equipment is removed before the camera is left to collect images or videos ({{ rtxt_nakashima_et_al_2017 }}; {{ rtxt_palencia_et_al_2021 }}; {{ rtxt_nakajima_2021a }}). During image processing, captures of animals are overlaid on reference images (Figure 8A; {{ rtxt_nakajima_2021a }}). Alternatively, the focal area can be superimposed on captures of animals as in Figure 8B. Markers (e.g., stones) placed at known distances from the camera are used as a guide for placing the focal area ({{ rtxt_palencia_et_al_2021 }}). Staying time *</w:t>
      </w:r>
      <w:r>
        <w:rPr>
          <w:rFonts w:ascii="Cambria Math" w:hAnsi="Cambria Math" w:cs="Cambria Math"/>
        </w:rPr>
        <w:t>𝑇</w:t>
      </w:r>
      <w:r>
        <w:t xml:space="preserve">* is the time an animal spends in the focal area; it is measured from the moment an animal’s hind leg enters the focal area until it exits (i.e.,* </w:t>
      </w:r>
      <w:r>
        <w:rPr>
          <w:rFonts w:ascii="Cambria Math" w:hAnsi="Cambria Math" w:cs="Cambria Math"/>
        </w:rPr>
        <w:t>𝑇</w:t>
      </w:r>
      <w:r>
        <w:t>&lt;sub&gt;</w:t>
      </w:r>
      <w:r>
        <w:rPr>
          <w:rFonts w:ascii="Cambria Math" w:hAnsi="Cambria Math" w:cs="Cambria Math"/>
        </w:rPr>
        <w:t>𝑒𝑥𝑖𝑡</w:t>
      </w:r>
      <w:r>
        <w:t xml:space="preserve">&lt;/sub&gt; − </w:t>
      </w:r>
      <w:r>
        <w:rPr>
          <w:rFonts w:ascii="Cambria Math" w:hAnsi="Cambria Math" w:cs="Cambria Math"/>
        </w:rPr>
        <w:t>𝑇</w:t>
      </w:r>
      <w:r>
        <w:t>&lt;sub&gt;</w:t>
      </w:r>
      <w:r>
        <w:rPr>
          <w:rFonts w:ascii="Cambria Math" w:hAnsi="Cambria Math" w:cs="Cambria Math"/>
        </w:rPr>
        <w:t>𝑒𝑛𝑡𝑒𝑟</w:t>
      </w:r>
      <w:r>
        <w:t>&lt;/sub&gt;*).</w:t>
      </w:r>
    </w:p>
    <w:p w:rsidR="005965DC" w:rsidRDefault="00496C51">
      <w:r>
        <w:lastRenderedPageBreak/>
        <w:t>Importantly, estimates of density *</w:t>
      </w:r>
      <w:r>
        <w:rPr>
          <w:rFonts w:ascii="Cambria Math" w:hAnsi="Cambria Math" w:cs="Cambria Math"/>
        </w:rPr>
        <w:t>𝐷</w:t>
      </w:r>
      <w:r>
        <w:t xml:space="preserve">* must be corrected for activity level – that is, the proportion of time animals are active – such that: </w:t>
      </w:r>
      <w:r w:rsidR="005965DC">
        <w:br/>
        <w:t>```</w:t>
      </w:r>
      <w:r>
        <w:t>{figure} ../03_images/03_image_files/clarke_et_al_2023_eqn_rest2.png</w:t>
      </w:r>
      <w:r w:rsidR="005965DC">
        <w:br/>
      </w:r>
      <w:r>
        <w:t>:width: 300px</w:t>
      </w:r>
      <w:r w:rsidR="005965DC">
        <w:br/>
      </w:r>
      <w:r>
        <w:t>:align: center</w:t>
      </w:r>
      <w:r w:rsidR="005965DC">
        <w:br/>
      </w:r>
      <w:r>
        <w:t>```</w:t>
      </w:r>
    </w:p>
    <w:p w:rsidR="005965DC" w:rsidRDefault="00496C51">
      <w:r>
        <w:t>where *</w:t>
      </w:r>
      <w:r>
        <w:rPr>
          <w:rFonts w:ascii="Cambria Math" w:hAnsi="Cambria Math" w:cs="Cambria Math"/>
        </w:rPr>
        <w:t>𝐷</w:t>
      </w:r>
      <w:r>
        <w:rPr>
          <w:rFonts w:ascii="Calibri" w:hAnsi="Calibri" w:cs="Calibri"/>
        </w:rPr>
        <w:t>̂</w:t>
      </w:r>
      <w:r>
        <w:t>* is the corrected density estimate and *</w:t>
      </w:r>
      <w:r>
        <w:rPr>
          <w:rFonts w:ascii="Cambria Math" w:hAnsi="Cambria Math" w:cs="Cambria Math"/>
        </w:rPr>
        <w:t>𝑎</w:t>
      </w:r>
      <w:r>
        <w:t xml:space="preserve">* is the activity level ({{ rtxt_palencia_et_al_2021 }}, ({{ rtxt_rowcliffe_et_al_2014 }}). Activity level is determined as per Rowcliffe et al. (2014). </w:t>
      </w:r>
      <w:r w:rsidR="005965DC">
        <w:br/>
        <w:t>```</w:t>
      </w:r>
      <w:r>
        <w:t>{figure} ../03_images/03_image_files/clarke_et_al_2023_fig8_clipped.png</w:t>
      </w:r>
      <w:r w:rsidR="005965DC">
        <w:br/>
      </w:r>
      <w:r>
        <w:t>:width: 300px</w:t>
      </w:r>
      <w:r w:rsidR="005965DC">
        <w:br/>
      </w:r>
      <w:r>
        <w:t>:align: center</w:t>
      </w:r>
      <w:r w:rsidR="005965DC">
        <w:br/>
      </w:r>
      <w:r>
        <w:t>```</w:t>
      </w:r>
    </w:p>
    <w:p w:rsidR="005965DC" w:rsidRDefault="00496C51">
      <w:r>
        <w:t xml:space="preserve">&gt; **Clarke et al. 2023 - Fig. 8.** A) Still from </w:t>
      </w:r>
      <w:r>
        <w:rPr>
          <w:rFonts w:ascii="MS Gothic" w:eastAsia="MS Gothic" w:hAnsi="MS Gothic" w:cs="MS Gothic" w:hint="eastAsia"/>
        </w:rPr>
        <w:t>中島啓裕</w:t>
      </w:r>
      <w:r>
        <w:rPr>
          <w:rFonts w:ascii="Calibri" w:hAnsi="Calibri" w:cs="Calibri"/>
        </w:rPr>
        <w:t>’</w:t>
      </w:r>
      <w:r>
        <w:t>s (2021a) video series. Example of overlaying a video recording of an animal on a Reference image of the focal area (faint triangle) to determine staying time *</w:t>
      </w:r>
      <w:r>
        <w:rPr>
          <w:rFonts w:ascii="Cambria Math" w:hAnsi="Cambria Math" w:cs="Cambria Math"/>
        </w:rPr>
        <w:t>𝑇</w:t>
      </w:r>
      <w:r>
        <w:t>*. B) Still from Appendix S2 from Palencia et al. (2021). Example of superimposing the focal area on an image capture.</w:t>
      </w:r>
    </w:p>
    <w:p w:rsidR="005965DC" w:rsidRDefault="00496C51">
      <w:r>
        <w:t>## Simulations and Field Experiments</w:t>
      </w:r>
    </w:p>
    <w:p w:rsidR="005965DC" w:rsidRDefault="00496C51">
      <w:r>
        <w:t xml:space="preserve">Nakashima et al. (2017) ran random walk simulations to test the REST’s performance. In its simplest form, a random walk models the series of steps an animal (the </w:t>
      </w:r>
      <w:r w:rsidR="005965DC">
        <w:t>"</w:t>
      </w:r>
      <w:r>
        <w:t>walker</w:t>
      </w:r>
      <w:r w:rsidR="005965DC">
        <w:t>"</w:t>
      </w:r>
      <w:r>
        <w:t>) takes – each in a completely arbitrary direction, or in a pattern informed by behaviour, ecology and environment ({{ rtxt_codling_et_al_2008 }}). Nakashima et al.’s (2017)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 rtxt_nakashima_et_al_2017 }}). The model produced biased results, however, when captures of animals resting in the focal area were included in staying times ({{ rtxt_nakashima_et_al_2017 }}). To minimize bias: 1) any detections with exceedingly long staying times (i.e., right outliers) should be discarded; and 2) density estimates should be corrected for activity level *</w:t>
      </w:r>
      <w:r>
        <w:rPr>
          <w:rFonts w:ascii="Cambria Math" w:hAnsi="Cambria Math" w:cs="Cambria Math"/>
        </w:rPr>
        <w:t>𝑎</w:t>
      </w:r>
      <w:r>
        <w:t>* using the method outlined in Rowcliffe et al. (2014; {{ rtxt_nakashima_et_al_2017 }}).</w:t>
      </w:r>
    </w:p>
    <w:p w:rsidR="005965DC" w:rsidRDefault="00496C51">
      <w:r>
        <w:t xml:space="preserve">Garland et al. (2020) ran a </w:t>
      </w:r>
      <w:r w:rsidR="005965DC">
        <w:t>"</w:t>
      </w:r>
      <w:r>
        <w:t>real life</w:t>
      </w:r>
      <w:r w:rsidR="005965DC">
        <w:t>"</w:t>
      </w:r>
      <w:r>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 rtxt_garland_et_al_2020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 rtxt_garland_et_al_2020 }}). Note than humans were fully agnostic to detectors – an assumption often violated by animals ({{ rtxt_caravaggi_et_al_2020 }}). </w:t>
      </w:r>
    </w:p>
    <w:p w:rsidR="005965DC" w:rsidRDefault="00496C51">
      <w:r>
        <w:t xml:space="preserve">Both Garland et al. (2020) and Nakashima et al. (2018)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km&lt;sup&gt;2&lt;/sup&gt; in Garland et al. (2020) and 10 individuals per km&lt;sup&gt;2&lt;/sup&gt; in Nakashima et al. (2018) – and likely do not apply to average-to-low density populations. Low sampling effort was also linked to imprecision – the fewer cameras deployed, the less precise the density estimate ({{ rtxt_garland_et_al_2020 }}; {{ rtxt_nakashima_et_al_2017 }}). Thus, although little sampling effort is needed to produce accurate density estimates for very dense populations, considerable sampling effort will be necessary for most populations, and to produce precise estimates. </w:t>
      </w:r>
    </w:p>
    <w:p w:rsidR="005965DC" w:rsidRDefault="00496C51">
      <w:r>
        <w:t>### In the field</w:t>
      </w:r>
      <w:r w:rsidR="005965DC">
        <w:br/>
      </w:r>
      <w:r>
        <w:t>- The REST was initially validated by Nakashima et al. (2018), who compared density estimates of forest-dwelling antelopes from the camera data-based model and line-transect surveys (see {bdg-link-primary-line}`Distance sampling&lt;https://ab-rcsc.github.io/rc-decision-support-tool_concept-library/02_dialog-boxes/03_20_mod_ds.html&gt;`). In this system, both methods produced similar estimates of antelope density, with similar precision ({{ rtxt_nakashima_et_al_2017 }}). A follow-up study in the same area further demonstrated that the model can produce unbiased estimates of density ({{ rtxt_nakashima_et_al_2020 }}).</w:t>
      </w:r>
      <w:r w:rsidR="005965DC">
        <w:br/>
      </w:r>
      <w:r>
        <w:t xml:space="preserve">- The model produced estimates of snowshoe hare density comparable to livetrapping SCR in the boreal forest of the northwestern United States ({{ rtxt_jensen_et_al_2022 }}). REST- and REM-based estimates were also consistent with each other, and both models outperformed the time-to-event model (TTE; see {bdg-link-primary-line}`Time-to-event&lt;https://ab-rcsc.github.io/rc-decision-support-tool_concept-library/02_dialog-boxes/03_20_mod_tte.html&gt;`; {{ rtxt_jensen_et_al_2022 }}). </w:t>
      </w:r>
      <w:r w:rsidR="005965DC">
        <w:br/>
      </w:r>
      <w:r>
        <w:t xml:space="preserve">- Palencia et al. (2021) found that REST-derived density estimates were consistent with line-transect surveys of deer, but not with drive-count surveys of boar; the REST underestimated density compared to the latter. The model was, however, highly consistent with the REM and camera trap distance sampling (DS; {{ rtxt_palencia_et_al_2021 }}). Furthermore, the REST was more precise than the other two camera models – although not significantly ({{ rtxt_palencia_et_al_2021 }}). </w:t>
      </w:r>
    </w:p>
    <w:p w:rsidR="005965DC" w:rsidRDefault="00496C51">
      <w:r>
        <w:t>Practitioners should be aware that population densities were quite high in the studies listed above (about 1 to 160 animals per km&lt;sup&gt;2&lt;/sup&gt;; {{ rtxt_jensen_et_al_2022 }}; {{ rtxt_nakashima_et_al_2017 }}). Thus, while the REST model applies well to very dense populations, it may not be appropriate for average-to-low density populations (e.g., wildlife populations in BC, with densities often &lt;1 animal/km&lt;sup&gt;2&lt;/sup&gt;); further investigation is needed ({{ rtxt_morin_et_al_2022 }}). The precision of the REST is also inversely related to population size – the smaller the population, the less precise the density estimate ({{ rtxt_morin_et_al_2022 }}).</w:t>
      </w:r>
      <w:r w:rsidR="005965DC">
        <w:br/>
        <w:t>::::::</w:t>
      </w:r>
    </w:p>
    <w:p w:rsidR="005965DC" w:rsidRDefault="005965DC">
      <w:r>
        <w:t>:::</w:t>
      </w:r>
      <w:r w:rsidR="00496C51">
        <w:t>:::{tab-item} Visual resources</w:t>
      </w:r>
    </w:p>
    <w:p w:rsidR="005965DC" w:rsidRDefault="005965DC">
      <w:r>
        <w:t>:::::{grid}</w:t>
      </w:r>
      <w:r w:rsidR="00496C51">
        <w:t xml:space="preserve"> 3</w:t>
      </w:r>
      <w:r w:rsidR="00496C51">
        <w:br/>
      </w:r>
      <w:r>
        <w:t>:gutter: 1</w:t>
      </w:r>
      <w:r>
        <w:br/>
        <w:t>:padding: 0</w:t>
      </w:r>
      <w:r>
        <w:br/>
        <w:t>:margin: 0</w:t>
      </w:r>
    </w:p>
    <w:p w:rsidR="005965DC" w:rsidRDefault="005965DC">
      <w:r>
        <w:t>:::</w:t>
      </w:r>
      <w:r w:rsidR="00496C51">
        <w:t xml:space="preserve">:{grid-item-card} {{ rtxt_clarke_et_al_2023 </w:t>
      </w:r>
      <w:r>
        <w:t>}}</w:t>
      </w:r>
      <w:r>
        <w:br/>
        <w:t xml:space="preserve">:::{figure} </w:t>
      </w:r>
      <w:r w:rsidR="00496C51">
        <w:t>../03_images/03_image_files/clarke_et_al_2023_eqn_rest1.png</w:t>
      </w:r>
      <w:r w:rsidR="00496C51">
        <w:br/>
        <w:t>:class: img_grid</w:t>
      </w:r>
      <w:r w:rsidR="00496C51">
        <w:br/>
        <w:t>:::</w:t>
      </w:r>
      <w:r w:rsidR="00496C51">
        <w:br/>
        <w:t xml:space="preserve">  </w:t>
      </w:r>
      <w:r w:rsidR="00496C51">
        <w:br/>
        <w:t>:</w:t>
      </w:r>
      <w:r>
        <w:t>:::</w:t>
      </w:r>
    </w:p>
    <w:p w:rsidR="005965DC" w:rsidRDefault="005965DC">
      <w:r>
        <w:t>:::</w:t>
      </w:r>
      <w:r w:rsidR="00496C51">
        <w:t xml:space="preserve">:{grid-item-card} {{ rtxt_clarke_et_al_2023 </w:t>
      </w:r>
      <w:r>
        <w:t>}}</w:t>
      </w:r>
      <w:r>
        <w:br/>
        <w:t xml:space="preserve">:::{figure} </w:t>
      </w:r>
      <w:r w:rsidR="00496C51">
        <w:t xml:space="preserve">../03_images/03_image_files/clarke_et_al_2023_eqn_rest2.png </w:t>
      </w:r>
      <w:r w:rsidR="00496C51">
        <w:br/>
        <w:t>:class: img_grid</w:t>
      </w:r>
      <w:r w:rsidR="00496C51">
        <w:br/>
        <w:t>:::</w:t>
      </w:r>
      <w:r w:rsidR="00496C51">
        <w:br/>
        <w:t xml:space="preserve">  </w:t>
      </w:r>
      <w:r w:rsidR="00496C51">
        <w:br/>
        <w:t>:</w:t>
      </w:r>
      <w:r>
        <w:t>:::</w:t>
      </w:r>
    </w:p>
    <w:p w:rsidR="005965DC" w:rsidRDefault="005965DC">
      <w:r>
        <w:t>:::</w:t>
      </w:r>
      <w:r w:rsidR="00496C51">
        <w:t xml:space="preserve">:{grid-item-card} {{ rtxt_clarke_et_al_2023 </w:t>
      </w:r>
      <w:r>
        <w:t>}}</w:t>
      </w:r>
      <w:r>
        <w:br/>
        <w:t xml:space="preserve">:::{figure} </w:t>
      </w:r>
      <w:r w:rsidR="00496C51">
        <w:t xml:space="preserve">../03_images/03_image_files/clarke_et_al_2023_fig8_clipped.png </w:t>
      </w:r>
      <w:r w:rsidR="00496C51">
        <w:br/>
        <w:t>:class: img_grid</w:t>
      </w:r>
      <w:r w:rsidR="00496C51">
        <w:br/>
        <w:t>:::</w:t>
      </w:r>
      <w:r w:rsidR="00496C51">
        <w:br/>
        <w:t xml:space="preserve">**Clarke et al. (2023) - Fig. 8 ** A) Still from </w:t>
      </w:r>
      <w:r w:rsidR="00496C51">
        <w:rPr>
          <w:rFonts w:ascii="MS Gothic" w:eastAsia="MS Gothic" w:hAnsi="MS Gothic" w:cs="MS Gothic" w:hint="eastAsia"/>
        </w:rPr>
        <w:t>中島啓裕</w:t>
      </w:r>
      <w:r w:rsidR="00496C51">
        <w:rPr>
          <w:rFonts w:ascii="Calibri" w:hAnsi="Calibri" w:cs="Calibri"/>
        </w:rPr>
        <w:t>’</w:t>
      </w:r>
      <w:r w:rsidR="00496C51">
        <w:t>s (2021) video series. Example of overlaying a video recording of an animal on a Reference image of the focal area (faint triangle) to determine staying time *</w:t>
      </w:r>
      <w:r w:rsidR="00496C51">
        <w:rPr>
          <w:rFonts w:ascii="Cambria Math" w:hAnsi="Cambria Math" w:cs="Cambria Math"/>
        </w:rPr>
        <w:t>𝑇</w:t>
      </w:r>
      <w:r w:rsidR="00496C51">
        <w:t>*. B) Still from Appendix S2 from Palencia et al. (2021). Example of superimposing the focal area on an image capture.</w:t>
      </w:r>
      <w:r w:rsidR="00496C51">
        <w:br/>
        <w:t>:</w:t>
      </w:r>
      <w:r>
        <w:t>:::</w:t>
      </w:r>
    </w:p>
    <w:p w:rsidR="005965DC" w:rsidRDefault="005965DC">
      <w:r>
        <w:t>:::</w:t>
      </w:r>
      <w:r w:rsidR="00496C51">
        <w:t>::</w:t>
      </w:r>
    </w:p>
    <w:p w:rsidR="005965DC" w:rsidRDefault="005965DC">
      <w:r>
        <w:t>:::::{grid}</w:t>
      </w:r>
      <w:r w:rsidR="00496C51">
        <w:t xml:space="preserve"> 3</w:t>
      </w:r>
      <w:r w:rsidR="00496C51">
        <w:br/>
      </w:r>
      <w:r>
        <w:t>:gutter: 1</w:t>
      </w:r>
      <w:r>
        <w:br/>
        <w:t>:padding: 0</w:t>
      </w:r>
      <w:r>
        <w:br/>
        <w:t>:margin: 0</w:t>
      </w:r>
    </w:p>
    <w:p w:rsidR="005965DC" w:rsidRDefault="005965DC">
      <w:r>
        <w:t>:::</w:t>
      </w:r>
      <w:r w:rsidR="00496C51">
        <w:t xml:space="preserve">:{grid-item-card} {{ rtxt_nakashima_et_al_2017 </w:t>
      </w:r>
      <w:r>
        <w:t>}}</w:t>
      </w:r>
      <w:r>
        <w:br/>
        <w:t xml:space="preserve">:::{figure} </w:t>
      </w:r>
      <w:r w:rsidR="00496C51">
        <w:t xml:space="preserve">../03_images/03_image_files/nakashima_et_al_2017_fig1_clipped.png </w:t>
      </w:r>
      <w:r w:rsidR="00496C51">
        <w:br/>
        <w:t>:class: img_grid</w:t>
      </w:r>
      <w:r w:rsidR="00496C51">
        <w:br/>
        <w:t>:::</w:t>
      </w:r>
      <w:r w:rsidR="00496C51">
        <w:br/>
        <w:t>**Nakashima et al. (2017) - Fig. 1** The view-angle and total area in which camera traps (Bushnell Trophy Cam 2010) can successfully detect passing animals and capture video images of them (grey triangle). Only video data capturing animals that passed within the larger (white; 2.67 m2) or smaller focal area (black; 0.67 m2) were used for density estimations. See text for the details.</w:t>
      </w:r>
      <w:r w:rsidR="00496C51">
        <w:br/>
        <w:t>:</w:t>
      </w:r>
      <w:r>
        <w:t>:::</w:t>
      </w:r>
    </w:p>
    <w:p w:rsidR="005965DC" w:rsidRDefault="005965DC">
      <w:r>
        <w:t>:::</w:t>
      </w:r>
      <w:r w:rsidR="00496C51">
        <w:t xml:space="preserve">:{grid-item-card} {{ rtxt_figure5_ref_id </w:t>
      </w:r>
      <w:r>
        <w:t>}}</w:t>
      </w:r>
      <w:r>
        <w:br/>
        <w:t xml:space="preserve">:::{figure} </w:t>
      </w:r>
      <w:r w:rsidR="00496C51">
        <w:t xml:space="preserve">../03_images/03_image_files/figure5_filename.png </w:t>
      </w:r>
      <w:r w:rsidR="00496C51">
        <w:br/>
        <w:t>:class: img_grid</w:t>
      </w:r>
      <w:r w:rsidR="00496C51">
        <w:br/>
        <w:t>:::</w:t>
      </w:r>
      <w:r w:rsidR="00496C51">
        <w:br/>
      </w:r>
      <w:r>
        <w:t xml:space="preserve"> </w:t>
      </w:r>
      <w:r w:rsidR="00496C51">
        <w:br/>
        <w:t>:</w:t>
      </w:r>
      <w:r>
        <w:t>:::</w:t>
      </w:r>
    </w:p>
    <w:p w:rsidR="005965DC" w:rsidRDefault="005965DC">
      <w:r>
        <w:t>:::</w:t>
      </w:r>
      <w:r w:rsidR="00496C51">
        <w:t xml:space="preserve">:{grid-item-card} {{ rtxt_figure6_ref_id </w:t>
      </w:r>
      <w:r>
        <w:t>}}</w:t>
      </w:r>
      <w:r>
        <w:br/>
        <w:t xml:space="preserve">:::{figure} </w:t>
      </w:r>
      <w:r w:rsidR="00496C51">
        <w:t>../03_images/03_image_files/figure6_filename.png</w:t>
      </w:r>
      <w:r w:rsidR="00496C51">
        <w:br/>
        <w:t>:class: img_grid</w:t>
      </w:r>
      <w:r w:rsidR="00496C51">
        <w:br/>
        <w:t>:::</w:t>
      </w:r>
      <w:r w:rsidR="00496C51">
        <w:br/>
      </w:r>
      <w:r>
        <w:t xml:space="preserve"> </w:t>
      </w:r>
      <w:r w:rsidR="00496C51">
        <w:br/>
        <w:t>:</w:t>
      </w:r>
      <w:r>
        <w:t>:::</w:t>
      </w:r>
    </w:p>
    <w:p w:rsidR="005965DC" w:rsidRDefault="005965DC">
      <w:r>
        <w:t>:::</w:t>
      </w:r>
      <w:r w:rsidR="00496C51">
        <w:t>::</w:t>
      </w:r>
    </w:p>
    <w:p w:rsidR="005965DC" w:rsidRDefault="005965DC">
      <w:r>
        <w:t>:::::{grid}</w:t>
      </w:r>
      <w:r w:rsidR="00496C51">
        <w:t xml:space="preserve"> 3</w:t>
      </w:r>
      <w:r w:rsidR="00496C51">
        <w:br/>
      </w:r>
      <w:r>
        <w:t>:gutter: 1</w:t>
      </w:r>
      <w:r>
        <w:br/>
        <w:t>:padding: 0</w:t>
      </w:r>
      <w:r>
        <w:br/>
        <w:t>:margin: 0</w:t>
      </w:r>
    </w:p>
    <w:p w:rsidR="005965DC" w:rsidRDefault="005965DC">
      <w:r>
        <w:t>:::</w:t>
      </w:r>
      <w:r w:rsidR="00496C51">
        <w:t>:{grid-item-card} {{ rtxt_nakajima_2021b }}</w:t>
      </w:r>
      <w:r w:rsidR="00496C51">
        <w:br/>
        <w:t>&lt;div&gt;&lt;div style=</w:t>
      </w:r>
      <w:r>
        <w:t>"</w:t>
      </w:r>
      <w:r w:rsidR="00496C51">
        <w:t>position:relative;padding-top:56.25%;</w:t>
      </w:r>
      <w:r>
        <w:t>"</w:t>
      </w:r>
      <w:r w:rsidR="00496C51">
        <w:t>&gt;&lt;iframe src=</w:t>
      </w:r>
      <w:r>
        <w:t>"</w:t>
      </w:r>
      <w:r w:rsidR="00496C51">
        <w:t>https://www.youtube.com/embed/pUa9rgxSGVA?si=pOIqFPL6AxNuUYJtl</w:t>
      </w:r>
      <w:r>
        <w:t>"</w:t>
      </w:r>
      <w:r w:rsidR="00496C51">
        <w:t xml:space="preserve"> loading=</w:t>
      </w:r>
      <w:r>
        <w:t>"</w:t>
      </w:r>
      <w:r w:rsidR="00496C51">
        <w:t>lazy</w:t>
      </w:r>
      <w:r>
        <w:t>"</w:t>
      </w:r>
      <w:r w:rsidR="00496C51">
        <w:t xml:space="preserve"> frameborder=</w:t>
      </w:r>
      <w:r>
        <w:t>"</w:t>
      </w:r>
      <w:r w:rsidR="00496C51">
        <w:t>0</w:t>
      </w:r>
      <w:r>
        <w:t>"</w:t>
      </w:r>
      <w:r w:rsidR="00496C51">
        <w:t xml:space="preserve"> allowfullscreen style=</w:t>
      </w:r>
      <w:r>
        <w:t>"</w:t>
      </w:r>
      <w:r w:rsidR="00496C51">
        <w:t>position:absolute;top:0;left:0;width:100%;height:100%;</w:t>
      </w:r>
      <w:r>
        <w:t>"</w:t>
      </w:r>
      <w:r w:rsidR="00496C51">
        <w:t>&gt;&lt;/iframe&gt;&lt;/div&gt;&lt;/div&gt;</w:t>
      </w:r>
    </w:p>
    <w:p w:rsidR="005965DC" w:rsidRDefault="00496C51">
      <w:r>
        <w:t>Density Estimation with the REST Model &gt; REST_01_Set_Focal_Area</w:t>
      </w:r>
      <w:r>
        <w:br/>
        <w:t>:</w:t>
      </w:r>
      <w:r w:rsidR="005965DC">
        <w:t>:::</w:t>
      </w:r>
    </w:p>
    <w:p w:rsidR="005965DC" w:rsidRDefault="005965DC">
      <w:r>
        <w:t>:::</w:t>
      </w:r>
      <w:r w:rsidR="00496C51">
        <w:t xml:space="preserve">:{grid-item-card} {{ rtxt_nakajima_2021c }} </w:t>
      </w:r>
      <w:r w:rsidR="00496C51">
        <w:br/>
        <w:t>&lt;div&gt;&lt;div style=</w:t>
      </w:r>
      <w:r>
        <w:t>"</w:t>
      </w:r>
      <w:r w:rsidR="00496C51">
        <w:t>position:relative;padding-top:56.25%;</w:t>
      </w:r>
      <w:r>
        <w:t>"</w:t>
      </w:r>
      <w:r w:rsidR="00496C51">
        <w:t>&gt;&lt;iframe src=</w:t>
      </w:r>
      <w:r>
        <w:t>"</w:t>
      </w:r>
      <w:r w:rsidR="00496C51">
        <w:t>https://www.youtube.com/embed/wqEF_up7EGs?si=IL2_moYR0XpdR-Fk</w:t>
      </w:r>
      <w:r>
        <w:t>"</w:t>
      </w:r>
      <w:r w:rsidR="00496C51">
        <w:t xml:space="preserve"> loading=</w:t>
      </w:r>
      <w:r>
        <w:t>"</w:t>
      </w:r>
      <w:r w:rsidR="00496C51">
        <w:t>lazy</w:t>
      </w:r>
      <w:r>
        <w:t>"</w:t>
      </w:r>
      <w:r w:rsidR="00496C51">
        <w:t xml:space="preserve"> frameborder=</w:t>
      </w:r>
      <w:r>
        <w:t>"</w:t>
      </w:r>
      <w:r w:rsidR="00496C51">
        <w:t>0</w:t>
      </w:r>
      <w:r>
        <w:t>"</w:t>
      </w:r>
      <w:r w:rsidR="00496C51">
        <w:t xml:space="preserve"> allowfullscreen style=</w:t>
      </w:r>
      <w:r>
        <w:t>"</w:t>
      </w:r>
      <w:r w:rsidR="00496C51">
        <w:t>position:absolute;top:0;left:0;width:100%;height:100%;</w:t>
      </w:r>
      <w:r>
        <w:t>"</w:t>
      </w:r>
      <w:r w:rsidR="00496C51">
        <w:t>&gt;&lt;/iframe&gt;&lt;/div&gt;&lt;/div&gt;</w:t>
      </w:r>
    </w:p>
    <w:p w:rsidR="005965DC" w:rsidRDefault="00496C51">
      <w:r>
        <w:t>Density Estimation with the REST Model &gt; REST_02_Set_Up_Emv</w:t>
      </w:r>
      <w:r>
        <w:br/>
        <w:t>:</w:t>
      </w:r>
      <w:r w:rsidR="005965DC">
        <w:t>:::</w:t>
      </w:r>
    </w:p>
    <w:p w:rsidR="005965DC" w:rsidRDefault="005965DC">
      <w:r>
        <w:t>:::</w:t>
      </w:r>
      <w:r w:rsidR="00496C51">
        <w:t>:{grid-item-card} {{ rtxt_nakajima_2021d }}</w:t>
      </w:r>
      <w:r w:rsidR="00496C51">
        <w:br/>
        <w:t>&lt;div&gt;&lt;div style=</w:t>
      </w:r>
      <w:r>
        <w:t>"</w:t>
      </w:r>
      <w:r w:rsidR="00496C51">
        <w:t>position:relative;padding-top:56.25%;</w:t>
      </w:r>
      <w:r>
        <w:t>"</w:t>
      </w:r>
      <w:r w:rsidR="00496C51">
        <w:t>&gt;&lt;iframe src=</w:t>
      </w:r>
      <w:r>
        <w:t>"</w:t>
      </w:r>
      <w:r w:rsidR="00496C51">
        <w:t>https://www.youtube.com/embed/s-d81K72yWs?si=PqWOR_dvvkCfoLY7</w:t>
      </w:r>
      <w:r>
        <w:t>"</w:t>
      </w:r>
      <w:r w:rsidR="00496C51">
        <w:t xml:space="preserve"> loading=</w:t>
      </w:r>
      <w:r>
        <w:t>"</w:t>
      </w:r>
      <w:r w:rsidR="00496C51">
        <w:t>lazy</w:t>
      </w:r>
      <w:r>
        <w:t>"</w:t>
      </w:r>
      <w:r w:rsidR="00496C51">
        <w:t xml:space="preserve"> frameborder=</w:t>
      </w:r>
      <w:r>
        <w:t>"</w:t>
      </w:r>
      <w:r w:rsidR="00496C51">
        <w:t>0</w:t>
      </w:r>
      <w:r>
        <w:t>"</w:t>
      </w:r>
      <w:r w:rsidR="00496C51">
        <w:t xml:space="preserve"> allowfullscreen style=</w:t>
      </w:r>
      <w:r>
        <w:t>"</w:t>
      </w:r>
      <w:r w:rsidR="00496C51">
        <w:t>position:absolute;top:0;left:0;width:100%;height:100%;</w:t>
      </w:r>
      <w:r>
        <w:t>"</w:t>
      </w:r>
      <w:r w:rsidR="00496C51">
        <w:t>&gt;&lt;/iframe&gt;&lt;/div&gt;&lt;/div&gt;</w:t>
      </w:r>
    </w:p>
    <w:p w:rsidR="005965DC" w:rsidRDefault="00496C51">
      <w:r>
        <w:t>Density Estimation with the REST Model &gt; REST_03_MeasureStayingTime</w:t>
      </w:r>
      <w:r>
        <w:br/>
        <w:t>:</w:t>
      </w:r>
      <w:r w:rsidR="005965DC">
        <w:t>:::</w:t>
      </w:r>
    </w:p>
    <w:p w:rsidR="005965DC" w:rsidRDefault="005965DC">
      <w:r>
        <w:t>:::</w:t>
      </w:r>
      <w:r w:rsidR="00496C51">
        <w:t>::</w:t>
      </w:r>
      <w:r>
        <w:br/>
        <w:t>::::::</w:t>
      </w:r>
    </w:p>
    <w:p w:rsidR="005965DC" w:rsidRDefault="005965DC">
      <w:r>
        <w:t>:::</w:t>
      </w:r>
      <w:r w:rsidR="00496C51">
        <w:t>:::{tab-item} Shiny apps/Widgets</w:t>
      </w:r>
      <w:r w:rsidR="00496C51">
        <w:br/>
        <w:t>Check back in the future!</w:t>
      </w:r>
      <w:r w:rsidR="00496C51">
        <w:br/>
        <w:t>:::</w:t>
      </w:r>
      <w:r>
        <w:t>:::</w:t>
      </w:r>
    </w:p>
    <w:p w:rsidR="005965DC" w:rsidRDefault="005965DC">
      <w:r>
        <w:t>:::</w:t>
      </w:r>
      <w:r w:rsidR="00496C51">
        <w:t>::{tab-item} Analytical tools &amp; Resources</w:t>
      </w:r>
      <w:r w:rsidR="00496C51">
        <w:br/>
        <w:t>| Type | Name | Note | URL |Reference |</w:t>
      </w:r>
      <w:r w:rsidR="00496C51">
        <w:br/>
        <w:t>|:----------------|:-------------------------------|:----------------------------------------------------------------|:----------------------|:----------------------------------------|</w:t>
      </w:r>
      <w:r w:rsidR="00496C51">
        <w:br/>
      </w:r>
      <w:r>
        <w:t xml:space="preserve">   </w:t>
      </w:r>
      <w:r w:rsidR="00496C51">
        <w:br/>
      </w:r>
      <w:r>
        <w:t xml:space="preserve"> </w:t>
      </w:r>
      <w:r w:rsidR="00496C51">
        <w:br/>
      </w:r>
      <w:r>
        <w:t xml:space="preserve"> </w:t>
      </w:r>
      <w:r w:rsidR="00496C51">
        <w:br/>
      </w:r>
      <w:r>
        <w:t xml:space="preserve"> </w:t>
      </w:r>
      <w:r w:rsidR="00496C51">
        <w:br/>
      </w:r>
      <w:r>
        <w:t xml:space="preserve"> </w:t>
      </w:r>
      <w:r w:rsidR="00496C51">
        <w:br/>
      </w:r>
      <w:r>
        <w:t xml:space="preserve"> </w:t>
      </w:r>
      <w:r>
        <w:br/>
      </w:r>
      <w:r w:rsidR="00496C51">
        <w:t>&lt;!-- END_RESOURCE_TABLE --&gt;</w:t>
      </w:r>
      <w:r w:rsidR="00496C51">
        <w:br/>
        <w:t>:::</w:t>
      </w:r>
      <w:r>
        <w:t>:::</w:t>
      </w:r>
    </w:p>
    <w:p w:rsidR="005965DC" w:rsidRDefault="005965DC">
      <w:r>
        <w:t>:::</w:t>
      </w:r>
      <w:r w:rsidR="00496C51">
        <w:t>:::{tab-item} References</w:t>
      </w:r>
      <w:r w:rsidR="00496C51">
        <w:br/>
        <w:t>{{ rbib_caravaggi_et_al_2020 }}</w:t>
      </w:r>
    </w:p>
    <w:p w:rsidR="005965DC" w:rsidRDefault="00496C51">
      <w:r>
        <w:t xml:space="preserve">{{ rbib_clarke_et_al_2023 }} </w:t>
      </w:r>
    </w:p>
    <w:p w:rsidR="005965DC" w:rsidRDefault="00496C51">
      <w:r>
        <w:t>{{ rbib_codling_et_al_2008 }}</w:t>
      </w:r>
    </w:p>
    <w:p w:rsidR="005965DC" w:rsidRDefault="00496C51">
      <w:r>
        <w:t xml:space="preserve">{{ rbib_garland_et_al_2020 }} </w:t>
      </w:r>
    </w:p>
    <w:p w:rsidR="005965DC" w:rsidRDefault="00496C51">
      <w:r>
        <w:t>{{ rbib_gilbert_et_al_2020 }})</w:t>
      </w:r>
    </w:p>
    <w:p w:rsidR="005965DC" w:rsidRDefault="00496C51">
      <w:r>
        <w:t>{{ rbib_hofmeester_et_al_2017 }})</w:t>
      </w:r>
    </w:p>
    <w:p w:rsidR="005965DC" w:rsidRDefault="00496C51">
      <w:r>
        <w:t>{{ rbib_jensen_et_al_2022 }}</w:t>
      </w:r>
    </w:p>
    <w:p w:rsidR="005965DC" w:rsidRDefault="00496C51">
      <w:r>
        <w:t>{{ rbib_morin_et_al_2022 }}</w:t>
      </w:r>
    </w:p>
    <w:p w:rsidR="005965DC" w:rsidRDefault="00496C51">
      <w:r>
        <w:t>{{ rbib_nakashima_et_al_2017 }}</w:t>
      </w:r>
    </w:p>
    <w:p w:rsidR="005965DC" w:rsidRDefault="00496C51">
      <w:r>
        <w:t>{{ rbib_nakashima_et_al_2020 }}</w:t>
      </w:r>
    </w:p>
    <w:p w:rsidR="005965DC" w:rsidRDefault="00496C51">
      <w:r>
        <w:t>{{ rbib_palencia_et_al_2021 }}</w:t>
      </w:r>
    </w:p>
    <w:p w:rsidR="005965DC" w:rsidRDefault="00496C51">
      <w:r>
        <w:t xml:space="preserve">{{ rbib_rowcliffe_et_al_2014 }} </w:t>
      </w:r>
    </w:p>
    <w:p w:rsidR="005965DC" w:rsidRDefault="00496C51">
      <w:r>
        <w:t>{{ rbib_nakajima_2021a }}</w:t>
      </w:r>
    </w:p>
    <w:p w:rsidR="005965DC" w:rsidRDefault="00496C51">
      <w:r>
        <w:t>{{ rbib_nakajima_2021b }}</w:t>
      </w:r>
    </w:p>
    <w:p w:rsidR="005965DC" w:rsidRDefault="00496C51">
      <w:r>
        <w:t>{{ rbib_nakajima_2021c }}</w:t>
      </w:r>
    </w:p>
    <w:p w:rsidR="005965DC" w:rsidRDefault="00496C51">
      <w:r>
        <w:t>{{ rbib_nakajima_2021d }}</w:t>
      </w:r>
      <w:r>
        <w:tab/>
      </w:r>
      <w:r>
        <w:br/>
        <w:t>:::</w:t>
      </w:r>
      <w:r w:rsidR="005965DC">
        <w:t>:::</w:t>
      </w:r>
    </w:p>
    <w:p w:rsidR="005965DC" w:rsidRDefault="005965DC">
      <w:r>
        <w:t>:::</w:t>
      </w:r>
      <w:r w:rsidR="00496C51">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51"/>
    <w:rsid w:val="00496C51"/>
    <w:rsid w:val="004B316E"/>
    <w:rsid w:val="00527105"/>
    <w:rsid w:val="005965DC"/>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AEF22-6E95-49F4-A4B8-B0615984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C51"/>
    <w:rPr>
      <w:rFonts w:eastAsiaTheme="majorEastAsia" w:cstheme="majorBidi"/>
      <w:color w:val="272727" w:themeColor="text1" w:themeTint="D8"/>
    </w:rPr>
  </w:style>
  <w:style w:type="paragraph" w:styleId="Title">
    <w:name w:val="Title"/>
    <w:basedOn w:val="Normal"/>
    <w:next w:val="Normal"/>
    <w:link w:val="TitleChar"/>
    <w:uiPriority w:val="10"/>
    <w:qFormat/>
    <w:rsid w:val="00496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C51"/>
    <w:pPr>
      <w:spacing w:before="160"/>
      <w:jc w:val="center"/>
    </w:pPr>
    <w:rPr>
      <w:i/>
      <w:iCs/>
      <w:color w:val="404040" w:themeColor="text1" w:themeTint="BF"/>
    </w:rPr>
  </w:style>
  <w:style w:type="character" w:customStyle="1" w:styleId="QuoteChar">
    <w:name w:val="Quote Char"/>
    <w:basedOn w:val="DefaultParagraphFont"/>
    <w:link w:val="Quote"/>
    <w:uiPriority w:val="29"/>
    <w:rsid w:val="00496C51"/>
    <w:rPr>
      <w:i/>
      <w:iCs/>
      <w:color w:val="404040" w:themeColor="text1" w:themeTint="BF"/>
    </w:rPr>
  </w:style>
  <w:style w:type="paragraph" w:styleId="ListParagraph">
    <w:name w:val="List Paragraph"/>
    <w:basedOn w:val="Normal"/>
    <w:uiPriority w:val="34"/>
    <w:qFormat/>
    <w:rsid w:val="00496C51"/>
    <w:pPr>
      <w:ind w:left="720"/>
      <w:contextualSpacing/>
    </w:pPr>
  </w:style>
  <w:style w:type="character" w:styleId="IntenseEmphasis">
    <w:name w:val="Intense Emphasis"/>
    <w:basedOn w:val="DefaultParagraphFont"/>
    <w:uiPriority w:val="21"/>
    <w:qFormat/>
    <w:rsid w:val="00496C51"/>
    <w:rPr>
      <w:i/>
      <w:iCs/>
      <w:color w:val="0F4761" w:themeColor="accent1" w:themeShade="BF"/>
    </w:rPr>
  </w:style>
  <w:style w:type="paragraph" w:styleId="IntenseQuote">
    <w:name w:val="Intense Quote"/>
    <w:basedOn w:val="Normal"/>
    <w:next w:val="Normal"/>
    <w:link w:val="IntenseQuoteChar"/>
    <w:uiPriority w:val="30"/>
    <w:qFormat/>
    <w:rsid w:val="00496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C51"/>
    <w:rPr>
      <w:i/>
      <w:iCs/>
      <w:color w:val="0F4761" w:themeColor="accent1" w:themeShade="BF"/>
    </w:rPr>
  </w:style>
  <w:style w:type="character" w:styleId="IntenseReference">
    <w:name w:val="Intense Reference"/>
    <w:basedOn w:val="DefaultParagraphFont"/>
    <w:uiPriority w:val="32"/>
    <w:qFormat/>
    <w:rsid w:val="00496C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