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7586" w:rsidRDefault="00682580">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1C6826">
        <w:br/>
      </w:r>
      <w:r>
        <w:t>(i_mod_behaviour)=</w:t>
      </w:r>
      <w:r>
        <w:br/>
        <w:t># {{ title_i_mod_behaviour }}</w:t>
      </w:r>
      <w:r w:rsidR="00CA7586">
        <w:br/>
      </w:r>
      <w:r>
        <w:t>&lt;!--</w:t>
      </w:r>
      <w:r w:rsidR="001C6826">
        <w:br/>
      </w:r>
      <w:r>
        <w:t>:::{hint}</w:t>
      </w:r>
      <w:r w:rsidR="001C6826">
        <w:br/>
      </w:r>
      <w:r>
        <w:t>replace me with text</w:t>
      </w:r>
      <w:r w:rsidR="001C6826">
        <w:br/>
      </w:r>
      <w:r>
        <w:t>:::</w:t>
      </w:r>
      <w:r w:rsidR="001C6826">
        <w:br/>
      </w:r>
      <w:r>
        <w:t>--&gt;</w:t>
      </w:r>
      <w:r w:rsidR="00CA7586">
        <w:br/>
      </w:r>
      <w:r>
        <w:t>**{{ term_mod_behaviour }}**: {{ term_def_mod_behaviour }}</w:t>
      </w:r>
      <w:r w:rsidR="001C6826">
        <w:br/>
        <w:t>```</w:t>
      </w:r>
      <w:r>
        <w:t>{include} pro_con_assump/mod_behaviour_apc.md</w:t>
      </w:r>
      <w:r>
        <w:br/>
        <w:t>```</w:t>
      </w:r>
    </w:p>
    <w:p w:rsidR="00CA7586" w:rsidRDefault="00CA7586">
      <w:r>
        <w:t>:::::::{tab-set}</w:t>
      </w:r>
    </w:p>
    <w:p w:rsidR="00CA7586" w:rsidRDefault="00CA7586">
      <w:r>
        <w:t>:</w:t>
      </w:r>
      <w:r w:rsidR="001C6826">
        <w:t>::</w:t>
      </w:r>
      <w:r w:rsidR="00682580">
        <w:t>:::{tab-item} Overview</w:t>
      </w:r>
      <w:r w:rsidR="00682580">
        <w:br/>
        <w:t>```{include} include/00_coming_soon.md</w:t>
      </w:r>
      <w:r w:rsidR="001C6826">
        <w:br/>
      </w:r>
      <w:r w:rsidR="00682580">
        <w:t>```</w:t>
      </w:r>
      <w:r w:rsidR="001C6826">
        <w:br/>
        <w:t>:::</w:t>
      </w:r>
      <w:r>
        <w:t>:::</w:t>
      </w:r>
    </w:p>
    <w:p w:rsidR="00CA7586" w:rsidRDefault="00CA7586">
      <w:r>
        <w:t>:::</w:t>
      </w:r>
      <w:r w:rsidR="00682580">
        <w:t>:::{tab-item} In-depth</w:t>
      </w:r>
      <w:r w:rsidR="00682580">
        <w:br/>
        <w:t>```{include} include/00_coming_soon.md</w:t>
      </w:r>
      <w:r w:rsidR="001C6826">
        <w:br/>
      </w:r>
      <w:r w:rsidR="00682580">
        <w:t>```</w:t>
      </w:r>
      <w:r w:rsidR="001C6826">
        <w:br/>
        <w:t>:::</w:t>
      </w:r>
      <w:r>
        <w:t>:::</w:t>
      </w:r>
    </w:p>
    <w:p w:rsidR="00CA7586" w:rsidRDefault="00CA7586">
      <w:r>
        <w:t>:::</w:t>
      </w:r>
      <w:r w:rsidR="00682580">
        <w:t>:::{tab-item} Visual resources</w:t>
      </w:r>
    </w:p>
    <w:p w:rsidR="00CA7586" w:rsidRDefault="00CA7586">
      <w:r>
        <w:lastRenderedPageBreak/>
        <w:t>:::::{grid}</w:t>
      </w:r>
      <w:r w:rsidR="00682580">
        <w:t xml:space="preserve"> 3</w:t>
      </w:r>
      <w:r w:rsidR="00682580">
        <w:br/>
      </w:r>
      <w:r>
        <w:t>:gutter: 1</w:t>
      </w:r>
      <w:r>
        <w:br/>
        <w:t>:padding: 0</w:t>
      </w:r>
      <w:r>
        <w:br/>
        <w:t>:margin: 0</w:t>
      </w:r>
    </w:p>
    <w:p w:rsidR="00CA7586" w:rsidRDefault="001C6826">
      <w:r>
        <w:t>:::</w:t>
      </w:r>
      <w:r w:rsidR="00682580">
        <w:t xml:space="preserve">:{grid-item-card} {{ rtxt_caravaggi_et_al_2017 </w:t>
      </w:r>
      <w:r w:rsidR="00CA7586">
        <w:t>}}</w:t>
      </w:r>
      <w:r w:rsidR="00CA7586">
        <w:br/>
        <w:t xml:space="preserve">:::{figure} </w:t>
      </w:r>
      <w:r w:rsidR="00682580">
        <w:t>../03_images/03_image_files/caravaggi_et_al_2017_fig1_clipped.png</w:t>
      </w:r>
      <w:r w:rsidR="00682580">
        <w:br/>
        <w:t>:class: img_grid</w:t>
      </w:r>
      <w:r w:rsidR="00682580">
        <w:br/>
        <w:t>:::</w:t>
      </w:r>
      <w:r w:rsidR="00682580">
        <w:br/>
        <w:t xml:space="preserve">**Caravaggi et al. (2017) - Fig. 1.** Examples of animal behaviour captured by camera traps: </w:t>
      </w:r>
      <w:r>
        <w:br/>
      </w:r>
      <w:r w:rsidR="00682580">
        <w:t>:::{dropdown}</w:t>
      </w:r>
      <w:r>
        <w:br/>
      </w:r>
      <w:r w:rsidR="00682580">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rsidR="00CA7586">
        <w:br/>
        <w:t>:::</w:t>
      </w:r>
      <w:r w:rsidR="00CA7586">
        <w:br/>
        <w:t>::::</w:t>
      </w:r>
      <w:r w:rsidR="00CA7586">
        <w:br/>
      </w:r>
      <w:r>
        <w:t>:::</w:t>
      </w:r>
      <w:r w:rsidR="00682580">
        <w:t xml:space="preserve">:{grid-item-card} {{ rtxt_caravaggi_et_al_2020 </w:t>
      </w:r>
      <w:r w:rsidR="00CA7586">
        <w:t>}}</w:t>
      </w:r>
      <w:r w:rsidR="00CA7586">
        <w:br/>
        <w:t xml:space="preserve">:::{figure} </w:t>
      </w:r>
      <w:r w:rsidR="00682580">
        <w:t xml:space="preserve">../03_images/03_image_files/caravaggi_et_al_2020_fig1_clipped.png </w:t>
      </w:r>
      <w:r w:rsidR="00682580">
        <w:br/>
        <w:t>:class: img_grid</w:t>
      </w:r>
      <w:r w:rsidR="00682580">
        <w:br/>
        <w:t>:::</w:t>
      </w:r>
      <w:r w:rsidR="00682580">
        <w:br/>
        <w:t>**Caravaggi et al. (2020) - Fig 1.** Examples of mammals detecting camera traps and/or olfactory cues associated with camera traps.</w:t>
      </w:r>
      <w:r>
        <w:br/>
        <w:t>:::</w:t>
      </w:r>
      <w:r w:rsidR="00682580">
        <w:t xml:space="preserve">{dropdown} </w:t>
      </w:r>
      <w:r>
        <w:br/>
      </w:r>
      <w:r w:rsidR="00682580">
        <w:t>(a) Chimpanzee, *Pan troglodytes*; (b) African elephant, *Loxodonta africana*; (c) sitatunga, *Tragelaphus spekii*; (d) moose, *Alces alces*; (e) Eurasian lynx, *Lynx lynx*; (f) polar bear, *Ursus maritimus*; (g) roe deer, *Capreolus capreolus*; (h) African leopard, *Panthera pardus*; (i) mountain gorilla, *Gorilla beringei*; (j) red fox, *Vulpes vulpes*; (k) wolverine, *Gulo gulo*; (l) grizzly bear, *Ursus arctos*; (m) spotted hyena, *Crocuta crocuta*; (n) red deer, *Cervus elaphus*; (o) grey wolf, *Canis lupus*. Images provided by Ammie K. Kalan (a–c,i), T. R. H. (d,e), D. R. (f,o), S. G. (g,n), A. C. (h,j), J. T. F. (k,l), A. G. (m). Visit &lt;https://doi.org/10.6084/m9.figshare.c.4593902.v1&gt; for selected source video.</w:t>
      </w:r>
      <w:r w:rsidR="00CA7586">
        <w:br/>
        <w:t>:::</w:t>
      </w:r>
      <w:r w:rsidR="00CA7586">
        <w:br/>
        <w:t>::::</w:t>
      </w:r>
      <w:r w:rsidR="00CA7586">
        <w:br/>
      </w:r>
      <w:r>
        <w:lastRenderedPageBreak/>
        <w:t>:::</w:t>
      </w:r>
      <w:r w:rsidR="00682580">
        <w:t xml:space="preserve">:{grid-item-card} {{ rtxt_delisle_et_al_2023 </w:t>
      </w:r>
      <w:r w:rsidR="00CA7586">
        <w:t>}}</w:t>
      </w:r>
      <w:r w:rsidR="00CA7586">
        <w:br/>
        <w:t xml:space="preserve">:::{figure} </w:t>
      </w:r>
      <w:r w:rsidR="00682580">
        <w:t xml:space="preserve">../03_images/03_image_files/delisle_et_al_2023_fig1.jpg </w:t>
      </w:r>
      <w:r w:rsidR="00682580">
        <w:br/>
        <w:t>:class: img_grid</w:t>
      </w:r>
      <w:r w:rsidR="00682580">
        <w:br/>
        <w:t>:::</w:t>
      </w:r>
      <w:r w:rsidR="00682580">
        <w:br/>
        <w:t>**Delisle et al. (2023) - Fig 1** 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r w:rsidR="00682580">
        <w:br/>
        <w:t>:</w:t>
      </w:r>
      <w:r w:rsidR="00CA7586">
        <w:t>:::</w:t>
      </w:r>
    </w:p>
    <w:p w:rsidR="00CA7586" w:rsidRDefault="00CA7586">
      <w:r>
        <w:t>:::</w:t>
      </w:r>
      <w:r w:rsidR="00682580">
        <w:t>::</w:t>
      </w:r>
    </w:p>
    <w:p w:rsidR="00CA7586" w:rsidRDefault="00CA7586">
      <w:r>
        <w:t>:::::{grid}</w:t>
      </w:r>
      <w:r w:rsidR="00682580">
        <w:t xml:space="preserve"> 3</w:t>
      </w:r>
      <w:r w:rsidR="00682580">
        <w:br/>
      </w:r>
      <w:r>
        <w:t>:gutter: 1</w:t>
      </w:r>
      <w:r>
        <w:br/>
        <w:t>:padding: 0</w:t>
      </w:r>
      <w:r>
        <w:br/>
        <w:t>:margin: 0</w:t>
      </w:r>
    </w:p>
    <w:p w:rsidR="00CA7586" w:rsidRDefault="001C6826">
      <w:r>
        <w:t>:::</w:t>
      </w:r>
      <w:r w:rsidR="00682580">
        <w:t xml:space="preserve">:{grid-item-card} {{ rtxt_delisle_et_al_2023 </w:t>
      </w:r>
      <w:r w:rsidR="00CA7586">
        <w:t>}}</w:t>
      </w:r>
      <w:r w:rsidR="00CA7586">
        <w:br/>
        <w:t xml:space="preserve">:::{figure} </w:t>
      </w:r>
      <w:r w:rsidR="00682580">
        <w:t xml:space="preserve">../03_images/03_image_files/delisle_et_al_2023_fig2.jpg </w:t>
      </w:r>
      <w:r w:rsidR="00682580">
        <w:br/>
        <w:t>:class: img_grid</w:t>
      </w:r>
      <w:r w:rsidR="00682580">
        <w:br/>
        <w:t>:::</w:t>
      </w:r>
      <w:r w:rsidR="00682580">
        <w:br/>
        <w:t xml:space="preserve">**Delisle et al. (2023) - Fig 2** The average density estimates (animals/km&lt;sup&gt;2&lt;/sup&gt; ± 95% confidence intervals [CI]) from detections of simulated animals at camera traps across 100 total simulations for each reaction  type. </w:t>
      </w:r>
      <w:r>
        <w:br/>
      </w:r>
      <w:r w:rsidR="00682580">
        <w:t>:::{dropdown}</w:t>
      </w:r>
      <w:r>
        <w:br/>
      </w:r>
      <w:r w:rsidR="00682580">
        <w:t>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animals/km&lt;sup&gt;2&lt;/sup&gt;). Some  density estimates are above the upper limit of the y-axis due to severe bias (see Tables S1 and S2 for these estimates and the extent of their confidence intervals in the Supporting Information).</w:t>
      </w:r>
      <w:r w:rsidR="00CA7586">
        <w:br/>
        <w:t>:::</w:t>
      </w:r>
      <w:r w:rsidR="00CA7586">
        <w:br/>
        <w:t>::::</w:t>
      </w:r>
      <w:r w:rsidR="00CA7586">
        <w:br/>
      </w:r>
      <w:r>
        <w:t>:::</w:t>
      </w:r>
      <w:r w:rsidR="00682580">
        <w:t xml:space="preserve">:{grid-item-card} {{ rtxt_figure5_ref_id </w:t>
      </w:r>
      <w:r w:rsidR="00CA7586">
        <w:t>}}</w:t>
      </w:r>
      <w:r w:rsidR="00CA7586">
        <w:br/>
        <w:t xml:space="preserve">:::{figure} </w:t>
      </w:r>
      <w:r w:rsidR="00682580">
        <w:t xml:space="preserve">../03_images/03_image_files/figure5_filename.png </w:t>
      </w:r>
      <w:r w:rsidR="00682580">
        <w:br/>
        <w:t>:class: img_grid</w:t>
      </w:r>
      <w:r w:rsidR="00682580">
        <w:br/>
        <w:t>:::</w:t>
      </w:r>
      <w:r w:rsidR="00682580">
        <w:br/>
        <w:t>figure5_caption</w:t>
      </w:r>
      <w:r w:rsidR="00682580">
        <w:br/>
        <w:t>:</w:t>
      </w:r>
      <w:r w:rsidR="00CA7586">
        <w:t>:::</w:t>
      </w:r>
    </w:p>
    <w:p w:rsidR="00CA7586" w:rsidRDefault="00CA7586">
      <w:r>
        <w:t>:::</w:t>
      </w:r>
      <w:r w:rsidR="00682580">
        <w:t xml:space="preserve">:{grid-item-card} {{ rtxt_figure6_ref_id </w:t>
      </w:r>
      <w:r>
        <w:t>}}</w:t>
      </w:r>
      <w:r>
        <w:br/>
        <w:t xml:space="preserve">:::{figure} </w:t>
      </w:r>
      <w:r w:rsidR="00682580">
        <w:t>../03_images/03_image_files/figure6_filename.png</w:t>
      </w:r>
      <w:r w:rsidR="00682580">
        <w:br/>
        <w:t>:class: img_grid</w:t>
      </w:r>
      <w:r w:rsidR="00682580">
        <w:br/>
        <w:t>:::</w:t>
      </w:r>
      <w:r w:rsidR="00682580">
        <w:br/>
        <w:t>figure6_caption</w:t>
      </w:r>
      <w:r w:rsidR="00682580">
        <w:br/>
        <w:t>:</w:t>
      </w:r>
      <w:r>
        <w:t>:::</w:t>
      </w:r>
    </w:p>
    <w:p w:rsidR="00CA7586" w:rsidRDefault="00CA7586">
      <w:r>
        <w:t>:::</w:t>
      </w:r>
      <w:r w:rsidR="00682580">
        <w:t>::</w:t>
      </w:r>
    </w:p>
    <w:p w:rsidR="00CA7586" w:rsidRDefault="00CA7586">
      <w:r>
        <w:t>:::::{grid}</w:t>
      </w:r>
      <w:r w:rsidR="00682580">
        <w:t xml:space="preserve"> 3</w:t>
      </w:r>
      <w:r w:rsidR="00682580">
        <w:br/>
      </w:r>
      <w:r>
        <w:t>:gutter: 1</w:t>
      </w:r>
      <w:r>
        <w:br/>
        <w:t>:padding: 0</w:t>
      </w:r>
      <w:r>
        <w:br/>
        <w:t>:margin: 0</w:t>
      </w:r>
    </w:p>
    <w:p w:rsidR="00CA7586" w:rsidRDefault="001C6826">
      <w:r>
        <w:t>:::</w:t>
      </w:r>
      <w:r w:rsidR="00682580">
        <w:t>:{grid-item-card} {{ rtxt_vid1_ref_id }}</w:t>
      </w:r>
      <w:r w:rsidR="00682580">
        <w:br/>
        <w:t>&lt;div&gt;</w:t>
      </w:r>
      <w:r w:rsidR="00682580">
        <w:br/>
        <w:t xml:space="preserve">  &lt;div style=“position:relative;padding-top:56.25%;”&gt;</w:t>
      </w:r>
      <w:r w:rsidR="00682580">
        <w:br/>
        <w:t xml:space="preserve">    &lt;iframe src=“vid1_url“ loading=“lazy” frameborder=“0” allowfullscreen</w:t>
      </w:r>
      <w:r w:rsidR="00682580">
        <w:br/>
        <w:t xml:space="preserve">      style=“position:absolute;top:0;left:0;width:100%;height:100%;”&gt;&lt;/iframe&gt;</w:t>
      </w:r>
      <w:r w:rsidR="00682580">
        <w:br/>
        <w:t xml:space="preserve">  &lt;/div&gt;</w:t>
      </w:r>
      <w:r w:rsidR="00682580">
        <w:br/>
        <w:t>&lt;/div&gt;</w:t>
      </w:r>
      <w:r w:rsidR="00CA7586">
        <w:br/>
      </w:r>
      <w:r w:rsidR="00682580">
        <w:t>vid1_caption</w:t>
      </w:r>
      <w:r w:rsidR="00682580">
        <w:br/>
        <w:t>:</w:t>
      </w:r>
      <w:r w:rsidR="00CA7586">
        <w:t>:::</w:t>
      </w:r>
    </w:p>
    <w:p w:rsidR="00CA7586" w:rsidRDefault="00CA7586">
      <w:r>
        <w:t>:::</w:t>
      </w:r>
      <w:r w:rsidR="00682580">
        <w:t xml:space="preserve">:{grid-item-card} {{ rtxt_vid2_ref_id }} </w:t>
      </w:r>
      <w:r w:rsidR="00682580">
        <w:br/>
        <w:t>&lt;div&gt;</w:t>
      </w:r>
      <w:r w:rsidR="00682580">
        <w:br/>
        <w:t xml:space="preserve">  &lt;div style=“position:relative;padding-top:56.25%;”&gt;</w:t>
      </w:r>
      <w:r w:rsidR="00682580">
        <w:br/>
        <w:t xml:space="preserve">    &lt;iframe src=“vid2_url“ loading=“lazy” frameborder=“0” allowfullscreen</w:t>
      </w:r>
      <w:r w:rsidR="00682580">
        <w:br/>
        <w:t xml:space="preserve">      style=“position:absolute;top:0;left:0;width:100%;height:100%;”&gt;&lt;/iframe&gt;</w:t>
      </w:r>
      <w:r w:rsidR="00682580">
        <w:br/>
        <w:t xml:space="preserve">  &lt;/div&gt;</w:t>
      </w:r>
      <w:r w:rsidR="00682580">
        <w:br/>
        <w:t>&lt;/div&gt;</w:t>
      </w:r>
      <w:r>
        <w:br/>
      </w:r>
      <w:r w:rsidR="00682580">
        <w:t>vid2_caption</w:t>
      </w:r>
      <w:r w:rsidR="00682580">
        <w:br/>
        <w:t>:</w:t>
      </w:r>
      <w:r>
        <w:t>:::</w:t>
      </w:r>
    </w:p>
    <w:p w:rsidR="00CA7586" w:rsidRDefault="00CA7586">
      <w:r>
        <w:t>:::</w:t>
      </w:r>
      <w:r w:rsidR="00682580">
        <w:t>:{grid-item-card} {{ rtxt_vid3_ref_id }}</w:t>
      </w:r>
      <w:r w:rsidR="00682580">
        <w:br/>
        <w:t>&lt;div&gt;</w:t>
      </w:r>
      <w:r w:rsidR="00682580">
        <w:br/>
        <w:t xml:space="preserve">  &lt;div style=“position:relative;padding-top:56.25%;”&gt;</w:t>
      </w:r>
      <w:r w:rsidR="00682580">
        <w:br/>
        <w:t xml:space="preserve">    &lt;iframe src=“vid3_url“ loading=“lazy” frameborder=“0” allowfullscreen</w:t>
      </w:r>
      <w:r w:rsidR="00682580">
        <w:br/>
        <w:t xml:space="preserve">      style=“position:absolute;top:0;left:0;width:100%;height:100%;”&gt;&lt;/iframe&gt;</w:t>
      </w:r>
      <w:r w:rsidR="00682580">
        <w:br/>
        <w:t xml:space="preserve">  &lt;/div&gt;</w:t>
      </w:r>
      <w:r w:rsidR="00682580">
        <w:br/>
        <w:t>&lt;/div&gt;</w:t>
      </w:r>
      <w:r>
        <w:br/>
      </w:r>
      <w:r w:rsidR="00682580">
        <w:t>vid3_caption</w:t>
      </w:r>
      <w:r w:rsidR="00682580">
        <w:br/>
        <w:t>:</w:t>
      </w:r>
      <w:r>
        <w:t>:::</w:t>
      </w:r>
    </w:p>
    <w:p w:rsidR="00CA7586" w:rsidRDefault="00CA7586">
      <w:r>
        <w:t>:::</w:t>
      </w:r>
      <w:r w:rsidR="00682580">
        <w:t>::</w:t>
      </w:r>
      <w:r w:rsidR="001C6826">
        <w:br/>
        <w:t>:::</w:t>
      </w:r>
      <w:r>
        <w:t>:::</w:t>
      </w:r>
    </w:p>
    <w:p w:rsidR="00CA7586" w:rsidRDefault="00CA7586">
      <w:r>
        <w:t>:::</w:t>
      </w:r>
      <w:r w:rsidR="00682580">
        <w:t>:::{tab-item} Shiny apps/Widgets</w:t>
      </w:r>
    </w:p>
    <w:p w:rsidR="00CA7586" w:rsidRDefault="00CA7586">
      <w:r>
        <w:t>:::::{card}</w:t>
      </w:r>
      <w:r w:rsidR="00682580">
        <w:br/>
        <w:t>::::{dropdown} Diel.Niche Shinyapp</w:t>
      </w:r>
      <w:r w:rsidR="00682580">
        <w:br/>
        <w:t>RShiny implementation of Diel.Niche. See Gerber et al. A model-based hypothesis framework to define and estimate the diel niche via the `Diel.Niche' R package. &lt;br&gt;{{ rbib_gerber_et_al_2023 }}</w:t>
      </w:r>
      <w:r>
        <w:br/>
      </w:r>
      <w:r w:rsidR="00682580">
        <w:t xml:space="preserve">&lt;iframe </w:t>
      </w:r>
      <w:r w:rsidR="00682580">
        <w:br/>
        <w:t xml:space="preserve">    width=“100%”</w:t>
      </w:r>
      <w:r w:rsidR="00682580">
        <w:br/>
        <w:t xml:space="preserve">    height=“900”</w:t>
      </w:r>
      <w:r w:rsidR="00682580">
        <w:br/>
        <w:t xml:space="preserve">    src=“https://shiny.uri.edu/bgerber/DielNiche/“</w:t>
      </w:r>
      <w:r w:rsidR="00682580">
        <w:br/>
        <w:t xml:space="preserve">    loading=“lazy”</w:t>
      </w:r>
      <w:r w:rsidR="00682580">
        <w:br/>
        <w:t xml:space="preserve">    frameborder=“0” </w:t>
      </w:r>
      <w:r w:rsidR="00682580">
        <w:br/>
        <w:t xml:space="preserve">    allow=“accelerometer; autoplay; clipboard-write; encrypted-media; gyroscope; picture-in-picture”</w:t>
      </w:r>
      <w:r w:rsidR="00682580">
        <w:br/>
        <w:t xml:space="preserve">    allowfullscreen&gt;</w:t>
      </w:r>
      <w:r w:rsidR="00682580">
        <w:br/>
        <w:t>&lt;/iframe&gt;</w:t>
      </w:r>
      <w:r w:rsidR="00682580">
        <w:br/>
        <w:t>:</w:t>
      </w:r>
      <w:r>
        <w:t>:::</w:t>
      </w:r>
    </w:p>
    <w:p w:rsidR="00CA7586" w:rsidRDefault="00CA7586">
      <w:r>
        <w:t>:::</w:t>
      </w:r>
      <w:r w:rsidR="00682580">
        <w:t>:{dropdown} Zone of Influence Effect Size and Buffer Distance Calculator</w:t>
      </w:r>
      <w:r w:rsidR="00682580">
        <w:br/>
        <w:t>This tool can identify optimal buffer distances for recreational features, such as hiking trails, in natural areas inhabited by grizzly bears and wolves, using the outputs of camera trap modelling work from the Canadian Rockies of Alberta. The models assessed the impact of faraway human use on trails relative to human use at a focal location to estimate the zone of influence of human use on each of these wary species.&lt;br&gt;{{ rbib_thompson_2024 }}</w:t>
      </w:r>
      <w:r>
        <w:br/>
      </w:r>
      <w:r w:rsidR="00682580">
        <w:t>&lt;iframe</w:t>
      </w:r>
      <w:r w:rsidR="00682580">
        <w:br/>
        <w:t xml:space="preserve">    width=“100%”</w:t>
      </w:r>
      <w:r w:rsidR="00682580">
        <w:br/>
        <w:t xml:space="preserve">    height=“900”</w:t>
      </w:r>
      <w:r w:rsidR="00682580">
        <w:br/>
        <w:t xml:space="preserve">    src=“https://pthompson234.shinyapps.io/calculate-zoi/“</w:t>
      </w:r>
      <w:r w:rsidR="00682580">
        <w:br/>
        <w:t xml:space="preserve">    loading=“lazy”</w:t>
      </w:r>
      <w:r w:rsidR="00682580">
        <w:br/>
        <w:t xml:space="preserve">    frameborder=“0” </w:t>
      </w:r>
      <w:r w:rsidR="00682580">
        <w:br/>
        <w:t xml:space="preserve">    allow=“accelerometer; autoplay; clipboard-write; encrypted-media; gyroscope; picture-in-picture”</w:t>
      </w:r>
      <w:r w:rsidR="00682580">
        <w:br/>
        <w:t xml:space="preserve">    allowfullscreen&gt;</w:t>
      </w:r>
      <w:r w:rsidR="00682580">
        <w:br/>
        <w:t>&lt;/iframe&gt;</w:t>
      </w:r>
      <w:r w:rsidR="00682580">
        <w:br/>
        <w:t>:</w:t>
      </w:r>
      <w:r>
        <w:t>:::</w:t>
      </w:r>
    </w:p>
    <w:p w:rsidR="00CA7586" w:rsidRDefault="00CA7586">
      <w:r>
        <w:t>:::</w:t>
      </w:r>
      <w:r w:rsidR="00682580">
        <w:t>::</w:t>
      </w:r>
      <w:r w:rsidR="00682580">
        <w:br/>
        <w:t>:::</w:t>
      </w:r>
      <w:r>
        <w:t>:::</w:t>
      </w:r>
    </w:p>
    <w:p w:rsidR="00CA7586" w:rsidRDefault="00CA7586">
      <w:r>
        <w:t>:::</w:t>
      </w:r>
      <w:r w:rsidR="00682580">
        <w:t>::{tab-item} Analytical tools &amp; Resources</w:t>
      </w:r>
      <w:r w:rsidR="00682580">
        <w:br/>
        <w:t>| Type | Name | Note | URL |Reference |</w:t>
      </w:r>
      <w:r w:rsidR="00682580">
        <w:br/>
        <w:t xml:space="preserve">|:----------------|:-------------------------------|:----------------------------------------------------------------|:----------------------|:----------------------------------------| </w:t>
      </w:r>
      <w:r w:rsidR="00682580">
        <w:br/>
        <w:t>| Paper | A model-based hypothesis framework to define and estimate the diel niche via the ‘Diel.Niche’ R package | /- | &lt;https://www.biorxiv.org/content/10.1101/2023.06.21.545898v1&gt; | {{ rbib_gerber_et_al_2023 }} |</w:t>
      </w:r>
      <w:r w:rsidR="00682580">
        <w:br/>
        <w:t>| R package | Diel-Niche-Modeling | “An R package to evaluate hypotheses of diel phenotypes based on empirical data and estimate the probabilitiy of activity during the crepuscular, daytime, and nighttime periods.” | &lt;https://github.com/diel-project/Diel-Niche-Modeling&gt; | {{ rbib_gerber_et_al_2023 }} |</w:t>
      </w:r>
      <w:r w:rsidR="00682580">
        <w:br/>
        <w:t>| R Shiny | Diel.Niche Shinyapp | “RShiny implementation of Diel.Niche. See Gerber et al. A model-based hypothesis framework to define and estimate the diel niche via the `Diel.Niche' R package.” | &lt;https://shiny.celsrs.uri.edu/bgerber/DielNiche/&gt; | {{ rbib_gerber_et_al_2023 }} |</w:t>
      </w:r>
      <w:r w:rsidR="00682580">
        <w:br/>
        <w:t>| Tutorial | An Introduction to Camera Trap Data Management and Analysis in R &gt; Chapter 14 Behavior |     | &lt;https://bookdown.org/c_w_beirne/wildCo-Data-Analysis/behavior.html&gt; | {{ rbib_wildco_lab_2021d }} |</w:t>
      </w:r>
      <w:r w:rsidR="00682580">
        <w:br/>
        <w:t>| R Package | R Package ‘activity’ | “ Provides functions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 | &lt;https://CRAN.R-project.org/package=activity&gt; | {{ rbib_rowcliffe_2023 }} |</w:t>
      </w:r>
      <w:r w:rsidR="00682580">
        <w:br/>
        <w:t>| Article | A simple statistical guide for the analysis of behaviour when data are constrained due to practical or ethical reasons |     | &lt;https://www.researchgate.net/publication/289569231_A_simple_statistical_guide_for_the_analysis_of_behaviour_when_data_are_constrained_due_to_practical_or_ethical_reasons&gt; | {{ rbib_garamszegi_2016 }} |</w:t>
      </w:r>
      <w:r w:rsidR="00682580">
        <w:br/>
        <w:t>| resource7_type | resource7_name | resource7_note | resource7_url | {{ rbib_resource7_ref_id }} |</w:t>
      </w:r>
      <w:r w:rsidR="00682580">
        <w:br/>
        <w:t>| resource8_type | resource8_name | resource8_note | resource8_url | {{ rbib_resource8_ref_id}} |</w:t>
      </w:r>
      <w:r w:rsidR="00682580">
        <w:br/>
        <w:t>| resource9_type | resource9_name | resource9_note | resource9_url | {{ rbib_resource9_ref_id }} |</w:t>
      </w:r>
      <w:r w:rsidR="00682580">
        <w:br/>
        <w:t>| resource10_type | resource10_name | resource10_note | resource10_url | {{ rbib_resource10_ref_id }} |</w:t>
      </w:r>
      <w:r w:rsidR="00682580">
        <w:br/>
        <w:t>| resource11_type | resource11_name | resource11_note | resource11_url | {{ rbib_resource11_ref_id }} |</w:t>
      </w:r>
      <w:r w:rsidR="00682580">
        <w:br/>
        <w:t>| resource12_type | resource12_name | resource12_note | resource12_url | {{ rbib_resource12_ref_id }} |</w:t>
      </w:r>
      <w:r w:rsidR="00682580">
        <w:br/>
        <w:t>| resource13_type | resource13_name | resource13_note | resource13_url | {{ rbib_resource13_ref_id }} |</w:t>
      </w:r>
      <w:r w:rsidR="00682580">
        <w:br/>
        <w:t>| resource14_type | resource14_name | resource14_note | resource14_url | {{ rbib_resource14_ref_id }} |</w:t>
      </w:r>
      <w:r w:rsidR="00682580">
        <w:br/>
        <w:t>| resource15_type | resource15_name | resource15_note | resource15_url | {{ rbib_resource15_ref_id }} |</w:t>
      </w:r>
      <w:r w:rsidR="00682580">
        <w:br/>
        <w:t>| resource16_type | resource16_name | resource16_note | resource16_url | {{ rbib_resource16_ref_id }} |</w:t>
      </w:r>
      <w:r w:rsidR="00682580">
        <w:br/>
        <w:t>| resource17_type | resource17_name | resource17_note | resource17_url | {{ rbib_resource17_ref_id }} |</w:t>
      </w:r>
      <w:r w:rsidR="00682580">
        <w:br/>
        <w:t>| resource18_type | resource18_name | resource18_note | resource18_url| {{ rbib_resource18_ref_id}} |</w:t>
      </w:r>
      <w:r w:rsidR="00682580">
        <w:br/>
        <w:t>| resource19_type | resource19_name | resource19_note | resource19_url | {{ rbib_resource19_ref_id }} |</w:t>
      </w:r>
      <w:r w:rsidR="00682580">
        <w:br/>
        <w:t>| resource20_type | resource20_name | resource20_note | resource20_url | {{ rbib_resource20_ref_id }} |</w:t>
      </w:r>
      <w:r w:rsidR="00682580">
        <w:br/>
        <w:t>:::</w:t>
      </w:r>
      <w:r>
        <w:t>:::</w:t>
      </w:r>
    </w:p>
    <w:p w:rsidR="00CA7586" w:rsidRDefault="00CA7586">
      <w:r>
        <w:t>:::</w:t>
      </w:r>
      <w:r w:rsidR="00682580">
        <w:t>:::{tab-item} References</w:t>
      </w:r>
      <w:r w:rsidR="00682580">
        <w:br/>
        <w:t>{ rbib_caravaggi_et_al_2017 }}</w:t>
      </w:r>
      <w:r>
        <w:br/>
      </w:r>
      <w:r w:rsidR="00682580">
        <w:t>{{ rbib_caravaggi_et_al_2020 }}</w:t>
      </w:r>
      <w:r>
        <w:br/>
      </w:r>
      <w:r w:rsidR="00682580">
        <w:t>{{ rbib_ gerber_et_al_2023 }}</w:t>
      </w:r>
      <w:r>
        <w:br/>
      </w:r>
      <w:r w:rsidR="00682580">
        <w:t>{{ rbib_meek_et_al_2014b }}</w:t>
      </w:r>
      <w:r>
        <w:br/>
      </w:r>
      <w:r w:rsidR="00682580">
        <w:t>{{ rbib_wildco_lab_2021d }}</w:t>
      </w:r>
      <w:r w:rsidR="00682580">
        <w:tab/>
      </w:r>
      <w:r w:rsidR="00682580">
        <w:br/>
        <w:t>:::</w:t>
      </w:r>
      <w:r>
        <w:t>:::</w:t>
      </w:r>
    </w:p>
    <w:p w:rsidR="00CA7586" w:rsidRDefault="00CA7586">
      <w:r>
        <w:t>:::</w:t>
      </w:r>
      <w:r w:rsidR="00682580">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80"/>
    <w:rsid w:val="001C6826"/>
    <w:rsid w:val="004B316E"/>
    <w:rsid w:val="00682580"/>
    <w:rsid w:val="006C2A04"/>
    <w:rsid w:val="00782B25"/>
    <w:rsid w:val="00B8086A"/>
    <w:rsid w:val="00CA7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089E5-65C8-40EF-8F19-E194E47D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580"/>
    <w:rPr>
      <w:rFonts w:eastAsiaTheme="majorEastAsia" w:cstheme="majorBidi"/>
      <w:color w:val="272727" w:themeColor="text1" w:themeTint="D8"/>
    </w:rPr>
  </w:style>
  <w:style w:type="paragraph" w:styleId="Title">
    <w:name w:val="Title"/>
    <w:basedOn w:val="Normal"/>
    <w:next w:val="Normal"/>
    <w:link w:val="TitleChar"/>
    <w:uiPriority w:val="10"/>
    <w:qFormat/>
    <w:rsid w:val="00682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580"/>
    <w:pPr>
      <w:spacing w:before="160"/>
      <w:jc w:val="center"/>
    </w:pPr>
    <w:rPr>
      <w:i/>
      <w:iCs/>
      <w:color w:val="404040" w:themeColor="text1" w:themeTint="BF"/>
    </w:rPr>
  </w:style>
  <w:style w:type="character" w:customStyle="1" w:styleId="QuoteChar">
    <w:name w:val="Quote Char"/>
    <w:basedOn w:val="DefaultParagraphFont"/>
    <w:link w:val="Quote"/>
    <w:uiPriority w:val="29"/>
    <w:rsid w:val="00682580"/>
    <w:rPr>
      <w:i/>
      <w:iCs/>
      <w:color w:val="404040" w:themeColor="text1" w:themeTint="BF"/>
    </w:rPr>
  </w:style>
  <w:style w:type="paragraph" w:styleId="ListParagraph">
    <w:name w:val="List Paragraph"/>
    <w:basedOn w:val="Normal"/>
    <w:uiPriority w:val="34"/>
    <w:qFormat/>
    <w:rsid w:val="00682580"/>
    <w:pPr>
      <w:ind w:left="720"/>
      <w:contextualSpacing/>
    </w:pPr>
  </w:style>
  <w:style w:type="character" w:styleId="IntenseEmphasis">
    <w:name w:val="Intense Emphasis"/>
    <w:basedOn w:val="DefaultParagraphFont"/>
    <w:uiPriority w:val="21"/>
    <w:qFormat/>
    <w:rsid w:val="00682580"/>
    <w:rPr>
      <w:i/>
      <w:iCs/>
      <w:color w:val="0F4761" w:themeColor="accent1" w:themeShade="BF"/>
    </w:rPr>
  </w:style>
  <w:style w:type="paragraph" w:styleId="IntenseQuote">
    <w:name w:val="Intense Quote"/>
    <w:basedOn w:val="Normal"/>
    <w:next w:val="Normal"/>
    <w:link w:val="IntenseQuoteChar"/>
    <w:uiPriority w:val="30"/>
    <w:qFormat/>
    <w:rsid w:val="00682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580"/>
    <w:rPr>
      <w:i/>
      <w:iCs/>
      <w:color w:val="0F4761" w:themeColor="accent1" w:themeShade="BF"/>
    </w:rPr>
  </w:style>
  <w:style w:type="character" w:styleId="IntenseReference">
    <w:name w:val="Intense Reference"/>
    <w:basedOn w:val="DefaultParagraphFont"/>
    <w:uiPriority w:val="32"/>
    <w:qFormat/>
    <w:rsid w:val="00682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2024-11-15T01:32:00Z</dcterms:created>
  <dcterms:modified xsi:type="dcterms:W3CDTF">2024-11-16T03:46:00Z</dcterms:modified>
</cp:coreProperties>
</file>