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/>
        <w:jc w:val="left"/>
      </w:pPr>
      <w:r>
        <w:t>Windows Companion App</w:t>
      </w:r>
    </w:p>
    <w:p>
      <w:pPr>
        <w:pStyle w:val="Subtitle"/>
        <w:spacing w:before="0" w:after="200"/>
      </w:pPr>
      <w:r>
        <w:t>Design and integration notes for the browser-extension automation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Scope. </w:t>
            </w:r>
            <w:r>
              <w:t>This document records the intended responsibilities, interfaces, safeguards, and runtime behavior of the local Windows companion app. It is a platform design note, not a workflow-node specification.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  <w:keepNext/>
      </w:pPr>
      <w:r>
        <w:t>1. Purpose</w:t>
      </w:r>
    </w:p>
    <w:p>
      <w:pPr>
        <w:spacing w:before="0" w:after="100" w:line="259" w:lineRule="auto"/>
      </w:pPr>
      <w:r>
        <w:t>The Windows companion app is a locally installed service that complements the browser extension. It provides controlled operating-system capabilities that cannot reliably be delivered by an extension alone, while keeping browser automation workflows visible, auditable, and permission-bound.</w:t>
      </w:r>
    </w:p>
    <w:p>
      <w:pPr>
        <w:pStyle w:val="Heading1"/>
        <w:spacing w:before="240" w:after="80"/>
        <w:keepNext/>
      </w:pPr>
      <w:r>
        <w:t>2. Core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Service area</w:t>
            </w:r>
          </w:p>
        </w:tc>
        <w:tc>
          <w:tcPr>
            <w:tcW w:type="dxa" w:w="367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417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Why it exists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Workflow storage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Save, load, list, import, and export workflows on the local system.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Allows workflows to persist outside the browser profile and be retrieved when needed.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Controlled file access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Provide file and directory operations only inside user-approved directories.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Supports reliable access to updated local data while avoiding unrestricted file-system access.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Host-assisted UI fallback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Perform visible system mouse and keyboard actions when in-browser automation cannot complete an interaction.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Provides a final user-style fallback for controls that reject or block browser-side automation.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  <w:keepNext/>
      </w:pPr>
      <w:r>
        <w:t>3. Design Principles</w:t>
      </w:r>
    </w:p>
    <w:p>
      <w:pPr>
        <w:pStyle w:val="CompactBullet"/>
        <w:ind w:left="374" w:hanging="230"/>
      </w:pPr>
      <w:r>
        <w:t>Browser-first execution: the extension and internal element resolver attempt normal DOM/browser automation before requesting host assistance.</w:t>
      </w:r>
    </w:p>
    <w:p>
      <w:pPr>
        <w:pStyle w:val="CompactBullet"/>
        <w:ind w:left="374" w:hanging="230"/>
      </w:pPr>
      <w:r>
        <w:t>Least privilege: the app exposes only approved capabilities, and filesystem operations are restricted to allowed directories.</w:t>
      </w:r>
    </w:p>
    <w:p>
      <w:pPr>
        <w:pStyle w:val="CompactBullet"/>
        <w:ind w:left="374" w:hanging="230"/>
      </w:pPr>
      <w:r>
        <w:t>Visible interaction only: host-assisted input acts on a foreground, visible browser window and does not create hidden DOM access.</w:t>
      </w:r>
    </w:p>
    <w:p>
      <w:pPr>
        <w:pStyle w:val="CompactBullet"/>
        <w:ind w:left="374" w:hanging="230"/>
      </w:pPr>
      <w:r>
        <w:t>Verified execution: after a host action, the extension verifies the intended page-state change whenever possible.</w:t>
      </w:r>
    </w:p>
    <w:p>
      <w:pPr>
        <w:pStyle w:val="CompactBullet"/>
        <w:ind w:left="374" w:hanging="230"/>
      </w:pPr>
      <w:r>
        <w:t>Auditable behavior: every request, response, failure, and fallback path is logged with sensitive values masked.</w:t>
      </w:r>
    </w:p>
    <w:p>
      <w:pPr>
        <w:pStyle w:val="CompactBullet"/>
        <w:ind w:left="374" w:hanging="230"/>
      </w:pPr>
      <w:r>
        <w:t>Fail safe: if window identity, focus, coordinates, target confidence, or permissions are not trustworthy, the host refuses the action.</w:t>
      </w:r>
    </w:p>
    <w:p>
      <w:pPr>
        <w:pStyle w:val="Heading1"/>
        <w:spacing w:before="240" w:after="80"/>
        <w:keepNext/>
      </w:pPr>
      <w:r>
        <w:t>4. Runtime Architecture</w:t>
      </w:r>
    </w:p>
    <w:p>
      <w:pPr>
        <w:spacing w:before="0" w:after="100" w:line="259" w:lineRule="auto"/>
      </w:pPr>
      <w:r>
        <w:t>The extension remains the workflow runtime and browser-awareness layer. The companion app is a local capability provider. The extension supplies resolved targets, context, and requested actions; the companion app performs only the approved local service action and returns a structured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Control boundary. </w:t>
            </w:r>
            <w:r>
              <w:t>The extension decides what the workflow intends to do. The companion app decides whether that request is locally permitted and safe to execute.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Owns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Does not own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Browser extension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Workflow execution, tab/page context, internal DOM map, target resolution, browser-native actions, post-action validation, node logs.</w:t>
            </w:r>
          </w:p>
        </w:tc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Unrestricted local file access or system input without the host.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Companion app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Workflow storage, approved-directory access, foreground-window checks, coordinate transformation, system mouse/keyboard execution, local service status.</w:t>
            </w:r>
          </w:p>
        </w:tc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DOM parsing, selector resolution, page extraction, or autonomous workflow decisions.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Workflow nodes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Node-specific configuration, inputs/outputs, retries, logs, and fallback policy.</w:t>
            </w:r>
          </w:p>
        </w:tc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Direct OS access outside the host service contract.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  <w:keepNext/>
      </w:pPr>
      <w:r>
        <w:t>5. Service A: Workflow Storage</w:t>
      </w:r>
    </w:p>
    <w:p>
      <w:pPr>
        <w:spacing w:before="0" w:after="100" w:line="259" w:lineRule="auto"/>
      </w:pPr>
      <w:r>
        <w:t>The companion app stores workflow definitions and associated metadata locally. The extension requests these records through a controlled API rather than assuming direct filesystem access.</w:t>
      </w:r>
    </w:p>
    <w:p>
      <w:pPr>
        <w:pStyle w:val="CompactBullet"/>
        <w:ind w:left="374" w:hanging="230"/>
      </w:pPr>
      <w:r>
        <w:t>Save a workflow, draft, or versioned revision.</w:t>
      </w:r>
    </w:p>
    <w:p>
      <w:pPr>
        <w:pStyle w:val="CompactBullet"/>
        <w:ind w:left="374" w:hanging="230"/>
      </w:pPr>
      <w:r>
        <w:t>Load a workflow by ID, path alias, recent item, or user selection.</w:t>
      </w:r>
    </w:p>
    <w:p>
      <w:pPr>
        <w:pStyle w:val="CompactBullet"/>
        <w:ind w:left="374" w:hanging="230"/>
      </w:pPr>
      <w:r>
        <w:t>List locally available workflows and metadata such as name, modified date, version, and tags.</w:t>
      </w:r>
    </w:p>
    <w:p>
      <w:pPr>
        <w:pStyle w:val="CompactBullet"/>
        <w:ind w:left="374" w:hanging="230"/>
      </w:pPr>
      <w:r>
        <w:t>Import and export workflow packages.</w:t>
      </w:r>
    </w:p>
    <w:p>
      <w:pPr>
        <w:pStyle w:val="CompactBullet"/>
        <w:ind w:left="374" w:hanging="230"/>
      </w:pPr>
      <w:r>
        <w:t>Optionally store run history, execution logs, and supporting artifacts in controlled locations.</w:t>
      </w:r>
    </w:p>
    <w:p>
      <w:pPr>
        <w:spacing w:before="0" w:after="100" w:line="259" w:lineRule="auto"/>
      </w:pPr>
      <w:r>
        <w:t>Recommended workflow record metadata: workflow ID, display name, schema version, created/updated timestamps, source location, version/revision, enabled state, required permissions, and optional integrity hash.</w:t>
      </w:r>
    </w:p>
    <w:p>
      <w:pPr>
        <w:pStyle w:val="Heading1"/>
        <w:spacing w:before="240" w:after="80"/>
        <w:keepNext/>
      </w:pPr>
      <w:r>
        <w:t>6. Service B: Controlled File and Directory Access</w:t>
      </w:r>
    </w:p>
    <w:p>
      <w:pPr>
        <w:spacing w:before="0" w:after="100" w:line="259" w:lineRule="auto"/>
      </w:pPr>
      <w:r>
        <w:t>File nodes do not operate against arbitrary system paths. They use directory aliases that are explicitly approved by the user through the companion 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41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Recommended behavior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Allowed directory registry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Stores approved directory aliases, canonical paths, read/write permissions, and optional recursive-access policy.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Find files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Searches within an allowed directory using filename, extension, pattern, date, or size filters.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Read files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Reads only files inside an allowed directory and returns content or structured parse inputs to the extension.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Write/export files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Writes output only to directories with explicit write permission; creates predictable run-specific output names where configured.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Directory watch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Optionally watches approved directories for changes and emits controlled notifications to workflows.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Permission model. </w:t>
            </w:r>
            <w:r>
              <w:t>A workflow should reference a directory alias, such as "Customer Imports" or "Automation Outputs", not a raw arbitrary path. The companion app resolves the alias and verifies access at runtime.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  <w:keepNext/>
      </w:pPr>
      <w:r>
        <w:t>7. Service C: Host-Assisted UI Fallback</w:t>
      </w:r>
    </w:p>
    <w:p>
      <w:pPr>
        <w:spacing w:before="0" w:after="100" w:line="259" w:lineRule="auto"/>
      </w:pPr>
      <w:r>
        <w:t>When browser-side interaction fails, a compatible node may request a host-assisted action. This is the final fallback for visible user-style actions such as clicks, key presses, typing, scrolling, dragging, and native file-picker interaction.</w:t>
      </w:r>
    </w:p>
    <w:p>
      <w:pPr>
        <w:pStyle w:val="Heading2"/>
        <w:spacing w:before="160" w:after="80"/>
        <w:keepNext/>
      </w:pPr>
      <w:r>
        <w:t>7.1 Execution sequence</w:t>
      </w:r>
    </w:p>
    <w:p>
      <w:pPr>
        <w:pStyle w:val="CompactBullet"/>
        <w:ind w:left="374" w:hanging="230"/>
      </w:pPr>
      <w:r>
        <w:t>Extension resolves the user-provided identifier first, then uses the internal resolver only if needed.</w:t>
      </w:r>
    </w:p>
    <w:p>
      <w:pPr>
        <w:pStyle w:val="CompactBullet"/>
        <w:ind w:left="374" w:hanging="230"/>
      </w:pPr>
      <w:r>
        <w:t>Extension attempts the browser-native action and records the result.</w:t>
      </w:r>
    </w:p>
    <w:p>
      <w:pPr>
        <w:pStyle w:val="CompactBullet"/>
        <w:ind w:left="374" w:hanging="230"/>
      </w:pPr>
      <w:r>
        <w:t>If that action fails and the node permits host fallback, the extension makes the target visible and computes candidate browser/viewport coordinates.</w:t>
      </w:r>
    </w:p>
    <w:p>
      <w:pPr>
        <w:pStyle w:val="CompactBullet"/>
        <w:ind w:left="374" w:hanging="230"/>
      </w:pPr>
      <w:r>
        <w:t>Extension sends the requested host action, active-tab context, target bounds, expected browser window identity, display information, and confidence data.</w:t>
      </w:r>
    </w:p>
    <w:p>
      <w:pPr>
        <w:pStyle w:val="CompactBullet"/>
        <w:ind w:left="374" w:hanging="230"/>
      </w:pPr>
      <w:r>
        <w:t>Companion app validates foreground window, browser identity, display scaling, coordinate confidence, and user policy.</w:t>
      </w:r>
    </w:p>
    <w:p>
      <w:pPr>
        <w:pStyle w:val="CompactBullet"/>
        <w:ind w:left="374" w:hanging="230"/>
      </w:pPr>
      <w:r>
        <w:t>Companion app performs the physical mouse or keyboard action.</w:t>
      </w:r>
    </w:p>
    <w:p>
      <w:pPr>
        <w:pStyle w:val="CompactBullet"/>
        <w:ind w:left="374" w:hanging="230"/>
      </w:pPr>
      <w:r>
        <w:t>Extension verifies the intended outcome, such as changed text, navigation, checked state, or success message.</w:t>
      </w:r>
    </w:p>
    <w:p>
      <w:pPr>
        <w:pStyle w:val="Heading2"/>
        <w:spacing w:before="160" w:after="80"/>
        <w:keepNext/>
      </w:pPr>
      <w:r>
        <w:t>7.2 Supported host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Action family</w:t>
            </w:r>
          </w:p>
        </w:tc>
        <w:tc>
          <w:tcPr>
            <w:tcW w:type="dxa" w:w="417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52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Typical node support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Pointer input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Move, click, double-click, right-click, hover, drag, scroll.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Click, Hover, Drag and Drop, Scroll, form controls.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Keyboard input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Type text, press keys, shortcuts, paste.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Enter Text, Press Key, Select Text, form controls.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Window readiness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Activate browser window, confirm foreground state, read screen context.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Used before any host-assisted interaction.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Native dialogs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Interact with supported visible file picker flows using approved file references.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Upload File and selected system interaction nodes.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  <w:keepNext/>
      </w:pPr>
      <w:r>
        <w:t>7.3 Required safeguards</w:t>
      </w:r>
    </w:p>
    <w:p>
      <w:pPr>
        <w:pStyle w:val="CompactBullet"/>
        <w:ind w:left="374" w:hanging="230"/>
      </w:pPr>
      <w:r>
        <w:t>Require the correct browser window to be foregrounded before host input is sent.</w:t>
      </w:r>
    </w:p>
    <w:p>
      <w:pPr>
        <w:pStyle w:val="CompactBullet"/>
        <w:ind w:left="374" w:hanging="230"/>
      </w:pPr>
      <w:r>
        <w:t>Require a supported display context; refuse action if monitor/window mapping is unknown or stale.</w:t>
      </w:r>
    </w:p>
    <w:p>
      <w:pPr>
        <w:pStyle w:val="CompactBullet"/>
        <w:ind w:left="374" w:hanging="230"/>
      </w:pPr>
      <w:r>
        <w:t>Apply coordinate transformation for browser window position, device pixel ratio, browser zoom, display scaling, and multi-monitor offsets.</w:t>
      </w:r>
    </w:p>
    <w:p>
      <w:pPr>
        <w:pStyle w:val="CompactBullet"/>
        <w:ind w:left="374" w:hanging="230"/>
      </w:pPr>
      <w:r>
        <w:t>Require a configurable minimum coordinate confidence threshold.</w:t>
      </w:r>
    </w:p>
    <w:p>
      <w:pPr>
        <w:pStyle w:val="CompactBullet"/>
        <w:ind w:left="374" w:hanging="230"/>
      </w:pPr>
      <w:r>
        <w:t>Optionally capture pre-action and post-action screenshots for diagnostics.</w:t>
      </w:r>
    </w:p>
    <w:p>
      <w:pPr>
        <w:pStyle w:val="CompactBullet"/>
        <w:ind w:left="374" w:hanging="230"/>
      </w:pPr>
      <w:r>
        <w:t>Verify the result in the extension after the host action; a host input success alone is not proof that the website action succeeded.</w:t>
      </w:r>
    </w:p>
    <w:p>
      <w:pPr>
        <w:pStyle w:val="CompactBullet"/>
        <w:ind w:left="374" w:hanging="230"/>
      </w:pPr>
      <w:r>
        <w:t>Abort or surface a manual-step request when the system is locked, secure desktop is active, or user presence is required.</w:t>
      </w:r>
    </w:p>
    <w:p>
      <w:pPr>
        <w:pStyle w:val="Heading1"/>
        <w:spacing w:before="240" w:after="80"/>
        <w:keepNext/>
      </w:pPr>
      <w:r>
        <w:t>8. Host Availability and Node Integration</w:t>
      </w:r>
    </w:p>
    <w:p>
      <w:pPr>
        <w:spacing w:before="0" w:after="100" w:line="259" w:lineRule="auto"/>
      </w:pPr>
      <w:r>
        <w:t>Nodes should declare their host relationship so workflows can be validated before execution and users can understand when a fallback may be needed.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Node status</w:t>
            </w:r>
          </w:p>
        </w:tc>
        <w:tc>
          <w:tcPr>
            <w:tcW w:type="dxa" w:w="367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17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Runtime behavior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Not applicable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Node has no useful host behavior.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Runs entirely inside the extension/browser.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Optional fallback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Browser-first node may request host interaction on failure.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/>
            </w:pPr>
            <w:r>
              <w:t>Uses host only when enabled, available, and trigger conditions are met.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Host required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Node depends on controlled local-system functionality.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Fails or follows an alternate branch if the host is unavailable.</w:t>
            </w:r>
          </w:p>
        </w:tc>
      </w:tr>
    </w:tbl>
    <w:p>
      <w:pPr>
        <w:spacing w:after="40"/>
      </w:pPr>
    </w:p>
    <w:p>
      <w:pPr>
        <w:spacing w:before="0" w:after="100" w:line="259" w:lineRule="auto"/>
      </w:pPr>
      <w:r>
        <w:t>Applicable nodes display a status badge such as “Host fallback available”, “Host fallback off”, “Host required”, or “Host unavailable”. Each supporting node includes a user-configurable host fallback switch.</w:t>
      </w:r>
    </w:p>
    <w:p>
      <w:pPr>
        <w:pStyle w:val="Heading1"/>
        <w:spacing w:before="240" w:after="80"/>
        <w:keepNext/>
      </w:pPr>
      <w:r>
        <w:t>9. Host Request and Result Contract</w:t>
      </w:r>
    </w:p>
    <w:p>
      <w:pPr>
        <w:spacing w:before="0" w:after="100" w:line="259" w:lineRule="auto"/>
      </w:pPr>
      <w:r>
        <w:t>Requests should be structured, versioned, and tied to a workflow run, node, and attempt. The host should not accept opaque arbitrary automation commands without contextual metadata.</w:t>
      </w:r>
    </w:p>
    <w:p>
      <w:pPr>
        <w:spacing w:after="40"/>
      </w:pPr>
      <w:r>
        <w:rPr>
          <w:b/>
        </w:rPr>
        <w:t>Illustrative request</w:t>
      </w:r>
    </w:p>
    <w:p>
      <w:pPr>
        <w:spacing w:after="80"/>
        <w:ind w:left="288" w:right="288"/>
      </w:pPr>
      <w:r>
        <w:rPr>
          <w:rFonts w:ascii="Consolas" w:hAnsi="Consolas"/>
          <w:color w:val="1F2933"/>
          <w:sz w:val="16"/>
        </w:rPr>
        <w:br/>
        <w:t>{</w:t>
        <w:br/>
        <w:t xml:space="preserve">  "requestId": "...",</w:t>
        <w:br/>
        <w:t xml:space="preserve">  "workflowRunId": "...",</w:t>
        <w:br/>
        <w:t xml:space="preserve">  "nodeId": "click_checkout",</w:t>
        <w:br/>
        <w:t xml:space="preserve">  "action": "click",</w:t>
        <w:br/>
        <w:t xml:space="preserve">  "browserContext": {</w:t>
        <w:br/>
        <w:t xml:space="preserve">    "windowId": "...",</w:t>
        <w:br/>
        <w:t xml:space="preserve">    "tabId": "...",</w:t>
        <w:br/>
        <w:t xml:space="preserve">    "expectedUrl": "https://example.com/checkout"</w:t>
        <w:br/>
        <w:t xml:space="preserve">  },</w:t>
        <w:br/>
        <w:t xml:space="preserve">  "target": {</w:t>
        <w:br/>
        <w:t xml:space="preserve">    "viewportBounds": {"x": 720, "y": 418, "width": 130, "height": 44},</w:t>
        <w:br/>
        <w:t xml:space="preserve">    "coordinateConfidence": 0.97</w:t>
        <w:br/>
        <w:t xml:space="preserve">  },</w:t>
        <w:br/>
        <w:t xml:space="preserve">  "policy": {</w:t>
        <w:br/>
        <w:t xml:space="preserve">    "requireForeground": true,</w:t>
        <w:br/>
        <w:t xml:space="preserve">    "verifyAfterAction": true</w:t>
        <w:br/>
        <w:t xml:space="preserve">  }</w:t>
        <w:br/>
        <w:t>}</w:t>
        <w:br/>
      </w:r>
    </w:p>
    <w:p>
      <w:pPr>
        <w:spacing w:after="40"/>
      </w:pPr>
      <w:r>
        <w:rPr>
          <w:b/>
        </w:rPr>
        <w:t>Illustrative result</w:t>
      </w:r>
    </w:p>
    <w:p>
      <w:pPr>
        <w:spacing w:after="80"/>
        <w:ind w:left="288" w:right="288"/>
      </w:pPr>
      <w:r>
        <w:rPr>
          <w:rFonts w:ascii="Consolas" w:hAnsi="Consolas"/>
          <w:color w:val="1F2933"/>
          <w:sz w:val="16"/>
        </w:rPr>
        <w:br/>
        <w:t>{</w:t>
        <w:br/>
        <w:t xml:space="preserve">  "status": "success",</w:t>
        <w:br/>
        <w:t xml:space="preserve">  "executionMethod": "companion_host",</w:t>
        <w:br/>
        <w:t xml:space="preserve">  "actionPerformed": "click",</w:t>
        <w:br/>
        <w:t xml:space="preserve">  "windowValidated": true,</w:t>
        <w:br/>
        <w:t xml:space="preserve">  "coordinateConfidence": 0.97,</w:t>
        <w:br/>
        <w:t xml:space="preserve">  "durationMs": 146,</w:t>
        <w:br/>
        <w:t xml:space="preserve">  "warning": null</w:t>
        <w:br/>
        <w:t>}</w:t>
        <w:br/>
      </w:r>
    </w:p>
    <w:p>
      <w:pPr>
        <w:pStyle w:val="Heading1"/>
        <w:spacing w:before="240" w:after="80"/>
        <w:keepNext/>
      </w:pPr>
      <w:r>
        <w:t>10. Logging, Privacy, and Security</w:t>
      </w:r>
    </w:p>
    <w:p>
      <w:pPr>
        <w:pStyle w:val="CompactBullet"/>
        <w:ind w:left="374" w:hanging="230"/>
      </w:pPr>
      <w:r>
        <w:t>Log request IDs, workflow run IDs, node IDs, action type, status, duration, and whether browser or host execution was used.</w:t>
      </w:r>
    </w:p>
    <w:p>
      <w:pPr>
        <w:pStyle w:val="CompactBullet"/>
        <w:ind w:left="374" w:hanging="230"/>
      </w:pPr>
      <w:r>
        <w:t>Mask passwords, tokens, payment values, private file contents, and other configured sensitive fields in logs.</w:t>
      </w:r>
    </w:p>
    <w:p>
      <w:pPr>
        <w:pStyle w:val="CompactBullet"/>
        <w:ind w:left="374" w:hanging="230"/>
      </w:pPr>
      <w:r>
        <w:t>Record screenshot references only under user-approved diagnostics settings and protect them as workflow artifacts.</w:t>
      </w:r>
    </w:p>
    <w:p>
      <w:pPr>
        <w:pStyle w:val="CompactBullet"/>
        <w:ind w:left="374" w:hanging="230"/>
      </w:pPr>
      <w:r>
        <w:t>Keep host permissions separate from workflow configuration; a workflow cannot elevate its access by editing JSON or code.</w:t>
      </w:r>
    </w:p>
    <w:p>
      <w:pPr>
        <w:pStyle w:val="CompactBullet"/>
        <w:ind w:left="374" w:hanging="230"/>
      </w:pPr>
      <w:r>
        <w:t>Treat host availability as a runtime fact, not an assumption. A disconnected or outdated host must produce an explicit capability error.</w:t>
      </w:r>
    </w:p>
    <w:p>
      <w:pPr>
        <w:pStyle w:val="Heading1"/>
        <w:spacing w:before="240" w:after="80"/>
        <w:keepNext/>
      </w:pPr>
      <w:r>
        <w:t>11. Important Limits</w:t>
      </w:r>
    </w:p>
    <w:p>
      <w:pPr>
        <w:pStyle w:val="CompactBullet"/>
        <w:ind w:left="374" w:hanging="230"/>
      </w:pPr>
      <w:r>
        <w:t>Host-assisted input does not create DOM access on protected browser pages.</w:t>
      </w:r>
    </w:p>
    <w:p>
      <w:pPr>
        <w:pStyle w:val="CompactBullet"/>
        <w:ind w:left="374" w:hanging="230"/>
      </w:pPr>
      <w:r>
        <w:t>It does not bypass CAPTCHA, MFA, browser permissions, secure desktop prompts, OS lock screens, or external user verification.</w:t>
      </w:r>
    </w:p>
    <w:p>
      <w:pPr>
        <w:pStyle w:val="CompactBullet"/>
        <w:ind w:left="374" w:hanging="230"/>
      </w:pPr>
      <w:r>
        <w:t>It should not silently operate a background window or make hidden clicks.</w:t>
      </w:r>
    </w:p>
    <w:p>
      <w:pPr>
        <w:pStyle w:val="CompactBullet"/>
        <w:ind w:left="374" w:hanging="230"/>
      </w:pPr>
      <w:r>
        <w:t>It should not be treated as success until the extension confirms an expected page-state result.</w:t>
      </w:r>
    </w:p>
    <w:p>
      <w:pPr>
        <w:pStyle w:val="CompactBullet"/>
        <w:ind w:left="374" w:hanging="230"/>
      </w:pPr>
      <w:r>
        <w:t>Coordinate-driven execution is inherently lower confidence than resolver-backed DOM execution and should remain a final fallback.</w:t>
      </w:r>
    </w:p>
    <w:p>
      <w:pPr>
        <w:pStyle w:val="Heading1"/>
        <w:spacing w:before="240" w:after="80"/>
        <w:keepNext/>
      </w:pPr>
      <w:r>
        <w:t>12. Assumptions for Node Design</w:t>
      </w:r>
    </w:p>
    <w:p>
      <w:pPr>
        <w:spacing w:before="0" w:after="100" w:line="259" w:lineRule="auto"/>
      </w:pPr>
      <w:r>
        <w:t>For the remaining workflow-node design, assume the companion app is installed, connected, authorized, and exposes the storage, directory, and host-fallback services described here. Individual nodes only need to declare whether they are browser-only, host-assisted, or host-required, and expose relevant fallback settings.</w:t>
      </w:r>
    </w:p>
    <w:p>
      <w:pPr>
        <w:pStyle w:val="Heading1"/>
        <w:spacing w:before="240" w:after="80"/>
        <w:keepNext/>
      </w:pPr>
      <w:r>
        <w:t>13. Open Design Decisions</w:t>
      </w:r>
    </w:p>
    <w:p>
      <w:pPr>
        <w:pStyle w:val="CompactBullet"/>
        <w:ind w:left="374" w:hanging="230"/>
      </w:pPr>
      <w:r>
        <w:t>Workflow package format, local encryption, versioning, and backup policy.</w:t>
      </w:r>
    </w:p>
    <w:p>
      <w:pPr>
        <w:pStyle w:val="CompactBullet"/>
        <w:ind w:left="374" w:hanging="230"/>
      </w:pPr>
      <w:r>
        <w:t>Directory alias management UX and whether read/write permissions are granted separately.</w:t>
      </w:r>
    </w:p>
    <w:p>
      <w:pPr>
        <w:pStyle w:val="CompactBullet"/>
        <w:ind w:left="374" w:hanging="230"/>
      </w:pPr>
      <w:r>
        <w:t>Exact host transport and authentication mechanism between extension and companion app.</w:t>
      </w:r>
    </w:p>
    <w:p>
      <w:pPr>
        <w:pStyle w:val="CompactBullet"/>
        <w:ind w:left="374" w:hanging="230"/>
      </w:pPr>
      <w:r>
        <w:t>How host actions behave when the browser window moves between monitors during a run.</w:t>
      </w:r>
    </w:p>
    <w:p>
      <w:pPr>
        <w:pStyle w:val="CompactBullet"/>
        <w:ind w:left="374" w:hanging="230"/>
      </w:pPr>
      <w:r>
        <w:t>Whether a host fallback requires per-action user confirmation, per-workflow approval, or a global policy setting.</w:t>
      </w:r>
    </w:p>
    <w:p>
      <w:pPr>
        <w:pStyle w:val="CompactBullet"/>
        <w:ind w:left="374" w:hanging="230"/>
      </w:pPr>
      <w:r>
        <w:t>Which native dialogs are officially supported in the first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8A"/>
        <w:sz w:val="16"/>
      </w:rPr>
      <w:t>Windows Companion App - Internal Design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C8A"/>
        <w:sz w:val="16"/>
      </w:rPr>
      <w:t>BROWSER AUTOMATION PLATFORM | DESIGN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6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40"/>
      <w:ind w:left="360"/>
    </w:pPr>
    <w:rPr>
      <w:rFonts w:ascii="Aptos" w:hAnsi="Aptos"/>
      <w:sz w:val="20"/>
    </w:rPr>
  </w:style>
  <w:style w:type="paragraph" w:customStyle="1" w:styleId="Callout">
    <w:name w:val="Callout"/>
    <w:basedOn w:val="Normal"/>
    <w:pPr>
      <w:spacing w:before="60" w:after="80"/>
    </w:pPr>
    <w:rPr>
      <w:rFonts w:ascii="Aptos" w:hAnsi="Aptos"/>
      <w:color w:val="26323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Companion App - Design and Integration Notes</dc:title>
  <dc:subject>Browser automation platform companion app</dc:subject>
  <dc:creator>OpenAI</dc:creator>
  <cp:keywords>browser automation, Windows companion app, host fallback, workflows, file access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