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基于GRPO的预算感知动态多智能体调度研究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用于长文档问答的学习型证据调度器</w:t>
      </w:r>
    </w:p>
    <w:p>
      <w:pPr>
        <w:jc w:val="center"/>
      </w:pPr>
      <w:r>
        <w:rPr>
          <w:rFonts w:ascii="楷体" w:hAnsi="楷体" w:eastAsia="楷体"/>
          <w:b w:val="0"/>
          <w:sz w:val="21"/>
        </w:rPr>
        <w:t>研究提案  |  2026年7月</w:t>
      </w:r>
    </w:p>
    <w:p/>
    <w:p>
      <w:r>
        <w:rPr>
          <w:rFonts w:ascii="黑体" w:hAnsi="黑体" w:eastAsia="黑体"/>
          <w:b/>
          <w:sz w:val="24"/>
        </w:rPr>
        <w:t>摘要</w:t>
      </w:r>
    </w:p>
    <w:p>
      <w:r>
        <w:rPr>
          <w:rFonts w:ascii="宋体" w:hAnsi="宋体" w:eastAsia="宋体"/>
          <w:b w:val="0"/>
          <w:sz w:val="21"/>
        </w:rPr>
        <w:t>本研究提出一种基于组相对策略优化（GRPO）的预算感知动态多智能体调度框架，用于解决长文档问答中的运行时调度问题。现有系统（如LONGAGENT）采用硬编码规则调度多个工作智能体，导致冗余调用与固定成本。本研究将领导者（Leader）的调度决策建模为部分可观察马尔可夫决策过程（POMDP），利用GRPO端到端训练调度策略，使其能够根据问题内容动态选择工作智能体子集、决定验证与回放时机，并在答案证据充分性达到阈值时停止推理。此外，本研究提出可学习的证据覆盖充分性估计机制，使系统不仅能输出答案，还能提供可解释的覆盖置信度报告。实验将在Needle-in-a-Haystack、LongBench及结构化真实文档上进行，通过完整的消融实验验证各模块的独立贡献，并与LONGAGENT、XpandA等基线进行准确率—成本Pareto前沿对比。</w:t>
      </w:r>
    </w:p>
    <w:p/>
    <w:p>
      <w:r>
        <w:rPr>
          <w:rFonts w:ascii="黑体" w:hAnsi="黑体" w:eastAsia="黑体"/>
          <w:b/>
          <w:sz w:val="24"/>
        </w:rPr>
        <w:t>1  研究背景与动机</w:t>
      </w:r>
    </w:p>
    <w:p>
      <w:r>
        <w:rPr>
          <w:rFonts w:ascii="黑体" w:hAnsi="黑体" w:eastAsia="黑体"/>
          <w:b/>
          <w:sz w:val="22"/>
        </w:rPr>
        <w:t>1.1  长上下文问答的三类瓶颈</w:t>
      </w:r>
    </w:p>
    <w:p>
      <w:r>
        <w:rPr>
          <w:rFonts w:ascii="宋体" w:hAnsi="宋体" w:eastAsia="宋体"/>
          <w:b w:val="0"/>
          <w:sz w:val="21"/>
        </w:rPr>
        <w:t>将单个大型语言模型的上下文窗口扩展至128K以上，并不能自动解决以下三个实际瓶颈：（1）资源成本：全上下文注意力的计算与显存开销昂贵；（2）位置偏置：关键信息位于文档中部时容易被忽略；（3）推理链断裂：多跳证据散落在不同片段，单次读取难以串联。</w:t>
      </w:r>
    </w:p>
    <w:p>
      <w:r>
        <w:rPr>
          <w:rFonts w:ascii="黑体" w:hAnsi="黑体" w:eastAsia="黑体"/>
          <w:b/>
          <w:sz w:val="22"/>
        </w:rPr>
        <w:t>1.2  研究重心的结构性转向</w:t>
      </w:r>
    </w:p>
    <w:p>
      <w:r>
        <w:rPr>
          <w:rFonts w:ascii="宋体" w:hAnsi="宋体" w:eastAsia="宋体"/>
          <w:b w:val="0"/>
          <w:sz w:val="21"/>
        </w:rPr>
        <w:t>2024至2026年间，智能体系统的研究重心正经历三次结构性转向：（1）上下文处理从单一长窗口转向分布式局部阅读与检索；（2）协作模式从固定拓扑（星型广播/顺序链）转向查询条件化的动态路由与通信图；（3）优化目标从离线工作流设计转向运行时、预算感知的调度。</w:t>
      </w:r>
    </w:p>
    <w:p>
      <w:r>
        <w:rPr>
          <w:rFonts w:ascii="黑体" w:hAnsi="黑体" w:eastAsia="黑体"/>
          <w:b/>
          <w:sz w:val="22"/>
        </w:rPr>
        <w:t>1.3  LONGAGENT：基线与局限</w:t>
      </w:r>
    </w:p>
    <w:p>
      <w:r>
        <w:rPr>
          <w:rFonts w:ascii="宋体" w:hAnsi="宋体" w:eastAsia="宋体"/>
          <w:b w:val="0"/>
          <w:sz w:val="21"/>
        </w:rPr>
        <w:t>LONGAGENT（Zhao et al., EMNLP 2024）展示了利用短上下文模型协作完成128K问答的可行性。然而，其领导者（Leader）本质上是有限动作的协调器，而非资源优化器：QUERY动作无条件广播给全部成员，造成冗余调用；固定分块边界可能切断段落、表格与代码依赖；缺少对成员、模型、工具或并行策略的选择机制；亦缺少置信度估计、来源核验与token/延迟预算控制。</w:t>
      </w:r>
    </w:p>
    <w:p/>
    <w:p>
      <w:r>
        <w:rPr>
          <w:rFonts w:ascii="黑体" w:hAnsi="黑体" w:eastAsia="黑体"/>
          <w:b/>
          <w:sz w:val="24"/>
        </w:rPr>
        <w:t>2  研究问题</w:t>
      </w:r>
    </w:p>
    <w:p>
      <w:r>
        <w:rPr>
          <w:rFonts w:ascii="宋体" w:hAnsi="宋体" w:eastAsia="宋体"/>
          <w:b w:val="0"/>
          <w:sz w:val="21"/>
        </w:rPr>
        <w:t>RQ1. 运行时调度策略学习：如何将领导者的调度决策（选择哪些工作智能体、读取哪些证据片段、何时验证、何时停止）建模为可学习的策略，使其能从执行反馈中持续优化，而非依赖硬编码规则？</w:t>
      </w:r>
    </w:p>
    <w:p>
      <w:r>
        <w:rPr>
          <w:rFonts w:ascii="宋体" w:hAnsi="宋体" w:eastAsia="宋体"/>
          <w:b w:val="0"/>
          <w:sz w:val="21"/>
        </w:rPr>
        <w:t>RQ2. 联合优化准确率与成本：如何设计奖励函数，使策略在最大化答案准确率的同时，最小化token消耗、调用次数与推理延迟？</w:t>
      </w:r>
    </w:p>
    <w:p>
      <w:r>
        <w:rPr>
          <w:rFonts w:ascii="宋体" w:hAnsi="宋体" w:eastAsia="宋体"/>
          <w:b w:val="0"/>
          <w:sz w:val="21"/>
        </w:rPr>
        <w:t>RQ3. 证据覆盖充分性的可学习估计：如何从问题与已收集证据中估计覆盖是否充分，使停止决策从领导者主观判断转变为可量化的置信度阈值决策？</w:t>
      </w:r>
    </w:p>
    <w:p>
      <w:r>
        <w:rPr>
          <w:rFonts w:ascii="宋体" w:hAnsi="宋体" w:eastAsia="宋体"/>
          <w:b w:val="0"/>
          <w:sz w:val="21"/>
        </w:rPr>
        <w:t>RQ4. 泛化与可解释性：学习到的调度策略能否跨文档类型（法律、金融、医学）泛化，并输出可解释的证据覆盖报告？</w:t>
      </w:r>
    </w:p>
    <w:p/>
    <w:p>
      <w:r>
        <w:rPr>
          <w:rFonts w:ascii="黑体" w:hAnsi="黑体" w:eastAsia="黑体"/>
          <w:b/>
          <w:sz w:val="24"/>
        </w:rPr>
        <w:t>3  研究方法</w:t>
      </w:r>
    </w:p>
    <w:p>
      <w:r>
        <w:rPr>
          <w:rFonts w:ascii="黑体" w:hAnsi="黑体" w:eastAsia="黑体"/>
          <w:b/>
          <w:sz w:val="22"/>
        </w:rPr>
        <w:t>3.1  总体架构：预算感知的证据调度器</w:t>
      </w:r>
    </w:p>
    <w:p>
      <w:r>
        <w:rPr>
          <w:rFonts w:ascii="宋体" w:hAnsi="宋体" w:eastAsia="宋体"/>
          <w:b w:val="0"/>
          <w:sz w:val="21"/>
        </w:rPr>
        <w:t>本研究将领导者的决策过程建模为部分可观察马尔可夫决策过程（POMDP），并通过GRPO进行端到端训练。</w:t>
      </w:r>
    </w:p>
    <w:p>
      <w:r>
        <w:rPr>
          <w:rFonts w:ascii="宋体" w:hAnsi="宋体" w:eastAsia="宋体"/>
          <w:b w:val="0"/>
          <w:sz w:val="21"/>
        </w:rPr>
        <w:t>状态 s_t = (q, M_t, E_t, U_t, B_t, C_t)，其中q为原始问题；M_t为共享记忆；E_t为已收集证据集合；U_t为未解决冲突/实体；B_t为剩余预算（token/调用次数）；C_t为当前证据覆盖充分性估计值。</w:t>
      </w:r>
    </w:p>
    <w:p>
      <w:r>
        <w:rPr>
          <w:rFonts w:ascii="宋体" w:hAnsi="宋体" w:eastAsia="宋体"/>
          <w:b w:val="0"/>
          <w:sz w:val="21"/>
        </w:rPr>
        <w:t>动作 a_t = (Worker子集, Chunk/工具子集, 拓扑G_t, 操作r_t, 停止信号)，其中r_t ∈ {QUERY, VERIFY, REPLAY, ANSWER}。</w:t>
      </w:r>
    </w:p>
    <w:p>
      <w:r>
        <w:rPr>
          <w:rFonts w:ascii="宋体" w:hAnsi="宋体" w:eastAsia="宋体"/>
          <w:b w:val="0"/>
          <w:sz w:val="21"/>
        </w:rPr>
        <w:t>奖励 R = 答案正确性 + α·证据Grounding + β·证据覆盖率 − γ·Token成本 − δ·调用次数 − ε·延迟</w:t>
      </w:r>
    </w:p>
    <w:p>
      <w:r>
        <w:rPr>
          <w:rFonts w:ascii="黑体" w:hAnsi="黑体" w:eastAsia="黑体"/>
          <w:b/>
          <w:sz w:val="22"/>
        </w:rPr>
        <w:t>3.2  五大模块化组件（可独立消融）</w:t>
      </w:r>
    </w:p>
    <w:p>
      <w:r>
        <w:rPr>
          <w:rFonts w:ascii="宋体" w:hAnsi="宋体" w:eastAsia="宋体"/>
          <w:b w:val="0"/>
          <w:sz w:val="21"/>
        </w:rPr>
        <w:t>（1）语义分区器：按章节、段落、表格、代码及实体关系进行结构感知切分，替代固定长度分块。（2）查询调度器：根据问题语义仅激活相关的工作智能体与证据片段，避免无条件广播。（3）证据图记忆：保存主张、来源span、置信度与矛盾边，支持跨轮证据追溯。（4）验证/回放控制器：当不确定性或冲突超过阈值时，触发选择性重读与交叉验证。（5）预算停止策略：基于可学习的覆盖充分性估计，在证据支撑度超过阈值时停止推理。</w:t>
      </w:r>
    </w:p>
    <w:p>
      <w:r>
        <w:rPr>
          <w:rFonts w:ascii="黑体" w:hAnsi="黑体" w:eastAsia="黑体"/>
          <w:b/>
          <w:sz w:val="22"/>
        </w:rPr>
        <w:t>3.3  核心创新：可学习的证据覆盖充分性估计</w:t>
      </w:r>
    </w:p>
    <w:p>
      <w:r>
        <w:rPr>
          <w:rFonts w:ascii="宋体" w:hAnsi="宋体" w:eastAsia="宋体"/>
          <w:b w:val="0"/>
          <w:sz w:val="21"/>
        </w:rPr>
        <w:t>本研究的核心创新在于提出可学习的覆盖充分性估计机制。传统系统的停止决策依赖于领导者的主观判断或固定轮数。本研究在POMDP状态中引入覆盖充分性变量C_t，通过GRPO训练使其与最终答案准确率建立关联。系统在输出最终答案的同时输出覆盖充分性报告，使调度决策具备可解释性。</w:t>
      </w:r>
    </w:p>
    <w:p>
      <w:r>
        <w:rPr>
          <w:rFonts w:ascii="黑体" w:hAnsi="黑体" w:eastAsia="黑体"/>
          <w:b/>
          <w:sz w:val="22"/>
        </w:rPr>
        <w:t>3.4  GRPO训练策略</w:t>
      </w:r>
    </w:p>
    <w:p>
      <w:r>
        <w:rPr>
          <w:rFonts w:ascii="宋体" w:hAnsi="宋体" w:eastAsia="宋体"/>
          <w:b w:val="0"/>
          <w:sz w:val="21"/>
        </w:rPr>
        <w:t>本研究采用Group Relative Policy Optimization（GRPO）作为训练算法。GRPO无需价值网络（Critic），避免了在无限文本状态空间中训练Critic的不稳定性；对同一问题采样多组轨迹进行组内相对比较，天然适合语言模型场景。训练中结合ARTIST的工具输出掩码技术（仅训练调用决策，不训练工具复述）与ARPO的自适应分支探索（仅在高熵状态展开多分支），提升训练效率与策略稳定性。</w:t>
      </w:r>
    </w:p>
    <w:p/>
    <w:p>
      <w:r>
        <w:rPr>
          <w:rFonts w:ascii="黑体" w:hAnsi="黑体" w:eastAsia="黑体"/>
          <w:b/>
          <w:sz w:val="24"/>
        </w:rPr>
        <w:t>4  实验计划</w:t>
      </w:r>
    </w:p>
    <w:p>
      <w:r>
        <w:rPr>
          <w:rFonts w:ascii="黑体" w:hAnsi="黑体" w:eastAsia="黑体"/>
          <w:b/>
          <w:sz w:val="22"/>
        </w:rPr>
        <w:t>4.1  数据集</w:t>
      </w:r>
    </w:p>
    <w:p>
      <w:r>
        <w:rPr>
          <w:rFonts w:ascii="宋体" w:hAnsi="宋体" w:eastAsia="宋体"/>
          <w:b w:val="0"/>
          <w:sz w:val="21"/>
        </w:rPr>
        <w:t>（1）Needle-in-a-Haystack（单跳与多跳）：控制变量下的压力测试。（2）LongBench：公共长上下文基准，检验外部有效性。（3）InfiniteBench：超长文档（100K+）测试。（4）结构化真实文档集：法律合同、金融年报、医学文献，包含表格与多模态元素，测试跨领域泛化。</w:t>
      </w:r>
    </w:p>
    <w:p>
      <w:r>
        <w:rPr>
          <w:rFonts w:ascii="黑体" w:hAnsi="黑体" w:eastAsia="黑体"/>
          <w:b/>
          <w:sz w:val="22"/>
        </w:rPr>
        <w:t>4.2  基线系统</w:t>
      </w:r>
    </w:p>
    <w:p>
      <w:r>
        <w:rPr>
          <w:rFonts w:ascii="宋体" w:hAnsi="宋体" w:eastAsia="宋体"/>
          <w:b w:val="0"/>
          <w:sz w:val="21"/>
        </w:rPr>
        <w:t>（1）LONGAGENT（星型广播，固定分块，硬编码Leader）；（2）Chain-of-Agents（顺序传递，无训练）；（3）XpandA（动态分区，选择性回放）；（4）单Agent RAG（128K上下文模型）；（5）启发式规则调度器（如仅选前K个相关chunk、预算减半时停止等人工规则）。</w:t>
      </w:r>
    </w:p>
    <w:p>
      <w:r>
        <w:rPr>
          <w:rFonts w:ascii="黑体" w:hAnsi="黑体" w:eastAsia="黑体"/>
          <w:b/>
          <w:sz w:val="22"/>
        </w:rPr>
        <w:t>4.3  消融实验设计</w:t>
      </w:r>
    </w:p>
    <w:p>
      <w:r>
        <w:rPr>
          <w:rFonts w:ascii="宋体" w:hAnsi="宋体" w:eastAsia="宋体"/>
          <w:b w:val="0"/>
          <w:sz w:val="21"/>
        </w:rPr>
        <w:t>采用阶梯式消融设计，确保每项改进均可独立验证：Base（LONGAGENT/固定分块）→ A（+自适应语义分区器）→ B（+自适应查询调度）→ C（+自适应拓扑）→ Full（+验证器+预算停止+GRPO训练）。</w:t>
      </w:r>
    </w:p>
    <w:p>
      <w:r>
        <w:rPr>
          <w:rFonts w:ascii="黑体" w:hAnsi="黑体" w:eastAsia="黑体"/>
          <w:b/>
          <w:sz w:val="22"/>
        </w:rPr>
        <w:t>4.4  评估指标</w:t>
      </w:r>
    </w:p>
    <w:p>
      <w:r>
        <w:rPr>
          <w:rFonts w:ascii="宋体" w:hAnsi="宋体" w:eastAsia="宋体"/>
          <w:b w:val="0"/>
          <w:sz w:val="21"/>
        </w:rPr>
        <w:t>效果维度：答案准确率、证据Precision/Recall、幻觉率。成本维度：总Token消耗、Worker调用次数、推理延迟、峰值内存。结构维度：拓扑稀疏度。可解释性维度：覆盖充分性估计与最终答案准确率的相关性。</w:t>
      </w:r>
    </w:p>
    <w:p>
      <w:r>
        <w:rPr>
          <w:rFonts w:ascii="黑体" w:hAnsi="黑体" w:eastAsia="黑体"/>
          <w:b/>
          <w:sz w:val="22"/>
        </w:rPr>
        <w:t>4.5  预期结果</w:t>
      </w:r>
    </w:p>
    <w:p>
      <w:r>
        <w:rPr>
          <w:rFonts w:ascii="宋体" w:hAnsi="宋体" w:eastAsia="宋体"/>
          <w:b w:val="0"/>
          <w:sz w:val="21"/>
        </w:rPr>
        <w:t>预期完整系统在保持与LONGAGENT相当或更高准确率的同时，实现30–60%的Token消耗降低、20–40%的Worker调用次数减少，并建立清晰的准确率—成本Pareto前沿。</w:t>
      </w:r>
    </w:p>
    <w:p/>
    <w:p>
      <w:r>
        <w:rPr>
          <w:rFonts w:ascii="黑体" w:hAnsi="黑体" w:eastAsia="黑体"/>
          <w:b/>
          <w:sz w:val="24"/>
        </w:rPr>
        <w:t>5  研究时间线</w:t>
      </w:r>
    </w:p>
    <w:p>
      <w:r>
        <w:rPr>
          <w:rFonts w:ascii="宋体" w:hAnsi="宋体" w:eastAsia="宋体"/>
          <w:b w:val="0"/>
          <w:sz w:val="21"/>
        </w:rPr>
        <w:t>Phase 1（第1–2周）：文献精读与基线复现。完成LONGAGENT、GRPO、ARTIST、ARPO、XpandA的论文阅读，复现LONGAGENT于Needle-in-a-Haystack。</w:t>
      </w:r>
    </w:p>
    <w:p>
      <w:r>
        <w:rPr>
          <w:rFonts w:ascii="宋体" w:hAnsi="宋体" w:eastAsia="宋体"/>
          <w:b w:val="0"/>
          <w:sz w:val="21"/>
        </w:rPr>
        <w:t>Phase 2（第3–4周）：核心调度器设计。实现语义分区器、证据图记忆、POMDP状态/动作空间定义。</w:t>
      </w:r>
    </w:p>
    <w:p>
      <w:r>
        <w:rPr>
          <w:rFonts w:ascii="宋体" w:hAnsi="宋体" w:eastAsia="宋体"/>
          <w:b w:val="0"/>
          <w:sz w:val="21"/>
        </w:rPr>
        <w:t>Phase 3（第5–6周）：GRPO训练集成。设计奖励函数，在小规模问题集上进行GRPO训练试点。</w:t>
      </w:r>
    </w:p>
    <w:p>
      <w:r>
        <w:rPr>
          <w:rFonts w:ascii="宋体" w:hAnsi="宋体" w:eastAsia="宋体"/>
          <w:b w:val="0"/>
          <w:sz w:val="21"/>
        </w:rPr>
        <w:t>Phase 4（第7–8周）：消融实验与规模化测试。运行完整消融阶梯，在LongBench及真实文档上评估。</w:t>
      </w:r>
    </w:p>
    <w:p>
      <w:r>
        <w:rPr>
          <w:rFonts w:ascii="宋体" w:hAnsi="宋体" w:eastAsia="宋体"/>
          <w:b w:val="0"/>
          <w:sz w:val="21"/>
        </w:rPr>
        <w:t>Phase 5（第9–10周）：结果分析与论文撰写。Pareto前沿分析、失败案例分析、按IMRaD结构撰写论文初稿。</w:t>
      </w:r>
    </w:p>
    <w:p>
      <w:r>
        <w:rPr>
          <w:rFonts w:ascii="宋体" w:hAnsi="宋体" w:eastAsia="宋体"/>
          <w:b w:val="0"/>
          <w:sz w:val="21"/>
        </w:rPr>
        <w:t>Phase 6（第11–12周）：修改完善与投稿。内部评审、可复现性包、投稿至EMNLP/AAAI。</w:t>
      </w:r>
    </w:p>
    <w:p/>
    <w:p>
      <w:r>
        <w:rPr>
          <w:rFonts w:ascii="黑体" w:hAnsi="黑体" w:eastAsia="黑体"/>
          <w:b/>
          <w:sz w:val="24"/>
        </w:rPr>
        <w:t>6  预期贡献</w:t>
      </w:r>
    </w:p>
    <w:p>
      <w:r>
        <w:rPr>
          <w:rFonts w:ascii="宋体" w:hAnsi="宋体" w:eastAsia="宋体"/>
          <w:b w:val="0"/>
          <w:sz w:val="21"/>
        </w:rPr>
        <w:t>（1）问题建模贡献：首次将多智能体长文档问答中的运行时调度问题统一建模为POMDP，提出预算感知的证据调度框架。</w:t>
      </w:r>
    </w:p>
    <w:p>
      <w:r>
        <w:rPr>
          <w:rFonts w:ascii="宋体" w:hAnsi="宋体" w:eastAsia="宋体"/>
          <w:b w:val="0"/>
          <w:sz w:val="21"/>
        </w:rPr>
        <w:t>（2）方法贡献：采用GRPO训练领导者调度策略，避免不稳定的价值网络估计，并结合ARTIST/ARPO技术提升训练效率与探索策略。</w:t>
      </w:r>
    </w:p>
    <w:p>
      <w:r>
        <w:rPr>
          <w:rFonts w:ascii="宋体" w:hAnsi="宋体" w:eastAsia="宋体"/>
          <w:b w:val="0"/>
          <w:sz w:val="21"/>
        </w:rPr>
        <w:t>（3）机制贡献：提出可学习的证据覆盖充分性估计，使停止决策从主观判断转变为可量化、可解释的置信度决策。</w:t>
      </w:r>
    </w:p>
    <w:p>
      <w:r>
        <w:rPr>
          <w:rFonts w:ascii="宋体" w:hAnsi="宋体" w:eastAsia="宋体"/>
          <w:b w:val="0"/>
          <w:sz w:val="21"/>
        </w:rPr>
        <w:t>（4）实验贡献：在合成基准与真实结构化文档上建立完整的准确率—成本—风险评估体系，通过消融实验验证每项机制独立贡献。</w:t>
      </w:r>
    </w:p>
    <w:p/>
    <w:p>
      <w:r>
        <w:rPr>
          <w:rFonts w:ascii="黑体" w:hAnsi="黑体" w:eastAsia="黑体"/>
          <w:b/>
          <w:sz w:val="24"/>
        </w:rPr>
        <w:t>7  核心参考文献</w:t>
      </w:r>
    </w:p>
    <w:p>
      <w:r>
        <w:rPr>
          <w:rFonts w:ascii="宋体" w:hAnsi="宋体" w:eastAsia="宋体"/>
          <w:b w:val="0"/>
          <w:sz w:val="20"/>
        </w:rPr>
        <w:t>[1] Zhao W X, et al. LONGAGENT: A Large-scale Multi-Agent Collaboration Framework for Long-context Question Answering. EMNLP 2024.</w:t>
      </w:r>
    </w:p>
    <w:p>
      <w:r>
        <w:rPr>
          <w:rFonts w:ascii="宋体" w:hAnsi="宋体" w:eastAsia="宋体"/>
          <w:b w:val="0"/>
          <w:sz w:val="20"/>
        </w:rPr>
        <w:t>[2] Shao Z, et al. DeepSeekMath: Pushing the Limits of Mathematical Reasoning in Open Language Models. arXiv:2402.03300, 2024. (GRPO)</w:t>
      </w:r>
    </w:p>
    <w:p>
      <w:r>
        <w:rPr>
          <w:rFonts w:ascii="宋体" w:hAnsi="宋体" w:eastAsia="宋体"/>
          <w:b w:val="0"/>
          <w:sz w:val="20"/>
        </w:rPr>
        <w:t>[3] ARTIST: Agent Reasoning and Tool-use with GRPO. 2025.</w:t>
      </w:r>
    </w:p>
    <w:p>
      <w:r>
        <w:rPr>
          <w:rFonts w:ascii="宋体" w:hAnsi="宋体" w:eastAsia="宋体"/>
          <w:b w:val="0"/>
          <w:sz w:val="20"/>
        </w:rPr>
        <w:t>[4] ARPO: Adaptive Rollout Policy Optimization. 2025.</w:t>
      </w:r>
    </w:p>
    <w:p>
      <w:r>
        <w:rPr>
          <w:rFonts w:ascii="宋体" w:hAnsi="宋体" w:eastAsia="宋体"/>
          <w:b w:val="0"/>
          <w:sz w:val="20"/>
        </w:rPr>
        <w:t>[5] XpandA: Dynamic Partitioning and Selective Replay for Long-context Agents. 2025.</w:t>
      </w:r>
    </w:p>
    <w:p>
      <w:r>
        <w:rPr>
          <w:rFonts w:ascii="宋体" w:hAnsi="宋体" w:eastAsia="宋体"/>
          <w:b w:val="0"/>
          <w:sz w:val="20"/>
        </w:rPr>
        <w:t>[6] Tree of Agents / Graph of Agents. 2025.</w:t>
      </w:r>
    </w:p>
    <w:p>
      <w:r>
        <w:rPr>
          <w:rFonts w:ascii="宋体" w:hAnsi="宋体" w:eastAsia="宋体"/>
          <w:b w:val="0"/>
          <w:sz w:val="20"/>
        </w:rPr>
        <w:t>[7] DyLAN: Dynamic LLM-Agent Network. 2024.</w:t>
      </w:r>
    </w:p>
    <w:p>
      <w:r>
        <w:rPr>
          <w:rFonts w:ascii="宋体" w:hAnsi="宋体" w:eastAsia="宋体"/>
          <w:b w:val="0"/>
          <w:sz w:val="20"/>
        </w:rPr>
        <w:t>[8] MaAS: Mixture of Agents as a Service. 2025.</w:t>
      </w:r>
    </w:p>
    <w:p>
      <w:r>
        <w:rPr>
          <w:rFonts w:ascii="宋体" w:hAnsi="宋体" w:eastAsia="宋体"/>
          <w:b w:val="0"/>
          <w:sz w:val="20"/>
        </w:rPr>
        <w:t>[9] MemAgent / MEM1: Bounded Learnable Memory for Long-context Systems. 2024–2025.</w:t>
      </w:r>
    </w:p>
    <w:p>
      <w:r>
        <w:rPr>
          <w:rFonts w:ascii="宋体" w:hAnsi="宋体" w:eastAsia="宋体"/>
          <w:b w:val="0"/>
          <w:sz w:val="20"/>
        </w:rPr>
        <w:t>[10] GPTSwarm / ADAS / AFlow: Offline Workflow Search for Agent Systems. 2024–2025.</w:t>
      </w:r>
    </w:p>
    <w:p>
      <w:r>
        <w:rPr>
          <w:rFonts w:ascii="宋体" w:hAnsi="宋体" w:eastAsia="宋体"/>
          <w:b w:val="0"/>
          <w:sz w:val="20"/>
        </w:rPr>
        <w:t>[11] Bai Y, et al. LongBench: A Bilingual, Multitask Benchmark for Long Context Understanding. ACL 2024.</w:t>
      </w:r>
    </w:p>
    <w:p>
      <w:r>
        <w:rPr>
          <w:rFonts w:ascii="宋体" w:hAnsi="宋体" w:eastAsia="宋体"/>
          <w:b w:val="0"/>
          <w:sz w:val="20"/>
        </w:rPr>
        <w:t>[12] Zhang P, et al. InfiniteBench: Extending Long Context Evaluation Beyond 100K Tokens. ACL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