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>
          <w:sz w:val="22"/>
          <w:szCs w:val="22"/>
        </w:rPr>
      </w:pPr>
      <w:r>
        <w:rPr>
          <w:rFonts w:eastAsia="Times New Roman" w:cs="Calibri" w:ascii="Calibri" w:hAnsi="Calibri"/>
          <w:color w:val="auto"/>
          <w:sz w:val="22"/>
          <w:szCs w:val="22"/>
          <w:lang w:val="pt-BR" w:eastAsia="pt-BR" w:bidi="ar-SA"/>
        </w:rPr>
        <w:t>Piracicaba, {{dia}} de {{mes}} de {{ano}}</w:t>
      </w:r>
      <w:r>
        <w:rPr>
          <w:rFonts w:cs="Calibri" w:ascii="Calibri" w:hAnsi="Calibri"/>
          <w:sz w:val="22"/>
          <w:szCs w:val="22"/>
        </w:rPr>
        <w:t>.</w:t>
      </w:r>
    </w:p>
    <w:p>
      <w:pPr>
        <w:pStyle w:val="Normal"/>
        <w:spacing w:lineRule="auto" w:line="240" w:before="0" w:after="0"/>
        <w:ind w:hanging="0" w:right="0"/>
        <w:jc w:val="both"/>
        <w:rPr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Ilmo(a) Senhor(a):</w:t>
      </w:r>
    </w:p>
    <w:p>
      <w:pPr>
        <w:pStyle w:val="Normal"/>
        <w:spacing w:lineRule="auto" w:line="240" w:before="0" w:after="0"/>
        <w:ind w:hanging="0" w:right="0"/>
        <w:jc w:val="both"/>
        <w:rPr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{{nome_cap}}</w:t>
      </w:r>
    </w:p>
    <w:p>
      <w:pPr>
        <w:pStyle w:val="Normal"/>
        <w:spacing w:lineRule="auto" w:line="240" w:before="0" w:after="0"/>
        <w:ind w:hanging="0" w:right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widowControl/>
        <w:suppressAutoHyphens w:val="false"/>
        <w:bidi w:val="0"/>
        <w:ind w:right="0"/>
        <w:jc w:val="both"/>
        <w:rPr>
          <w:sz w:val="22"/>
          <w:szCs w:val="22"/>
        </w:rPr>
      </w:pPr>
      <w:r>
        <w:rPr>
          <w:rFonts w:cs="Calibri" w:ascii="Calibri" w:hAnsi="Calibri"/>
          <w:b/>
          <w:i w:val="false"/>
          <w:iCs w:val="false"/>
          <w:sz w:val="22"/>
          <w:szCs w:val="22"/>
        </w:rPr>
        <w:t xml:space="preserve">Assunto: 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2"/>
          <w:szCs w:val="22"/>
          <w:lang w:val="pt-BR" w:eastAsia="zh-CN" w:bidi="ar-SA"/>
        </w:rPr>
        <w:t>Cancelamento do Plano de Saúde</w:t>
      </w:r>
    </w:p>
    <w:p>
      <w:pPr>
        <w:pStyle w:val="Normal"/>
        <w:tabs>
          <w:tab w:val="clear" w:pos="708"/>
          <w:tab w:val="left" w:pos="8080" w:leader="none"/>
        </w:tabs>
        <w:ind w:right="-425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cs="Calibri" w:ascii="Calibri" w:hAnsi="Calibri"/>
          <w:i/>
          <w:sz w:val="22"/>
          <w:szCs w:val="22"/>
        </w:rPr>
      </w:r>
    </w:p>
    <w:p>
      <w:pPr>
        <w:pStyle w:val="Normal"/>
        <w:widowControl/>
        <w:bidi w:val="0"/>
        <w:spacing w:lineRule="auto" w:line="240" w:before="0" w:after="57"/>
        <w:ind w:hanging="0" w:left="0" w:right="0"/>
        <w:jc w:val="both"/>
        <w:rPr>
          <w:rFonts w:ascii="Calibri" w:hAnsi="Calibri" w:eastAsia="Times New Roman" w:cs="Calibri"/>
          <w:b w:val="false"/>
          <w:bCs w:val="false"/>
          <w:color w:val="auto"/>
          <w:sz w:val="22"/>
          <w:szCs w:val="22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color w:val="auto"/>
          <w:sz w:val="22"/>
          <w:szCs w:val="22"/>
          <w:lang w:val="pt-BR" w:eastAsia="zh-CN" w:bidi="ar-SA"/>
        </w:rPr>
        <w:t>Pelo presente, comunicamos que, em razão de guias em aberto referentes ao Plano de Saúde dos Servidores Públicos de Piracicaba, será realizado o cancelamento do benefício a partir do dia {{ultimo_dia_util}} de {{mes}} de {{ano}}.</w:t>
      </w:r>
    </w:p>
    <w:p>
      <w:pPr>
        <w:pStyle w:val="Normal"/>
        <w:widowControl/>
        <w:bidi w:val="0"/>
        <w:spacing w:lineRule="auto" w:line="240" w:before="0" w:after="57"/>
        <w:ind w:firstLine="1417" w:right="0"/>
        <w:jc w:val="both"/>
        <w:rPr>
          <w:rFonts w:ascii="Calibri" w:hAnsi="Calibri" w:eastAsia="Times New Roman" w:cs="Calibri"/>
          <w:b w:val="false"/>
          <w:bCs w:val="false"/>
          <w:color w:val="auto"/>
          <w:sz w:val="22"/>
          <w:szCs w:val="22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color w:val="auto"/>
          <w:sz w:val="22"/>
          <w:szCs w:val="22"/>
          <w:lang w:val="pt-BR" w:eastAsia="zh-CN" w:bidi="ar-SA"/>
        </w:rPr>
      </w:r>
    </w:p>
    <w:p>
      <w:pPr>
        <w:pStyle w:val="Normal"/>
        <w:widowControl/>
        <w:bidi w:val="0"/>
        <w:spacing w:lineRule="auto" w:line="240" w:before="0" w:after="57"/>
        <w:ind w:firstLine="1417" w:right="0"/>
        <w:jc w:val="both"/>
        <w:rPr>
          <w:rFonts w:ascii="Calibri" w:hAnsi="Calibri" w:eastAsia="Times New Roman" w:cs="Calibri"/>
          <w:b w:val="false"/>
          <w:bCs w:val="false"/>
          <w:color w:val="auto"/>
          <w:sz w:val="22"/>
          <w:szCs w:val="22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color w:val="auto"/>
          <w:sz w:val="22"/>
          <w:szCs w:val="22"/>
          <w:lang w:val="pt-BR" w:eastAsia="zh-CN" w:bidi="ar-SA"/>
        </w:rPr>
        <w:t>Informamos que, até a efetiva data de cancelamento, o plano permanecerá ativo, sendo devido o pagamento da última mensalidade, bem como de eventuais valores de coparticipação, caso tenha havido utilização dos serviços no período.</w:t>
      </w:r>
    </w:p>
    <w:p>
      <w:pPr>
        <w:pStyle w:val="Normal"/>
        <w:widowControl/>
        <w:bidi w:val="0"/>
        <w:spacing w:lineRule="auto" w:line="240" w:before="0" w:after="57"/>
        <w:ind w:firstLine="1417" w:righ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widowControl/>
        <w:bidi w:val="0"/>
        <w:spacing w:lineRule="auto" w:line="240" w:before="0" w:after="57"/>
        <w:ind w:firstLine="1417" w:righ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Esclarecemos, ainda, que anteriormente já foram realizadas tentativas de contato para regularização dos débitos, por meio de envio de e-mails e correspondências, sem que houvesse a devida quitação até o presente momento. Constam, até a presente data, os seguintes débitos em aberto:</w:t>
      </w:r>
    </w:p>
    <w:tbl>
      <w:tblPr>
        <w:tblW w:w="8838" w:type="dxa"/>
        <w:jc w:val="left"/>
        <w:tblInd w:w="-51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467"/>
        <w:gridCol w:w="2100"/>
        <w:gridCol w:w="1749"/>
        <w:gridCol w:w="1765"/>
        <w:gridCol w:w="1757"/>
      </w:tblGrid>
      <w:tr>
        <w:trPr/>
        <w:tc>
          <w:tcPr>
            <w:tcW w:w="1467" w:type="dxa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Competência</w:t>
            </w:r>
          </w:p>
        </w:tc>
        <w:tc>
          <w:tcPr>
            <w:tcW w:w="2100" w:type="dxa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Vencimento</w:t>
            </w:r>
          </w:p>
        </w:tc>
        <w:tc>
          <w:tcPr>
            <w:tcW w:w="1749" w:type="dxa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Principal</w:t>
            </w:r>
          </w:p>
        </w:tc>
        <w:tc>
          <w:tcPr>
            <w:tcW w:w="1765" w:type="dxa"/>
            <w:tcBorders>
              <w:top w:val="single" w:sz="6" w:space="0" w:color="000000"/>
              <w:bottom w:val="single" w:sz="6" w:space="0" w:color="B2B2B2"/>
              <w:right w:val="single" w:sz="6" w:space="0" w:color="B2B2B2"/>
            </w:tcBorders>
            <w:shd w:fill="CCCCCC" w:val="clear"/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Encargos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fill="CCCCCC" w:val="clear"/>
          </w:tcPr>
          <w:p>
            <w:pPr>
              <w:pStyle w:val="Contedodatabela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Total</w:t>
            </w:r>
          </w:p>
        </w:tc>
      </w:tr>
      <w:tr>
        <w:trPr>
          <w:trHeight w:val="333" w:hRule="atLeast"/>
        </w:trPr>
        <w:tc>
          <w:tcPr>
            <w:tcW w:w="1467" w:type="dxa"/>
            <w:tcBorders>
              <w:left w:val="single" w:sz="6" w:space="0" w:color="000000"/>
              <w:bottom w:val="single" w:sz="6" w:space="0" w:color="B2B2B2"/>
              <w:right w:val="single" w:sz="6" w:space="0" w:color="B2B2B2"/>
            </w:tcBorders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{% for item in tabela%}{{item.competencia}}</w:t>
            </w:r>
          </w:p>
        </w:tc>
        <w:tc>
          <w:tcPr>
            <w:tcW w:w="2100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{{item.vencimento}}</w:t>
            </w:r>
          </w:p>
        </w:tc>
        <w:tc>
          <w:tcPr>
            <w:tcW w:w="1749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{{item.principal}}</w:t>
            </w:r>
          </w:p>
        </w:tc>
        <w:tc>
          <w:tcPr>
            <w:tcW w:w="1765" w:type="dxa"/>
            <w:tcBorders>
              <w:bottom w:val="single" w:sz="6" w:space="0" w:color="B2B2B2"/>
              <w:right w:val="single" w:sz="6" w:space="0" w:color="B2B2B2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/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{{item.encargos}}</w:t>
            </w:r>
          </w:p>
        </w:tc>
        <w:tc>
          <w:tcPr>
            <w:tcW w:w="1757" w:type="dxa"/>
            <w:tcBorders>
              <w:left w:val="single" w:sz="6" w:space="0" w:color="B2B2B2"/>
              <w:bottom w:val="single" w:sz="6" w:space="0" w:color="B2B2B2"/>
              <w:right w:val="single" w:sz="6" w:space="0" w:color="000000"/>
            </w:tcBorders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cs="Calibri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{{item.total}}</w:t>
            </w:r>
          </w:p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/>
            </w:r>
          </w:p>
        </w:tc>
      </w:tr>
      <w:tr>
        <w:trPr>
          <w:trHeight w:val="117" w:hRule="atLeast"/>
        </w:trPr>
        <w:tc>
          <w:tcPr>
            <w:tcW w:w="1467" w:type="dxa"/>
            <w:tcBorders>
              <w:top w:val="double" w:sz="2" w:space="0" w:color="000000"/>
              <w:left w:val="single" w:sz="6" w:space="0" w:color="000000"/>
              <w:bottom w:val="single" w:sz="6" w:space="0" w:color="000000"/>
              <w:right w:val="single" w:sz="6" w:space="0" w:color="B2B2B2"/>
            </w:tcBorders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{% endfor %}</w:t>
            </w:r>
          </w:p>
        </w:tc>
        <w:tc>
          <w:tcPr>
            <w:tcW w:w="2100" w:type="dxa"/>
            <w:tcBorders>
              <w:top w:val="double" w:sz="2" w:space="0" w:color="000000"/>
              <w:bottom w:val="single" w:sz="6" w:space="0" w:color="000000"/>
              <w:right w:val="single" w:sz="6" w:space="0" w:color="B2B2B2"/>
            </w:tcBorders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49" w:type="dxa"/>
            <w:tcBorders>
              <w:top w:val="double" w:sz="2" w:space="0" w:color="000000"/>
              <w:bottom w:val="single" w:sz="6" w:space="0" w:color="000000"/>
              <w:right w:val="single" w:sz="6" w:space="0" w:color="B2B2B2"/>
            </w:tcBorders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65" w:type="dxa"/>
            <w:tcBorders>
              <w:top w:val="double" w:sz="2" w:space="0" w:color="000000"/>
              <w:bottom w:val="single" w:sz="6" w:space="0" w:color="000000"/>
              <w:right w:val="single" w:sz="6" w:space="0" w:color="B2B2B2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757" w:type="dxa"/>
            <w:tcBorders>
              <w:top w:val="double" w:sz="2" w:space="0" w:color="000000"/>
              <w:left w:val="single" w:sz="6" w:space="0" w:color="B2B2B2"/>
              <w:bottom w:val="single" w:sz="6" w:space="0" w:color="000000"/>
              <w:right w:val="single" w:sz="6" w:space="0" w:color="000000"/>
            </w:tcBorders>
          </w:tcPr>
          <w:p>
            <w:pPr>
              <w:pStyle w:val="Contedodatabelauser"/>
              <w:spacing w:lineRule="auto" w:line="240" w:before="0" w:after="0"/>
              <w:ind w:right="0"/>
              <w:contextualSpacing/>
              <w:jc w:val="center"/>
              <w:rPr>
                <w:rFonts w:ascii="Liberation Serif" w:hAnsi="Liberation Serif" w:cs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Calibri"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before="0" w:after="57"/>
        <w:ind w:firstLine="1417" w:righ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before="0" w:after="57"/>
        <w:ind w:firstLine="1417" w:right="0"/>
        <w:jc w:val="both"/>
        <w:rPr>
          <w:rFonts w:ascii="Calibri" w:hAnsi="Calibri"/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  <w:t xml:space="preserve">Ressaltamos que os valores devidos estão sujeitos à atualização monetária e acréscimos legais até a data da efetiva quitação. 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before="0" w:after="57"/>
        <w:ind w:firstLine="1417" w:right="0"/>
        <w:jc w:val="both"/>
        <w:rPr>
          <w:rFonts w:ascii="Calibri" w:hAnsi="Calibri" w:eastAsia="Times New Roman" w:cs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  <w:t>Esclarecemos que o não pagamento dos débitos poderá ensejar a inscrição em dívida ativa, nos termos do § 4º do art. 2º e do art. 5º da Lei nº 9.988, de 14 de novembro de 2023, mesmo após o cancelamento do plano de saúde. Em caso de dúvidas, solicitamos entrar em contato com o Departamento de Recursos Humanos da Prefeitura de Piracicaba, pelo telefone (19) 3403-1006, até o dia {{dia_limite}} de {{mes}}, prazo máximo e improrrogável, para negociação visando evitar o cancelamento do plano.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before="0" w:after="57"/>
        <w:ind w:firstLine="1417" w:right="0"/>
        <w:jc w:val="both"/>
        <w:rPr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  <w:t>Atenciosamente,</w:t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JOSIEL WILLIAM PAES RODRIGUES</w:t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Chefe de Setor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  <w:u w:val="single"/>
        </w:rPr>
        <w:t>V I S T O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2"/>
          <w:szCs w:val="22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 xml:space="preserve"> PAULO SÉRGIO MILANEZ FILHO</w:t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ab/>
        <w:t>Gestor de Unidade</w:t>
      </w:r>
    </w:p>
    <w:p>
      <w:pPr>
        <w:pStyle w:val="Normal"/>
        <w:ind w:firstLine="709" w:right="113"/>
        <w:jc w:val="both"/>
        <w:rPr>
          <w:rFonts w:ascii="Calibri" w:hAnsi="Calibri" w:cs="Calibri"/>
          <w:b w:val="false"/>
          <w:bCs w:val="false"/>
          <w:sz w:val="22"/>
          <w:szCs w:val="22"/>
        </w:rPr>
      </w:pPr>
      <w:r>
        <w:rPr>
          <w:rFonts w:cs="Calibri" w:ascii="Calibri" w:hAnsi="Calibri"/>
          <w:b w:val="false"/>
          <w:bCs w:val="false"/>
          <w:sz w:val="22"/>
          <w:szCs w:val="22"/>
        </w:rPr>
      </w:r>
    </w:p>
    <w:p>
      <w:pPr>
        <w:pStyle w:val="Heading7"/>
        <w:numPr>
          <w:ilvl w:val="0"/>
          <w:numId w:val="0"/>
        </w:numPr>
        <w:ind w:hanging="0" w:left="0" w:right="-425"/>
        <w:rPr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2"/>
          <w:szCs w:val="22"/>
          <w:shd w:fill="auto" w:val="clear"/>
          <w:lang w:val="pt-BR" w:eastAsia="zh-CN" w:bidi="ar-SA"/>
        </w:rPr>
        <w:t>{{nome_upper}}</w:t>
      </w:r>
    </w:p>
    <w:p>
      <w:pPr>
        <w:pStyle w:val="Normal"/>
        <w:numPr>
          <w:ilvl w:val="0"/>
          <w:numId w:val="0"/>
        </w:numPr>
        <w:ind w:hanging="0" w:left="0" w:right="-425"/>
        <w:rPr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2"/>
          <w:szCs w:val="22"/>
          <w:shd w:fill="auto" w:val="clear"/>
          <w:lang w:val="pt-BR" w:eastAsia="zh-CN" w:bidi="ar-SA"/>
        </w:rPr>
        <w:t>{{linha_endereco}}</w:t>
      </w:r>
    </w:p>
    <w:p>
      <w:pPr>
        <w:pStyle w:val="Normal"/>
        <w:numPr>
          <w:ilvl w:val="0"/>
          <w:numId w:val="0"/>
        </w:numPr>
        <w:ind w:hanging="0" w:left="0" w:right="-425"/>
        <w:rPr>
          <w:sz w:val="22"/>
          <w:szCs w:val="22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2"/>
          <w:szCs w:val="22"/>
          <w:shd w:fill="auto" w:val="clear"/>
          <w:lang w:val="pt-BR" w:eastAsia="zh-CN" w:bidi="ar-SA"/>
        </w:rPr>
        <w:t>CEP: {{CEP}} – {{cidade}} – {{uf}}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18" w:gutter="0" w:header="567" w:top="2442" w:footer="414" w:bottom="68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Bookman Old Style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atang">
    <w:altName w:val="바탕"/>
    <w:charset w:val="00"/>
    <w:family w:val="roman"/>
    <w:pitch w:val="variable"/>
  </w:font>
  <w:font w:name="Calibri">
    <w:charset w:val="00"/>
    <w:family w:val="swiss"/>
    <w:pitch w:val="variable"/>
  </w:font>
  <w:font w:name="Book Antiqu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10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3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10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4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3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5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ourier New" w:hAnsi="Courier New" w:cs="Courier New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ourier New" w:hAnsi="Courier New" w:cs="Courier New"/>
      <w:b/>
      <w:i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Courier New" w:hAnsi="Courier New" w:cs="Courier New"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sz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  <w:i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i/>
      <w:sz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Bookman Old Style" w:hAnsi="Bookman Old Style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6z0">
    <w:name w:val="WW8Num36z0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Wingdings" w:hAnsi="Wingdings" w:cs="Wingdings"/>
    </w:rPr>
  </w:style>
  <w:style w:type="character" w:styleId="WW8Num40z0">
    <w:name w:val="WW8Num40z0"/>
    <w:qFormat/>
    <w:rPr>
      <w:rFonts w:ascii="Wingdings" w:hAnsi="Wingdings" w:cs="Wingdings"/>
    </w:rPr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ascii="Wingdings" w:hAnsi="Wingdings" w:cs="Wingdings"/>
    </w:rPr>
  </w:style>
  <w:style w:type="character" w:styleId="WW8Num43z0">
    <w:name w:val="WW8Num43z0"/>
    <w:qFormat/>
    <w:rPr>
      <w:rFonts w:ascii="Bookman Old Style" w:hAnsi="Bookman Old Style" w:eastAsia="Times New Roman" w:cs="Times New Roman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Wingdings" w:hAnsi="Wingdings" w:cs="Wingdings"/>
    </w:rPr>
  </w:style>
  <w:style w:type="character" w:styleId="WW8Num45z0">
    <w:name w:val="WW8Num45z0"/>
    <w:qFormat/>
    <w:rPr>
      <w:rFonts w:ascii="Wingdings" w:hAnsi="Wingdings" w:cs="Wingdings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3">
    <w:name w:val="WW8Num45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Mang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ndiceremissivo">
    <w:name w:val="Índice remissivo"/>
    <w:basedOn w:val="Normal"/>
    <w:qFormat/>
    <w:pPr>
      <w:suppressLineNumbers/>
    </w:pPr>
    <w:rPr>
      <w:rFonts w:cs="Mang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">
    <w:name w:val="Cabeçalho e rodapé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3">
    <w:name w:val="Cabeçalho e rodapé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4">
    <w:name w:val="Cabeçalho e rodapé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5">
    <w:name w:val="Cabeçalho e rodapé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6">
    <w:name w:val="Cabeçalho e rodapé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Cabealhoerodap15">
    <w:name w:val="Cabeçalho e rodapé1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6">
    <w:name w:val="Cabeçalho e rodapé1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7">
    <w:name w:val="Cabeçalho e rodapé17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8">
    <w:name w:val="Cabeçalho e rodapé18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9">
    <w:name w:val="Cabeçalho e rodapé19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0">
    <w:name w:val="Cabeçalho e rodapé20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1">
    <w:name w:val="Cabeçalho e rodapé2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2">
    <w:name w:val="Cabeçalho e rodapé2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3">
    <w:name w:val="Cabeçalho e rodapé2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4">
    <w:name w:val="Cabeçalho e rodapé2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5">
    <w:name w:val="Cabeçalho e rodapé25"/>
    <w:basedOn w:val="Normal"/>
    <w:qFormat/>
    <w:pPr/>
    <w:rPr/>
  </w:style>
  <w:style w:type="paragraph" w:styleId="Cabealhoerodap26">
    <w:name w:val="Cabeçalho e rodapé26"/>
    <w:basedOn w:val="Normal"/>
    <w:qFormat/>
    <w:pPr/>
    <w:rPr/>
  </w:style>
  <w:style w:type="paragraph" w:styleId="Cabealhoerodap27">
    <w:name w:val="Cabeçalho e rodapé27"/>
    <w:basedOn w:val="Normal"/>
    <w:qFormat/>
    <w:pPr/>
    <w:rPr/>
  </w:style>
  <w:style w:type="paragraph" w:styleId="Cabealhoerodap28">
    <w:name w:val="Cabeçalho e rodapé28"/>
    <w:basedOn w:val="Normal"/>
    <w:qFormat/>
    <w:pPr/>
    <w:rPr/>
  </w:style>
  <w:style w:type="paragraph" w:styleId="Cabealhoerodap29">
    <w:name w:val="Cabeçalho e rodapé29"/>
    <w:basedOn w:val="Normal"/>
    <w:qFormat/>
    <w:pPr/>
    <w:rPr/>
  </w:style>
  <w:style w:type="paragraph" w:styleId="Cabealhoerodap30">
    <w:name w:val="Cabeçalho e rodapé30"/>
    <w:basedOn w:val="Normal"/>
    <w:qFormat/>
    <w:pPr/>
    <w:rPr/>
  </w:style>
  <w:style w:type="paragraph" w:styleId="Cabealhoerodap31">
    <w:name w:val="Cabeçalho e rodapé31"/>
    <w:basedOn w:val="Normal"/>
    <w:qFormat/>
    <w:pPr/>
    <w:rPr/>
  </w:style>
  <w:style w:type="paragraph" w:styleId="Cabealhoerodap32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7">
    <w:name w:val="Cabeçalho e rodapé47"/>
    <w:basedOn w:val="Normal"/>
    <w:qFormat/>
    <w:pPr/>
    <w:rPr/>
  </w:style>
  <w:style w:type="paragraph" w:styleId="Cabealhoerodap48">
    <w:name w:val="Cabeçalho e rodapé48"/>
    <w:basedOn w:val="Normal"/>
    <w:qFormat/>
    <w:pPr/>
    <w:rPr/>
  </w:style>
  <w:style w:type="paragraph" w:styleId="Cabealhoerodap49">
    <w:name w:val="Cabeçalho e rodapé49"/>
    <w:basedOn w:val="Normal"/>
    <w:qFormat/>
    <w:pPr/>
    <w:rPr/>
  </w:style>
  <w:style w:type="paragraph" w:styleId="Cabealhoerodap50">
    <w:name w:val="Cabeçalho e rodapé50"/>
    <w:basedOn w:val="Normal"/>
    <w:qFormat/>
    <w:pPr/>
    <w:rPr/>
  </w:style>
  <w:style w:type="paragraph" w:styleId="Cabealhoerodap51">
    <w:name w:val="Cabeçalho e rodapé51"/>
    <w:basedOn w:val="Normal"/>
    <w:qFormat/>
    <w:pPr/>
    <w:rPr/>
  </w:style>
  <w:style w:type="paragraph" w:styleId="Cabealhoerodap52">
    <w:name w:val="Cabeçalho e rodapé52"/>
    <w:basedOn w:val="Normal"/>
    <w:qFormat/>
    <w:pPr/>
    <w:rPr/>
  </w:style>
  <w:style w:type="paragraph" w:styleId="Cabealhoerodap53">
    <w:name w:val="Cabeçalho e rodapé53"/>
    <w:basedOn w:val="Normal"/>
    <w:qFormat/>
    <w:pPr/>
    <w:rPr/>
  </w:style>
  <w:style w:type="paragraph" w:styleId="Cabealhoerodap54">
    <w:name w:val="Cabeçalho e rodapé54"/>
    <w:basedOn w:val="Normal"/>
    <w:qFormat/>
    <w:pPr/>
    <w:rPr/>
  </w:style>
  <w:style w:type="paragraph" w:styleId="Cabealhoerodap55">
    <w:name w:val="Cabeçalho e rodapé55"/>
    <w:basedOn w:val="Normal"/>
    <w:qFormat/>
    <w:pPr/>
    <w:rPr/>
  </w:style>
  <w:style w:type="paragraph" w:styleId="Cabealhoerodap56">
    <w:name w:val="Cabeçalho e rodapé56"/>
    <w:basedOn w:val="Normal"/>
    <w:qFormat/>
    <w:pPr/>
    <w:rPr/>
  </w:style>
  <w:style w:type="paragraph" w:styleId="Cabealhoerodap57">
    <w:name w:val="Cabeçalho e rodapé57"/>
    <w:basedOn w:val="Normal"/>
    <w:qFormat/>
    <w:pPr/>
    <w:rPr/>
  </w:style>
  <w:style w:type="paragraph" w:styleId="Cabealhoerodap58">
    <w:name w:val="Cabeçalho e rodapé58"/>
    <w:basedOn w:val="Normal"/>
    <w:qFormat/>
    <w:pPr/>
    <w:rPr/>
  </w:style>
  <w:style w:type="paragraph" w:styleId="Cabealhoerodap59">
    <w:name w:val="Cabeçalho e rodapé59"/>
    <w:basedOn w:val="Normal"/>
    <w:qFormat/>
    <w:pPr/>
    <w:rPr/>
  </w:style>
  <w:style w:type="paragraph" w:styleId="Cabealhoerodap60">
    <w:name w:val="Cabeçalho e rodapé60"/>
    <w:basedOn w:val="Normal"/>
    <w:qFormat/>
    <w:pPr/>
    <w:rPr/>
  </w:style>
  <w:style w:type="paragraph" w:styleId="Cabealhoerodap61">
    <w:name w:val="Cabeçalho e rodapé61"/>
    <w:basedOn w:val="Normal"/>
    <w:qFormat/>
    <w:pPr/>
    <w:rPr/>
  </w:style>
  <w:style w:type="paragraph" w:styleId="Cabealhoerodap62">
    <w:name w:val="Cabeçalho e rodapé62"/>
    <w:basedOn w:val="Normal"/>
    <w:qFormat/>
    <w:pPr/>
    <w:rPr/>
  </w:style>
  <w:style w:type="paragraph" w:styleId="Cabealhoerodap63">
    <w:name w:val="Cabeçalho e rodapé63"/>
    <w:basedOn w:val="Normal"/>
    <w:qFormat/>
    <w:pPr/>
    <w:rPr/>
  </w:style>
  <w:style w:type="paragraph" w:styleId="Cabealhoerodap64">
    <w:name w:val="Cabeçalho e rodapé64"/>
    <w:basedOn w:val="Normal"/>
    <w:qFormat/>
    <w:pPr/>
    <w:rPr/>
  </w:style>
  <w:style w:type="paragraph" w:styleId="Cabealhoerodap65">
    <w:name w:val="Cabeçalho e rodapé65"/>
    <w:basedOn w:val="Normal"/>
    <w:qFormat/>
    <w:pPr/>
    <w:rPr/>
  </w:style>
  <w:style w:type="paragraph" w:styleId="Cabealhoerodap66">
    <w:name w:val="Cabeçalho e rodapé66"/>
    <w:basedOn w:val="Normal"/>
    <w:qFormat/>
    <w:pPr/>
    <w:rPr/>
  </w:style>
  <w:style w:type="paragraph" w:styleId="Cabealhoerodap67">
    <w:name w:val="Cabeçalho e rodapé67"/>
    <w:basedOn w:val="Normal"/>
    <w:qFormat/>
    <w:pPr/>
    <w:rPr/>
  </w:style>
  <w:style w:type="paragraph" w:styleId="Cabealhoerodap68">
    <w:name w:val="Cabeçalho e rodapé68"/>
    <w:basedOn w:val="Normal"/>
    <w:qFormat/>
    <w:pPr/>
    <w:rPr/>
  </w:style>
  <w:style w:type="paragraph" w:styleId="Cabealhoerodap69">
    <w:name w:val="Cabeçalho e rodapé69"/>
    <w:basedOn w:val="Normal"/>
    <w:qFormat/>
    <w:pPr/>
    <w:rPr/>
  </w:style>
  <w:style w:type="paragraph" w:styleId="Cabealhoerodap70">
    <w:name w:val="Cabeçalho e rodapé70"/>
    <w:basedOn w:val="Normal"/>
    <w:qFormat/>
    <w:pPr/>
    <w:rPr/>
  </w:style>
  <w:style w:type="paragraph" w:styleId="Cabealhoerodap71">
    <w:name w:val="Cabeçalho e rodapé71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1">
    <w:name w:val="Corpo de texto 21"/>
    <w:basedOn w:val="Normal"/>
    <w:qFormat/>
    <w:pPr>
      <w:jc w:val="both"/>
    </w:pPr>
    <w:rPr>
      <w:rFonts w:ascii="Courier New" w:hAnsi="Courier New" w:cs="Courier New"/>
      <w:i/>
      <w:sz w:val="24"/>
    </w:rPr>
  </w:style>
  <w:style w:type="paragraph" w:styleId="BodyTextIndent">
    <w:name w:val="Body Text Indent"/>
    <w:basedOn w:val="Normal"/>
    <w:pPr>
      <w:ind w:firstLine="1843" w:left="0" w:right="0"/>
      <w:jc w:val="both"/>
    </w:pPr>
    <w:rPr/>
  </w:style>
  <w:style w:type="paragraph" w:styleId="Recuodecorpodetexto21">
    <w:name w:val="Recuo de corpo de texto 21"/>
    <w:basedOn w:val="Normal"/>
    <w:qFormat/>
    <w:pPr>
      <w:spacing w:lineRule="auto" w:line="360"/>
      <w:ind w:firstLine="2832" w:left="0" w:right="0"/>
      <w:jc w:val="both"/>
    </w:pPr>
    <w:rPr>
      <w:sz w:val="28"/>
    </w:rPr>
  </w:style>
  <w:style w:type="paragraph" w:styleId="Corpodetexto31">
    <w:name w:val="Corpo de texto 31"/>
    <w:basedOn w:val="Normal"/>
    <w:qFormat/>
    <w:pPr>
      <w:spacing w:lineRule="auto" w:line="360"/>
      <w:jc w:val="both"/>
    </w:pPr>
    <w:rPr>
      <w:sz w:val="28"/>
    </w:rPr>
  </w:style>
  <w:style w:type="paragraph" w:styleId="Recuodecorpodetexto31">
    <w:name w:val="Recuo de corpo de texto 31"/>
    <w:basedOn w:val="Normal"/>
    <w:qFormat/>
    <w:pPr>
      <w:ind w:hanging="0" w:left="426" w:right="0"/>
    </w:pPr>
    <w:rPr>
      <w:rFonts w:ascii="Bookman Old Style" w:hAnsi="Bookman Old Style" w:cs="Bookman Old Style"/>
      <w:sz w:val="24"/>
    </w:rPr>
  </w:style>
  <w:style w:type="paragraph" w:styleId="Tpico">
    <w:name w:val="Tópico"/>
    <w:basedOn w:val="Normal"/>
    <w:next w:val="Subtitle"/>
    <w:qFormat/>
    <w:pPr>
      <w:jc w:val="center"/>
    </w:pPr>
    <w:rPr>
      <w:rFonts w:ascii="Batang;바탕" w:hAnsi="Batang;바탕" w:eastAsia="Batang;바탕" w:cs="Batang;바탕"/>
      <w:b/>
      <w:bCs/>
      <w:sz w:val="40"/>
      <w:szCs w:val="24"/>
    </w:rPr>
  </w:style>
  <w:style w:type="paragraph" w:styleId="Subtitle">
    <w:name w:val="Subtitle"/>
    <w:basedOn w:val="Ttulo1"/>
    <w:next w:val="BodyText"/>
    <w:qFormat/>
    <w:pPr>
      <w:jc w:val="center"/>
    </w:pPr>
    <w:rPr>
      <w:i/>
      <w:iCs/>
      <w:sz w:val="28"/>
      <w:szCs w:val="28"/>
    </w:rPr>
  </w:style>
  <w:style w:type="paragraph" w:styleId="Contedodamoldura">
    <w:name w:val="Conteúdo da moldura"/>
    <w:basedOn w:val="BodyText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CABECA</Template>
  <TotalTime>1401</TotalTime>
  <Application>LibreOffice/26.2.5.2$Windows_X86_64 LibreOffice_project/cd7284b4cbbfeb507e630c1aac019f4157393acb</Application>
  <AppVersion>15.0000</AppVersion>
  <Pages>2</Pages>
  <Words>338</Words>
  <Characters>1990</Characters>
  <CharactersWithSpaces>2310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2018-09-18T11:23:00Z</dcterms:created>
  <dc:creator>Marcelo Cappelletti dos Reis</dc:creator>
  <dc:description/>
  <dc:language>pt-BR</dc:language>
  <cp:lastModifiedBy/>
  <cp:lastPrinted>2026-04-10T12:03:19Z</cp:lastPrinted>
  <dcterms:modified xsi:type="dcterms:W3CDTF">2026-09-14T10:09:40Z</dcterms:modified>
  <cp:revision>222</cp:revision>
  <dc:subject/>
  <dc:title>15/01/99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