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4---best-responses"/>
    <w:p>
      <w:pPr>
        <w:pStyle w:val="Heading1"/>
      </w:pPr>
      <w:r>
        <w:t xml:space="preserve">OR 3: Chapter 4 - Best responses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24" w:name="best-response-functions"/>
    <w:p>
      <w:pPr>
        <w:pStyle w:val="Heading2"/>
      </w:pPr>
      <w:r>
        <w:t xml:space="preserve">Best response functions</w:t>
      </w:r>
    </w:p>
    <w:bookmarkEnd w:id="24"/>
    <w:bookmarkStart w:id="25" w:name="definition-of-a-best-response"/>
    <w:p>
      <w:pPr>
        <w:pStyle w:val="Heading3"/>
      </w:pPr>
      <w:r>
        <w:t xml:space="preserve">Definition of a best response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26" w:name="best-responses-against-mixed-strategies"/>
    <w:p>
      <w:pPr>
        <w:pStyle w:val="Heading2"/>
      </w:pPr>
      <w:r>
        <w:t xml:space="preserve">Best responses against mixed strategies</w:t>
      </w:r>
    </w:p>
    <w:bookmarkEnd w:id="26"/>
    <w:p>
      <w:r>
        <w:t xml:space="preserve">We can identify best responses against mixed strategies. Let us take a look at the matching pennies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29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29"/>
    <w:bookmarkStart w:id="30" w:name="definition-of-the-undominated-strategy-set"/>
    <w:p>
      <w:pPr>
        <w:pStyle w:val="Heading3"/>
      </w:pPr>
      <w:r>
        <w:t xml:space="preserve">Definition of the undominated strategy set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bookmarkStart w:id="31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</w:p>
    <w:p/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34" w:name="theorem-of-equality-in-2-player-games"/>
    <w:p>
      <w:pPr>
        <w:pStyle w:val="Heading3"/>
      </w:pPr>
      <w:r>
        <w:t xml:space="preserve">Theorem of equality in 2 player games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35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b969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60f20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99349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Chapter_03-Dominan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