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pStyle w:val="Compact"/>
        <w:numPr>
          <w:numId w:val="2"/>
          <w:ilvl w:val="0"/>
        </w:numPr>
      </w:pPr>
      <w:r>
        <w:t xml:space="preserve">We completed our look at normal form games;</w:t>
      </w:r>
    </w:p>
    <w:p>
      <w:pPr>
        <w:pStyle w:val="Compact"/>
        <w:numPr>
          <w:numId w:val="2"/>
          <w:ilvl w:val="0"/>
        </w:numPr>
      </w:pPr>
      <w:r>
        <w:t xml:space="preserve">Investigated using best responses to identify Nash equilibria in mixed strategies;</w:t>
      </w:r>
    </w:p>
    <w:p>
      <w:pPr>
        <w:pStyle w:val="Compact"/>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pStyle w:val="Compact"/>
        <w:numPr>
          <w:numId w:val="3"/>
          <w:ilvl w:val="0"/>
        </w:numPr>
      </w:pPr>
      <w:r>
        <w:t xml:space="preserve">Every node is a successor of the (unique) initial node</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pStyle w:val="Compact"/>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pStyle w:val="Compact"/>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pStyle w:val="Compact"/>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pStyle w:val="Compact"/>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pStyle w:val="Compact"/>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pStyle w:val="Compact"/>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D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(X,Y).</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which in turn gives:</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b4d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dbcd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beba4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2313db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d5b21b6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3640726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f8d3cb2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5ec90b5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df31fe7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