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node\text{ as shown in Figure</w:t>
      </w:r>
      <w:r>
        <w:t xml:space="preserve"> </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of-sequential-rationality" w:name="definition-of-sequential-rationality"/>
    <w:p>
      <w:pPr>
        <w:pStyle w:val="Heading3"/>
      </w:pPr>
      <w:r>
        <w:t xml:space="preserve">Definition of sequential rationality</w:t>
      </w:r>
    </w:p>
    <w:bookmarkEnd w:id="definition-of-sequential-rationality"/>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definition-of-backward-induction" w:name="definition-of-backward-induction"/>
    <w:p>
      <w:pPr>
        <w:pStyle w:val="Heading3"/>
      </w:pPr>
      <w:r>
        <w:t xml:space="preserve">Definition of backward induction</w:t>
      </w:r>
    </w:p>
    <w:bookmarkEnd w:id="definition-of-backward-induction"/>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of-existence-of-nash-equilibrium-in-games-of-perfect-information." w:name="theorem-of-existence-of-nash-equilibrium-in-games-of-perfect-information."/>
    <w:p>
      <w:pPr>
        <w:pStyle w:val="Heading3"/>
      </w:pPr>
      <w:r>
        <w:t xml:space="preserve">Theorem of existence of Nash equilibrium in games of perfect information.</w:t>
      </w:r>
    </w:p>
    <w:bookmarkEnd w:id="theorem-of-existence-of-nash-equilibrium-in-games-of-perfect-information."/>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