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3---nash-equilibrium-and-evolutionary-stable-strategies" w:name="or-3-chapter-13---nash-equilibrium-and-evolutionary-stable-strategies"/>
    <w:p>
      <w:pPr>
        <w:pStyle w:val="Heading1"/>
      </w:pPr>
      <w:r>
        <w:t xml:space="preserve">OR 3: Chapter 13 - Nash equilibrium and Evolutionary stable strategies</w:t>
      </w:r>
    </w:p>
    <w:bookmarkEnd w:id="or-3-chapter-13---nash-equilibrium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pairwise-contest-games" w:name="pairwise-contest-games"/>
    <w:p>
      <w:pPr>
        <w:pStyle w:val="Heading2"/>
      </w:pPr>
      <w:r>
        <w:t xml:space="preserve">Pairwise contest games</w:t>
      </w:r>
    </w:p>
    <w:bookmarkEnd w:id="pairwise-contest-games"/>
    <w:p>
      <w:r>
        <w:t xml:space="preserve">In a population game when considering a pairwise contest game we assume that individuals are randomly matched. The utilities then depend just on what the individuals do: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x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x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r>
        <w:t xml:space="preserve">This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ess-and-nash-equilibria" w:name="ess-and-nash-equilibria"/>
    <w:p>
      <w:pPr>
        <w:pStyle w:val="Heading2"/>
      </w:pPr>
      <w:r>
        <w:t xml:space="preserve">ESS and Nash equilibria</w:t>
      </w:r>
    </w:p>
    <w:bookmarkEnd w:id="ess-and-nash-equilibria"/>
    <w:p>
      <w:r>
        <w:t xml:space="preserve">When considering pairwise contest population games there is a natural way to associate a normal form game.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t xml:space="preserve">which corresponds to: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pPr>
        <w:numPr>
          <w:numId w:val="7"/>
          <w:ilvl w:val="0"/>
        </w:numPr>
      </w:pPr>
      <w:r>
        <w:t xml:space="preserve">If the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Let us assume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: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 more a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 us consider the Hawk-Dove game. The associated two-player game is: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  <w:br/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  <w:br/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Importatny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</w:p>
    <w:p>
      <w:r>
        <w:t xml:space="preserve">After some Algebra: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