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 where the players do not possess aexact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 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below:</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For the above game 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increasing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p>
    <w:p>
      <w:r>
        <w:t xml:space="preserve">If we use</w:t>
      </w:r>
      <w:r>
        <w:t xml:space="preserve"> </w:t>
      </w:r>
      <m:oMath>
        <m:r>
          <m:rPr/>
          <m:t>u</m:t>
        </m:r>
        <m:r>
          <m:rPr/>
          <m:t>=</m:t>
        </m:r>
        <m:rad>
          <m:radPr>
            <m:degHide m:val="on"/>
          </m:radPr>
          <m:deg/>
          <m:e>
            <m:r>
              <m:rPr/>
              <m:t>(</m:t>
            </m:r>
          </m:e>
        </m:rad>
        <m:r>
          <m:rPr/>
          <m:t>x</m:t>
        </m:r>
        <m:r>
          <m:rPr/>
          <m:t>)</m:t>
        </m:r>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τ</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given:</w:t>
      </w:r>
    </w:p>
    <w:p>
      <w:r>
        <w:drawing>
          <wp:inline>
            <wp:extent cx="304038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403800" cy="7632700"/>
                    </a:xfrm>
                    <a:prstGeom prst="rect">
                      <a:avLst/>
                    </a:prstGeom>
                    <a:noFill/>
                    <a:ln w="9525">
                      <a:noFill/>
                      <a:headEnd/>
                      <a:tailEnd/>
                    </a:ln>
                  </pic:spPr>
                </pic:pic>
              </a:graphicData>
            </a:graphic>
          </wp:inline>
        </w:drawing>
      </w:r>
    </w:p>
    <w:p>
      <w:pPr>
        <w:pStyle w:val="ImageCaption"/>
      </w:pP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τ</m:t>
        </m:r>
        <m:r>
          <m:rPr/>
          <m:t>&lt;</m:t>
        </m:r>
        <m:r>
          <m:rPr/>
          <m:t>ω</m:t>
        </m:r>
        <m:r>
          <m:rPr/>
          <m:t>+</m:t>
        </m:r>
        <m:r>
          <m:rPr/>
          <m:t>B</m:t>
        </m:r>
      </m:oMath>
      <w:r>
        <w:t xml:space="preserve">. Furthermore it seems sensible to only consider</w:t>
      </w:r>
      <w:r>
        <w:t xml:space="preserve"> </w:t>
      </w:r>
      <m:oMath>
        <m:r>
          <m:rPr/>
          <m:t>τ</m:t>
        </m:r>
        <m:r>
          <m:rPr/>
          <m:t>&gt;</m:t>
        </m:r>
        <m:r>
          <m:rPr/>
          <m:t>κ</m:t>
        </m:r>
      </m:oMath>
      <w:r>
        <w:t xml:space="preserve">.</w:t>
      </w:r>
    </w:p>
    <w:p>
      <w:r>
        <w:t xml:space="preserve">We will solve this game using backward induction. The first step:</w:t>
      </w:r>
    </w:p>
    <w:p>
      <w:r>
        <w:drawing>
          <wp:inline>
            <wp:extent cx="263271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327100" cy="7632700"/>
                    </a:xfrm>
                    <a:prstGeom prst="rect">
                      <a:avLst/>
                    </a:prstGeom>
                    <a:noFill/>
                    <a:ln w="9525">
                      <a:noFill/>
                      <a:headEnd/>
                      <a:tailEnd/>
                    </a:ln>
                  </pic:spPr>
                </pic:pic>
              </a:graphicData>
            </a:graphic>
          </wp:inline>
        </w:drawing>
      </w:r>
    </w:p>
    <w:p>
      <w:pPr>
        <w:pStyle w:val="ImageCaption"/>
      </w:pP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τ</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Thus we have:</w:t>
      </w:r>
    </w:p>
    <w:p>
      <w:br/>
      <m:oMathPara>
        <m:oMathParaPr>
          <m:jc m:val="center"/>
        </m:oMathParaPr>
        <m:oMath>
          <m:sSup>
            <m:e>
              <m:r>
                <m:rPr/>
                <m:t>w</m:t>
              </m:r>
            </m:e>
            <m:sup>
              <m:r>
                <m:rPr/>
                <m:t>α</m:t>
              </m:r>
            </m:sup>
          </m:sSup>
          <m:r>
            <m:rPr/>
            <m:t>≤</m:t>
          </m:r>
          <m:r>
            <m:rPr/>
            <m:t>1</m:t>
          </m:r>
        </m:oMath>
      </m:oMathPara>
      <w:br/>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τ</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html" TargetMode="External" /><Relationship Type="http://schemas.openxmlformats.org/officeDocument/2006/relationships/hyperlink" Id="link2" Target="Chapter_08-Subgame_Perfection.html" TargetMode="External" /><Relationship Type="http://schemas.openxmlformats.org/officeDocument/2006/relationships/hyperlink" Id="link0" Target="Chapter_12_Nash_equilibrium_and_Evolutionary_stable_strateg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