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normal-form-games" w:name="or-3-lecture-2---normal-form-games"/>
    <w:p>
      <w:pPr>
        <w:pStyle w:val="Heading1"/>
      </w:pPr>
      <w:r>
        <w:t xml:space="preserve">OR 3: Lecture 2 - Normal Form Games</w:t>
      </w:r>
    </w:p>
    <w:bookmarkEnd w:id="or-3-lecture-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One other representation for a game is called the</w:t>
      </w:r>
      <w:r>
        <w:t xml:space="preserve"> </w:t>
      </w:r>
      <w:r>
        <w:rPr>
          <w:b/>
        </w:rPr>
        <w:t xml:space="preserve">normal form</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the following is a</w:t>
      </w:r>
      <w:r>
        <w:t xml:space="preserve"> </w:t>
      </w:r>
      <w:r>
        <w:rPr>
          <w:b/>
        </w:rPr>
        <w:t xml:space="preserve">bi-matrix</w:t>
      </w:r>
      <w:r>
        <w:t xml:space="preserve"> </w:t>
      </w:r>
      <w:r>
        <w:t xml:space="preserve">representation of the game considered:</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 quite well.</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w:t>
      </w: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 here: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Lecture_1-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