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21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2. Obtain the Nash equilibrium for the following game:</w:t>
      </w:r>
    </w:p>
    <w:p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>
            <m:sty m:val="p"/>
            <m:scr m:val="double-struck"/>
          </m:rPr>
          <m:t>R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pPr>
        <w:numPr>
          <w:numId w:val="3"/>
          <w:ilvl w:val="0"/>
        </w:numPr>
      </w:pPr>
      <w:r>
        <w:t xml:space="preserve">For each of the following games:</w:t>
      </w:r>
    </w:p>
    <w:p>
      <w:pPr>
        <w:numPr>
          <w:numId w:val="4"/>
          <w:ilvl w:val="0"/>
        </w:numPr>
      </w:pPr>
      <w:r>
        <w:t xml:space="preserve">Identify all subgames.</w:t>
      </w:r>
    </w:p>
    <w:p>
      <w:pPr>
        <w:numPr>
          <w:numId w:val="4"/>
          <w:ilvl w:val="0"/>
        </w:numPr>
      </w:pPr>
      <w:r>
        <w:t xml:space="preserve">Identify the corresponding normal form representations and hence obtain all Nash equilibrium.</w:t>
      </w:r>
    </w:p>
    <w:p>
      <w:pPr>
        <w:numPr>
          <w:numId w:val="4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1897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4. Consider the game in exercise 3 of homework sheet 2. Assume that the vendors now position themselves sequentially. Model the game in extensive form and find the subgame perfect Nash equilibrium. 5. For the following stage games:</w:t>
      </w:r>
    </w:p>
    <w:p>
      <w:pPr>
        <w:numPr>
          <w:numId w:val="5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6"/>
          <w:ilvl w:val="0"/>
        </w:numPr>
      </w:pPr>
      <w:r>
        <w:t xml:space="preserve">Consider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7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7"/>
          <w:ilvl w:val="0"/>
        </w:numPr>
      </w:pPr>
      <w:r>
        <w:t xml:space="preserve">Plot the space of feasible average payoffs and the space of individually rational payoffs.</w:t>
      </w:r>
    </w:p>
    <w:p>
      <w:pPr>
        <w:numPr>
          <w:numId w:val="7"/>
          <w:ilvl w:val="0"/>
        </w:numPr>
      </w:pPr>
      <w:r>
        <w:t xml:space="preserve">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426e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2fbeb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50f277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8764024f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8d847c5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