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N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)</m:t>
          </m:r>
        </m:oMath>
      </m:oMathPara>
      <w:br/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  <w:br/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w:br/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t xml:space="preserve">(As the function has a local maxima which is global)</w:t>
      </w:r>
    </w:p>
    <w:p>
      <w:r>
        <w:t xml:space="preserve">so: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4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7</m:t>
        </m:r>
        <m:r>
          <m:rPr/>
          <m:t>/</m:t>
        </m:r>
        <m:r>
          <m:rPr/>
          <m:t>4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  <w:br/>
    </w:p>
    <w:p>
      <w:r>
        <w:t xml:space="preserve">Here is the corresponding normal form representation: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By examining best responses we identify the following 4 pure Nash equilibria:</w:t>
      </w:r>
    </w:p>
    <w:p>
      <w:br/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No other strategy is subgame perfect.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