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sz w:val="36"/>
          <w:szCs w:val="36"/>
        </w:rPr>
        <w:t xml:space="preserve">RAPPORT DE PROJET</w:t>
      </w:r>
    </w:p>
    <w:p>
      <w:pPr>
        <w:spacing w:after="100"/>
        <w:jc w:val="center"/>
      </w:pPr>
    </w:p>
    <w:p>
      <w:pPr>
        <w:spacing w:after="400"/>
        <w:jc w:val="center"/>
      </w:pPr>
      <w:r>
        <w:rPr>
          <w:rFonts w:ascii="Times New Roman" w:cs="Times New Roman" w:eastAsia="Times New Roman" w:hAnsi="Times New Roman"/>
          <w:b/>
          <w:bCs/>
          <w:sz w:val="32"/>
          <w:szCs w:val="32"/>
        </w:rPr>
        <w:t xml:space="preserve">Apprentissage par Renforcement Profond</w:t>
      </w:r>
    </w:p>
    <w:p>
      <w:pPr>
        <w:spacing w:after="200"/>
        <w:jc w:val="center"/>
      </w:pPr>
      <w:r>
        <w:rPr>
          <w:rFonts w:ascii="Times New Roman" w:cs="Times New Roman" w:eastAsia="Times New Roman" w:hAnsi="Times New Roman"/>
          <w:b/>
          <w:bCs/>
          <w:sz w:val="32"/>
          <w:szCs w:val="32"/>
        </w:rPr>
        <w:t xml:space="preserve">pour le Contrôle Thermique de Batteries</w:t>
      </w:r>
    </w:p>
    <w:p>
      <w:pPr>
        <w:spacing w:after="100"/>
        <w:jc w:val="center"/>
      </w:pPr>
      <w:r>
        <w:rPr>
          <w:rFonts w:ascii="Times New Roman" w:cs="Times New Roman" w:eastAsia="Times New Roman" w:hAnsi="Times New Roman"/>
          <w:b/>
          <w:bCs/>
          <w:sz w:val="28"/>
          <w:szCs w:val="28"/>
        </w:rPr>
        <w:t xml:space="preserve">par Agent Soft Actor-Critic (SAC)</w:t>
      </w:r>
    </w:p>
    <w:p>
      <w:pPr>
        <w:spacing w:after="800"/>
        <w:jc w:val="center"/>
      </w:pPr>
    </w:p>
    <w:p>
      <w:pPr>
        <w:spacing w:after="100"/>
        <w:jc w:val="center"/>
      </w:pPr>
      <w:r>
        <w:rPr>
          <w:rFonts w:ascii="Times New Roman" w:cs="Times New Roman" w:eastAsia="Times New Roman" w:hAnsi="Times New Roman"/>
          <w:sz w:val="26"/>
          <w:szCs w:val="26"/>
        </w:rPr>
        <w:t xml:space="preserve">Auteur : Abdellah HAYANE</w:t>
      </w:r>
    </w:p>
    <w:p>
      <w:pPr>
        <w:spacing w:after="100"/>
        <w:jc w:val="center"/>
      </w:pPr>
      <w:r>
        <w:rPr>
          <w:rFonts w:ascii="Times New Roman" w:cs="Times New Roman" w:eastAsia="Times New Roman" w:hAnsi="Times New Roman"/>
          <w:sz w:val="24"/>
          <w:szCs w:val="24"/>
        </w:rPr>
        <w:t xml:space="preserve">Mars 2026</w:t>
      </w:r>
    </w:p>
    <w:p>
      <w:pPr>
        <w:spacing w:after="200"/>
        <w:jc w:val="center"/>
      </w:pPr>
      <w:r>
        <w:rPr>
          <w:rFonts w:ascii="Times New Roman" w:cs="Times New Roman" w:eastAsia="Times New Roman" w:hAnsi="Times New Roman"/>
          <w:i/>
          <w:iCs/>
          <w:sz w:val="22"/>
          <w:szCs w:val="22"/>
        </w:rPr>
        <w:t xml:space="preserve">Challenge 7 jours — Blocs de 2-3 heures</w:t>
      </w:r>
    </w:p>
    <w:p>
      <w:r>
        <w:br w:type="page"/>
      </w:r>
    </w:p>
    <w:p>
      <w:pPr>
        <w:pStyle w:val="Heading1"/>
        <w:spacing w:after="200" w:before="360"/>
      </w:pPr>
      <w:r>
        <w:rPr>
          <w:rFonts w:ascii="Times New Roman" w:cs="Times New Roman" w:eastAsia="Times New Roman" w:hAnsi="Times New Roman"/>
          <w:b/>
          <w:bCs/>
          <w:sz w:val="32"/>
          <w:szCs w:val="32"/>
        </w:rPr>
        <w:t xml:space="preserve">Résumé</w:t>
      </w:r>
    </w:p>
    <w:p>
      <w:pPr>
        <w:spacing w:after="120" w:line="360"/>
        <w:jc w:val="both"/>
      </w:pPr>
      <w:r>
        <w:rPr>
          <w:rFonts w:ascii="Times New Roman" w:cs="Times New Roman" w:eastAsia="Times New Roman" w:hAnsi="Times New Roman"/>
          <w:sz w:val="24"/>
          <w:szCs w:val="24"/>
        </w:rPr>
        <w:t xml:space="preserve">Ce rapport présente la conception, l’implémentation et l’évaluation d’un système de contrôle thermique de batteries par apprentissage par renforcement profond. L’objectif est d’entraîner un agent Soft Actor-Critic (SAC) à réguler la puissance de refroidissement d’un pack batterie, en maintenant la température cellulaire dans une plage sûre tout en minimisant la consommation énergétique du système de refroidissement.</w:t>
      </w:r>
    </w:p>
    <w:p>
      <w:pPr>
        <w:spacing w:after="120" w:line="360"/>
        <w:jc w:val="both"/>
      </w:pPr>
      <w:r>
        <w:rPr>
          <w:rFonts w:ascii="Times New Roman" w:cs="Times New Roman" w:eastAsia="Times New Roman" w:hAnsi="Times New Roman"/>
          <w:sz w:val="24"/>
          <w:szCs w:val="24"/>
        </w:rPr>
        <w:t xml:space="preserve">L’environnement de simulation repose sur un modèle thermique équivalent RC à un nœud, implémenté comme un environnement Gymnasium. L’agent SAC, implémenté entièrement from scratch en PyTorch, combine un acteur gaussien, un double critique (twin Q-networks) et une entropie adaptative. Après 300 000 pas d’entraînement, l’agent maintient la température en zone sûre 96,7 % du temps, démontrant la viabilité de l’approche pour le contrôle thermique embarqué en contexte FSE (Field Service Engineering).</w:t>
      </w:r>
    </w:p>
    <w:p>
      <w:pPr>
        <w:spacing w:after="120" w:line="360"/>
        <w:jc w:val="both"/>
      </w:pPr>
      <w:r>
        <w:rPr>
          <w:rFonts w:ascii="Times New Roman" w:cs="Times New Roman" w:eastAsia="Times New Roman" w:hAnsi="Times New Roman"/>
          <w:b/>
          <w:bCs/>
          <w:sz w:val="24"/>
          <w:szCs w:val="24"/>
        </w:rPr>
        <w:t xml:space="preserve">Mots-clés : </w:t>
      </w:r>
      <w:r>
        <w:rPr>
          <w:rFonts w:ascii="Times New Roman" w:cs="Times New Roman" w:eastAsia="Times New Roman" w:hAnsi="Times New Roman"/>
          <w:sz w:val="24"/>
          <w:szCs w:val="24"/>
        </w:rPr>
        <w:t xml:space="preserve">apprentissage par renforcement, Soft Actor-Critic, contrôle thermique, batterie lithium-ion, modèle RC, gestion thermique embarquée.</w:t>
      </w:r>
    </w:p>
    <w:p>
      <w:r>
        <w:br w:type="page"/>
      </w:r>
    </w:p>
    <w:p>
      <w:pPr>
        <w:pStyle w:val="Heading1"/>
        <w:spacing w:after="200" w:before="360"/>
      </w:pPr>
      <w:r>
        <w:rPr>
          <w:rFonts w:ascii="Times New Roman" w:cs="Times New Roman" w:eastAsia="Times New Roman" w:hAnsi="Times New Roman"/>
          <w:b/>
          <w:bCs/>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sz w:val="32"/>
          <w:szCs w:val="32"/>
        </w:rPr>
        <w:t xml:space="preserve">1. Introduction</w:t>
      </w:r>
    </w:p>
    <w:p>
      <w:pPr>
        <w:pStyle w:val="Heading2"/>
        <w:spacing w:after="200" w:before="360"/>
      </w:pPr>
      <w:r>
        <w:rPr>
          <w:rFonts w:ascii="Times New Roman" w:cs="Times New Roman" w:eastAsia="Times New Roman" w:hAnsi="Times New Roman"/>
          <w:b/>
          <w:bCs/>
          <w:sz w:val="28"/>
          <w:szCs w:val="28"/>
        </w:rPr>
        <w:t xml:space="preserve">1.1 Contexte du projet</w:t>
      </w:r>
    </w:p>
    <w:p>
      <w:pPr>
        <w:spacing w:after="120" w:line="360"/>
        <w:jc w:val="both"/>
      </w:pPr>
      <w:r>
        <w:rPr>
          <w:rFonts w:ascii="Times New Roman" w:cs="Times New Roman" w:eastAsia="Times New Roman" w:hAnsi="Times New Roman"/>
          <w:sz w:val="24"/>
          <w:szCs w:val="24"/>
        </w:rPr>
        <w:t xml:space="preserve">Les batteries lithium-ion constituent aujourd’hui le vecteur de stockage énergétique dominant dans les domaines de la mobilité électrique, du stockage stationnaire et des systèmes embarqués industriels. Leur performance, leur durée de vie et leur sécurité sont fortement conditionnées par la gestion thermique. Une température excédant les limites opérationnelles (typiquement 15°C – 45°C) accélère la dégradation des matériaux d’électrode, réduit la capacité utile et, dans les cas extrêmes, peut conduire à un emballement thermique.</w:t>
      </w:r>
    </w:p>
    <w:p>
      <w:pPr>
        <w:spacing w:after="120" w:line="360"/>
        <w:jc w:val="both"/>
      </w:pPr>
      <w:r>
        <w:rPr>
          <w:rFonts w:ascii="Times New Roman" w:cs="Times New Roman" w:eastAsia="Times New Roman" w:hAnsi="Times New Roman"/>
          <w:sz w:val="24"/>
          <w:szCs w:val="24"/>
        </w:rPr>
        <w:t xml:space="preserve">Dans le contexte FSE (Field Service Engineering), les packs batterie sont soumis à des profils de charge et de décharge variables, dans des environnements où la température ambiante fluctue. Les stratégies de contrôle thermique classiques — basées sur des règles heuristiques ou des contrôleurs PID — peinent à s’adapter dynamiquement à cette variabilité.</w:t>
      </w:r>
    </w:p>
    <w:p>
      <w:pPr>
        <w:pStyle w:val="Heading2"/>
        <w:spacing w:after="200" w:before="360"/>
      </w:pPr>
      <w:r>
        <w:rPr>
          <w:rFonts w:ascii="Times New Roman" w:cs="Times New Roman" w:eastAsia="Times New Roman" w:hAnsi="Times New Roman"/>
          <w:b/>
          <w:bCs/>
          <w:sz w:val="28"/>
          <w:szCs w:val="28"/>
        </w:rPr>
        <w:t xml:space="preserve">1.2 Problématique</w:t>
      </w:r>
    </w:p>
    <w:p>
      <w:pPr>
        <w:spacing w:after="120" w:line="360"/>
        <w:jc w:val="both"/>
      </w:pPr>
      <w:r>
        <w:rPr>
          <w:rFonts w:ascii="Times New Roman" w:cs="Times New Roman" w:eastAsia="Times New Roman" w:hAnsi="Times New Roman"/>
          <w:sz w:val="24"/>
          <w:szCs w:val="24"/>
        </w:rPr>
        <w:t xml:space="preserve">La problématique centrale de ce projet se formule ainsi : est-il possible d’entraîner un agent d’apprentissage par renforcement profond à contrôler la puissance de refroidissement d’un pack batterie de manière optimale, en temps réel, sous des conditions stochastiques de courant et de température ambiante ?</w:t>
      </w:r>
    </w:p>
    <w:p>
      <w:pPr>
        <w:spacing w:after="120" w:line="360"/>
        <w:jc w:val="both"/>
      </w:pPr>
      <w:r>
        <w:rPr>
          <w:rFonts w:ascii="Times New Roman" w:cs="Times New Roman" w:eastAsia="Times New Roman" w:hAnsi="Times New Roman"/>
          <w:sz w:val="24"/>
          <w:szCs w:val="24"/>
        </w:rPr>
        <w:t xml:space="preserve">Cette question soulève plusieurs sous-problèmes :</w:t>
      </w:r>
    </w:p>
    <w:p>
      <w:pPr>
        <w:spacing w:after="120" w:line="360"/>
        <w:jc w:val="both"/>
      </w:pPr>
      <w:r>
        <w:rPr>
          <w:rFonts w:ascii="Times New Roman" w:cs="Times New Roman" w:eastAsia="Times New Roman" w:hAnsi="Times New Roman"/>
          <w:sz w:val="24"/>
          <w:szCs w:val="24"/>
        </w:rPr>
        <w:t xml:space="preserve">•  Comment modéliser fidèlement la dynamique thermique d’une batterie dans un environnement de simulation compatible avec les algorithmes RL ?</w:t>
      </w:r>
    </w:p>
    <w:p>
      <w:pPr>
        <w:spacing w:after="120" w:line="360"/>
        <w:jc w:val="both"/>
      </w:pPr>
      <w:r>
        <w:rPr>
          <w:rFonts w:ascii="Times New Roman" w:cs="Times New Roman" w:eastAsia="Times New Roman" w:hAnsi="Times New Roman"/>
          <w:sz w:val="24"/>
          <w:szCs w:val="24"/>
        </w:rPr>
        <w:t xml:space="preserve">•  Quel algorithme RL choisir pour un espace d’action continu avec des contraintes de stabilité et d’efficacité échantillonnale ?</w:t>
      </w:r>
    </w:p>
    <w:p>
      <w:pPr>
        <w:spacing w:after="120" w:line="360"/>
        <w:jc w:val="both"/>
      </w:pPr>
      <w:r>
        <w:rPr>
          <w:rFonts w:ascii="Times New Roman" w:cs="Times New Roman" w:eastAsia="Times New Roman" w:hAnsi="Times New Roman"/>
          <w:sz w:val="24"/>
          <w:szCs w:val="24"/>
        </w:rPr>
        <w:t xml:space="preserve">•  Comment concevoir une fonction de récompense qui encode simultanément la sécurité thermique, l’efficacité énergétique et la progressivité de la charge ?</w:t>
      </w:r>
    </w:p>
    <w:p>
      <w:pPr>
        <w:pStyle w:val="Heading2"/>
        <w:spacing w:after="200" w:before="360"/>
      </w:pPr>
      <w:r>
        <w:rPr>
          <w:rFonts w:ascii="Times New Roman" w:cs="Times New Roman" w:eastAsia="Times New Roman" w:hAnsi="Times New Roman"/>
          <w:b/>
          <w:bCs/>
          <w:sz w:val="28"/>
          <w:szCs w:val="28"/>
        </w:rPr>
        <w:t xml:space="preserve">1.3 Objectifs</w:t>
      </w:r>
    </w:p>
    <w:p>
      <w:pPr>
        <w:spacing w:after="120" w:line="360"/>
        <w:jc w:val="both"/>
      </w:pPr>
      <w:r>
        <w:rPr>
          <w:rFonts w:ascii="Times New Roman" w:cs="Times New Roman" w:eastAsia="Times New Roman" w:hAnsi="Times New Roman"/>
          <w:sz w:val="24"/>
          <w:szCs w:val="24"/>
        </w:rPr>
        <w:t xml:space="preserve">Les objectifs de ce projet, réalisé sur un challenge de 7 jours par blocs de 2 à 3 heures, sont les suivants :</w:t>
      </w:r>
    </w:p>
    <w:p>
      <w:pPr>
        <w:spacing w:after="120" w:line="360"/>
        <w:jc w:val="both"/>
      </w:pPr>
      <w:r>
        <w:rPr>
          <w:rFonts w:ascii="Times New Roman" w:cs="Times New Roman" w:eastAsia="Times New Roman" w:hAnsi="Times New Roman"/>
          <w:sz w:val="24"/>
          <w:szCs w:val="24"/>
        </w:rPr>
        <w:t xml:space="preserve">1.  Concevoir un environnement Gymnasium fidèle intégrant un modèle thermique RC à un nœud.</w:t>
      </w:r>
    </w:p>
    <w:p>
      <w:pPr>
        <w:spacing w:after="120" w:line="360"/>
        <w:jc w:val="both"/>
      </w:pPr>
      <w:r>
        <w:rPr>
          <w:rFonts w:ascii="Times New Roman" w:cs="Times New Roman" w:eastAsia="Times New Roman" w:hAnsi="Times New Roman"/>
          <w:sz w:val="24"/>
          <w:szCs w:val="24"/>
        </w:rPr>
        <w:t xml:space="preserve">2.  Implémenter from scratch un agent SAC complet (acteur, double critique, entropie adaptative).</w:t>
      </w:r>
    </w:p>
    <w:p>
      <w:pPr>
        <w:spacing w:after="120" w:line="360"/>
        <w:jc w:val="both"/>
      </w:pPr>
      <w:r>
        <w:rPr>
          <w:rFonts w:ascii="Times New Roman" w:cs="Times New Roman" w:eastAsia="Times New Roman" w:hAnsi="Times New Roman"/>
          <w:sz w:val="24"/>
          <w:szCs w:val="24"/>
        </w:rPr>
        <w:t xml:space="preserve">3.  Développer une boucle d’entraînement robuste avec logging, évaluation périodique et sauvegarde de checkpoints.</w:t>
      </w:r>
    </w:p>
    <w:p>
      <w:pPr>
        <w:spacing w:after="120" w:line="360"/>
        <w:jc w:val="both"/>
      </w:pPr>
      <w:r>
        <w:rPr>
          <w:rFonts w:ascii="Times New Roman" w:cs="Times New Roman" w:eastAsia="Times New Roman" w:hAnsi="Times New Roman"/>
          <w:sz w:val="24"/>
          <w:szCs w:val="24"/>
        </w:rPr>
        <w:t xml:space="preserve">4.  Atteindre un pourcentage de temps en zone thermique sûre (pct_safe) supérieur à 95 %.</w:t>
      </w:r>
    </w:p>
    <w:p>
      <w:pPr>
        <w:spacing w:after="120" w:line="360"/>
        <w:jc w:val="both"/>
      </w:pPr>
      <w:r>
        <w:rPr>
          <w:rFonts w:ascii="Times New Roman" w:cs="Times New Roman" w:eastAsia="Times New Roman" w:hAnsi="Times New Roman"/>
          <w:sz w:val="24"/>
          <w:szCs w:val="24"/>
        </w:rPr>
        <w:t xml:space="preserve">5.  Analyser l’impact du reward shaping et du tuning des hyperparamètres sur les performances.</w:t>
      </w:r>
    </w:p>
    <w:p>
      <w:r>
        <w:br w:type="page"/>
      </w:r>
    </w:p>
    <w:p>
      <w:pPr>
        <w:pStyle w:val="Heading1"/>
        <w:spacing w:after="200" w:before="360"/>
      </w:pPr>
      <w:r>
        <w:rPr>
          <w:rFonts w:ascii="Times New Roman" w:cs="Times New Roman" w:eastAsia="Times New Roman" w:hAnsi="Times New Roman"/>
          <w:b/>
          <w:bCs/>
          <w:sz w:val="32"/>
          <w:szCs w:val="32"/>
        </w:rPr>
        <w:t xml:space="preserve">2. État de l’art</w:t>
      </w:r>
    </w:p>
    <w:p>
      <w:pPr>
        <w:pStyle w:val="Heading2"/>
        <w:spacing w:after="200" w:before="360"/>
      </w:pPr>
      <w:r>
        <w:rPr>
          <w:rFonts w:ascii="Times New Roman" w:cs="Times New Roman" w:eastAsia="Times New Roman" w:hAnsi="Times New Roman"/>
          <w:b/>
          <w:bCs/>
          <w:sz w:val="28"/>
          <w:szCs w:val="28"/>
        </w:rPr>
        <w:t xml:space="preserve">2.1 Gestion thermique des batteries : méthodes existantes</w:t>
      </w:r>
    </w:p>
    <w:p>
      <w:pPr>
        <w:spacing w:after="120" w:line="360"/>
        <w:jc w:val="both"/>
      </w:pPr>
      <w:r>
        <w:rPr>
          <w:rFonts w:ascii="Times New Roman" w:cs="Times New Roman" w:eastAsia="Times New Roman" w:hAnsi="Times New Roman"/>
          <w:sz w:val="24"/>
          <w:szCs w:val="24"/>
        </w:rPr>
        <w:t xml:space="preserve">La gestion thermique des batteries (Battery Thermal Management System, BTMS) a fait l’objet de nombreuses recherches. Les approches peuvent être classées en trois catégories principales :</w:t>
      </w:r>
    </w:p>
    <w:p>
      <w:pPr>
        <w:pStyle w:val="Heading3"/>
        <w:spacing w:after="200" w:before="360"/>
      </w:pPr>
      <w:r>
        <w:rPr>
          <w:rFonts w:ascii="Times New Roman" w:cs="Times New Roman" w:eastAsia="Times New Roman" w:hAnsi="Times New Roman"/>
          <w:b/>
          <w:bCs/>
          <w:sz w:val="24"/>
          <w:szCs w:val="24"/>
        </w:rPr>
        <w:t xml:space="preserve">2.1.1 Contrôle par règles heuristiques</w:t>
      </w:r>
    </w:p>
    <w:p>
      <w:pPr>
        <w:spacing w:after="120" w:line="360"/>
        <w:jc w:val="both"/>
      </w:pPr>
      <w:r>
        <w:rPr>
          <w:rFonts w:ascii="Times New Roman" w:cs="Times New Roman" w:eastAsia="Times New Roman" w:hAnsi="Times New Roman"/>
          <w:sz w:val="24"/>
          <w:szCs w:val="24"/>
        </w:rPr>
        <w:t xml:space="preserve">Les systèmes les plus simples utilisent des seuils fixes : le refroidissement est activé lorsque la température dépasse un seuil haut et désactivé sous un seuil bas (logique bang-bang ou hystérésis). Cette approche, facile à implémenter, ne permet pas d’anticiper les montées thermiques et conduit à des oscillations autour des seuils.</w:t>
      </w:r>
    </w:p>
    <w:p>
      <w:pPr>
        <w:pStyle w:val="Heading3"/>
        <w:spacing w:after="200" w:before="360"/>
      </w:pPr>
      <w:r>
        <w:rPr>
          <w:rFonts w:ascii="Times New Roman" w:cs="Times New Roman" w:eastAsia="Times New Roman" w:hAnsi="Times New Roman"/>
          <w:b/>
          <w:bCs/>
          <w:sz w:val="24"/>
          <w:szCs w:val="24"/>
        </w:rPr>
        <w:t xml:space="preserve">2.1.2 Contrôle PID</w:t>
      </w:r>
    </w:p>
    <w:p>
      <w:pPr>
        <w:spacing w:after="120" w:line="360"/>
        <w:jc w:val="both"/>
      </w:pPr>
      <w:r>
        <w:rPr>
          <w:rFonts w:ascii="Times New Roman" w:cs="Times New Roman" w:eastAsia="Times New Roman" w:hAnsi="Times New Roman"/>
          <w:sz w:val="24"/>
          <w:szCs w:val="24"/>
        </w:rPr>
        <w:t xml:space="preserve">Le contrôleur PID (Proportionnel-Intégral-Dérivé) est largement utilisé dans l’industrie. Il réagit à l’erreur entre la température mesurée et une consigne. Ses limites incluent la nécessité d’un tuning manuel, la difficulté à gérer des non-linéarités et l’absence d’optimisation globale sur un horizon temporel.</w:t>
      </w:r>
    </w:p>
    <w:p>
      <w:pPr>
        <w:pStyle w:val="Heading3"/>
        <w:spacing w:after="200" w:before="360"/>
      </w:pPr>
      <w:r>
        <w:rPr>
          <w:rFonts w:ascii="Times New Roman" w:cs="Times New Roman" w:eastAsia="Times New Roman" w:hAnsi="Times New Roman"/>
          <w:b/>
          <w:bCs/>
          <w:sz w:val="24"/>
          <w:szCs w:val="24"/>
        </w:rPr>
        <w:t xml:space="preserve">2.1.3 Contrôle prédictif par modèle (MPC)</w:t>
      </w:r>
    </w:p>
    <w:p>
      <w:pPr>
        <w:spacing w:after="120" w:line="360"/>
        <w:jc w:val="both"/>
      </w:pPr>
      <w:r>
        <w:rPr>
          <w:rFonts w:ascii="Times New Roman" w:cs="Times New Roman" w:eastAsia="Times New Roman" w:hAnsi="Times New Roman"/>
          <w:sz w:val="24"/>
          <w:szCs w:val="24"/>
        </w:rPr>
        <w:t xml:space="preserve">Le MPC (Model Predictive Control) optimise une trajectoire de contrôle sur un horizon glissant en utilisant un modèle prédictif du système. Bien que performant, il requiert un modèle analytique précis, un solveur d’optimisation en temps réel et des ressources de calcul significatives, ce qui limite son déploiement dans les systèmes embarqués à faibles ressources.</w:t>
      </w:r>
    </w:p>
    <w:p>
      <w:pPr>
        <w:pStyle w:val="Heading2"/>
        <w:spacing w:after="200" w:before="360"/>
      </w:pPr>
      <w:r>
        <w:rPr>
          <w:rFonts w:ascii="Times New Roman" w:cs="Times New Roman" w:eastAsia="Times New Roman" w:hAnsi="Times New Roman"/>
          <w:b/>
          <w:bCs/>
          <w:sz w:val="28"/>
          <w:szCs w:val="28"/>
        </w:rPr>
        <w:t xml:space="preserve">2.2 Apprentissage par renforcement pour le contrôle thermique</w:t>
      </w:r>
    </w:p>
    <w:p>
      <w:pPr>
        <w:spacing w:after="120" w:line="360"/>
        <w:jc w:val="both"/>
      </w:pPr>
      <w:r>
        <w:rPr>
          <w:rFonts w:ascii="Times New Roman" w:cs="Times New Roman" w:eastAsia="Times New Roman" w:hAnsi="Times New Roman"/>
          <w:sz w:val="24"/>
          <w:szCs w:val="24"/>
        </w:rPr>
        <w:t xml:space="preserve">L’apprentissage par renforcement (RL) offre une alternative prometteuse. Un agent RL apprend une politique de contrôle directement à partir de l’interaction avec l’environnement, sans nécessiter de modèle analytique explicite pour le contrôle (bien qu’un modèle soit nécessaire pour la simulation).</w:t>
      </w:r>
    </w:p>
    <w:p>
      <w:pPr>
        <w:spacing w:after="120" w:line="360"/>
        <w:jc w:val="both"/>
      </w:pPr>
      <w:r>
        <w:rPr>
          <w:rFonts w:ascii="Times New Roman" w:cs="Times New Roman" w:eastAsia="Times New Roman" w:hAnsi="Times New Roman"/>
          <w:sz w:val="24"/>
          <w:szCs w:val="24"/>
        </w:rPr>
        <w:t xml:space="preserve">Parmi les algorithmes RL adaptés aux espaces d’action continus, le Soft Actor-Critic (SAC), proposé par Haarnoja et al. (2018), se distingue par :</w:t>
      </w:r>
    </w:p>
    <w:p>
      <w:pPr>
        <w:spacing w:after="120" w:line="360"/>
        <w:jc w:val="both"/>
      </w:pPr>
      <w:r>
        <w:rPr>
          <w:rFonts w:ascii="Times New Roman" w:cs="Times New Roman" w:eastAsia="Times New Roman" w:hAnsi="Times New Roman"/>
          <w:sz w:val="24"/>
          <w:szCs w:val="24"/>
        </w:rPr>
        <w:t xml:space="preserve">•  Son efficacité échantillonnale (off-policy, replay buffer).</w:t>
      </w:r>
    </w:p>
    <w:p>
      <w:pPr>
        <w:spacing w:after="120" w:line="360"/>
        <w:jc w:val="both"/>
      </w:pPr>
      <w:r>
        <w:rPr>
          <w:rFonts w:ascii="Times New Roman" w:cs="Times New Roman" w:eastAsia="Times New Roman" w:hAnsi="Times New Roman"/>
          <w:sz w:val="24"/>
          <w:szCs w:val="24"/>
        </w:rPr>
        <w:t xml:space="preserve">•  Sa stabilité d’entraînement (double Q-network, entropie adaptative).</w:t>
      </w:r>
    </w:p>
    <w:p>
      <w:pPr>
        <w:spacing w:after="120" w:line="360"/>
        <w:jc w:val="both"/>
      </w:pPr>
      <w:r>
        <w:rPr>
          <w:rFonts w:ascii="Times New Roman" w:cs="Times New Roman" w:eastAsia="Times New Roman" w:hAnsi="Times New Roman"/>
          <w:sz w:val="24"/>
          <w:szCs w:val="24"/>
        </w:rPr>
        <w:t xml:space="preserve">•  Sa capacité à explorer efficacement grâce à la régularisation entropique.</w:t>
      </w:r>
    </w:p>
    <w:p>
      <w:pPr>
        <w:pStyle w:val="Heading2"/>
        <w:spacing w:after="200" w:before="360"/>
      </w:pPr>
      <w:r>
        <w:rPr>
          <w:rFonts w:ascii="Times New Roman" w:cs="Times New Roman" w:eastAsia="Times New Roman" w:hAnsi="Times New Roman"/>
          <w:b/>
          <w:bCs/>
          <w:sz w:val="28"/>
          <w:szCs w:val="28"/>
        </w:rPr>
        <w:t xml:space="preserve">2.3 Positionnement de notre approche</w:t>
      </w:r>
    </w:p>
    <w:p>
      <w:pPr>
        <w:spacing w:after="120" w:line="360"/>
        <w:jc w:val="both"/>
      </w:pPr>
      <w:r>
        <w:rPr>
          <w:rFonts w:ascii="Times New Roman" w:cs="Times New Roman" w:eastAsia="Times New Roman" w:hAnsi="Times New Roman"/>
          <w:sz w:val="24"/>
          <w:szCs w:val="24"/>
        </w:rPr>
        <w:t xml:space="preserve">Notre approche se positionne à l’intersection du contrôle thermique et du RL profond. Contrairement aux travaux existants qui utilisent souvent des bibliothèques pré-construites (Stable-Baselines3), nous implémentons l’agent SAC entièrement from scratch en PyTorch, ce qui offre une transparence totale sur les choix architecturaux et algorithmiques. L’environnement Gymnasium est également conçu sur mesure, avec des paramètres thermiques génériques adaptables à différents types de batteries et contextes FSE.</w:t>
      </w:r>
    </w:p>
    <w:p>
      <w:r>
        <w:br w:type="page"/>
      </w:r>
    </w:p>
    <w:p>
      <w:pPr>
        <w:pStyle w:val="Heading1"/>
        <w:spacing w:after="200" w:before="360"/>
      </w:pPr>
      <w:r>
        <w:rPr>
          <w:rFonts w:ascii="Times New Roman" w:cs="Times New Roman" w:eastAsia="Times New Roman" w:hAnsi="Times New Roman"/>
          <w:b/>
          <w:bCs/>
          <w:sz w:val="32"/>
          <w:szCs w:val="32"/>
        </w:rPr>
        <w:t xml:space="preserve">3. Méthodologie</w:t>
      </w:r>
    </w:p>
    <w:p>
      <w:pPr>
        <w:pStyle w:val="Heading2"/>
        <w:spacing w:after="200" w:before="360"/>
      </w:pPr>
      <w:r>
        <w:rPr>
          <w:rFonts w:ascii="Times New Roman" w:cs="Times New Roman" w:eastAsia="Times New Roman" w:hAnsi="Times New Roman"/>
          <w:b/>
          <w:bCs/>
          <w:sz w:val="28"/>
          <w:szCs w:val="28"/>
        </w:rPr>
        <w:t xml:space="preserve">3.1 Architecture générale du système</w:t>
      </w:r>
    </w:p>
    <w:p>
      <w:pPr>
        <w:spacing w:after="120" w:line="360"/>
        <w:jc w:val="both"/>
      </w:pPr>
      <w:r>
        <w:rPr>
          <w:rFonts w:ascii="Times New Roman" w:cs="Times New Roman" w:eastAsia="Times New Roman" w:hAnsi="Times New Roman"/>
          <w:sz w:val="24"/>
          <w:szCs w:val="24"/>
        </w:rPr>
        <w:t xml:space="preserve">Le système se décompose en trois couches fonctionnelles principales :</w:t>
      </w:r>
    </w:p>
    <w:p>
      <w:pPr>
        <w:spacing w:after="120" w:line="360"/>
        <w:jc w:val="both"/>
      </w:pPr>
      <w:r>
        <w:rPr>
          <w:rFonts w:ascii="Times New Roman" w:cs="Times New Roman" w:eastAsia="Times New Roman" w:hAnsi="Times New Roman"/>
          <w:sz w:val="24"/>
          <w:szCs w:val="24"/>
        </w:rPr>
        <w:t xml:space="preserve">1.  La couche Environnement, qui simule la dynamique thermique de la batterie et expose l’interface Gymnasium (reset, step, observation, reward).</w:t>
      </w:r>
    </w:p>
    <w:p>
      <w:pPr>
        <w:spacing w:after="120" w:line="360"/>
        <w:jc w:val="both"/>
      </w:pPr>
      <w:r>
        <w:rPr>
          <w:rFonts w:ascii="Times New Roman" w:cs="Times New Roman" w:eastAsia="Times New Roman" w:hAnsi="Times New Roman"/>
          <w:sz w:val="24"/>
          <w:szCs w:val="24"/>
        </w:rPr>
        <w:t xml:space="preserve">2.  La couche Agent, qui implémente l’algorithme SAC avec ses réseaux de neurones (acteur, double critique, réseau cible).</w:t>
      </w:r>
    </w:p>
    <w:p>
      <w:pPr>
        <w:spacing w:after="120" w:line="360"/>
        <w:jc w:val="both"/>
      </w:pPr>
      <w:r>
        <w:rPr>
          <w:rFonts w:ascii="Times New Roman" w:cs="Times New Roman" w:eastAsia="Times New Roman" w:hAnsi="Times New Roman"/>
          <w:sz w:val="24"/>
          <w:szCs w:val="24"/>
        </w:rPr>
        <w:t xml:space="preserve">3.  La couche Entraînement, qui orchestre l’interaction env-agent, le logging et l’évaluation.</w:t>
      </w:r>
    </w:p>
    <w:p>
      <w:pPr>
        <w:spacing w:after="200" w:before="100"/>
        <w:jc w:val="center"/>
      </w:pPr>
      <w:r>
        <w:rPr>
          <w:rFonts w:ascii="Times New Roman" w:cs="Times New Roman" w:eastAsia="Times New Roman" w:hAnsi="Times New Roman"/>
          <w:i/>
          <w:iCs/>
          <w:sz w:val="22"/>
          <w:szCs w:val="22"/>
        </w:rPr>
        <w:t xml:space="preserve">Figure 1 : Architecture générale du système. L’environnement Gymnasium produit des observations normalisées que l’agent SAC transforme en actions de refroidissement. Le reward guide l’apprentissage.</w:t>
      </w:r>
    </w:p>
    <w:p>
      <w:pPr>
        <w:pStyle w:val="Heading2"/>
        <w:spacing w:after="200" w:before="360"/>
      </w:pPr>
      <w:r>
        <w:rPr>
          <w:rFonts w:ascii="Times New Roman" w:cs="Times New Roman" w:eastAsia="Times New Roman" w:hAnsi="Times New Roman"/>
          <w:b/>
          <w:bCs/>
          <w:sz w:val="28"/>
          <w:szCs w:val="28"/>
        </w:rPr>
        <w:t xml:space="preserve">3.2 Environnement de simulation</w:t>
      </w:r>
    </w:p>
    <w:p>
      <w:pPr>
        <w:spacing w:after="120" w:line="360"/>
        <w:jc w:val="both"/>
      </w:pPr>
      <w:r>
        <w:rPr>
          <w:rFonts w:ascii="Times New Roman" w:cs="Times New Roman" w:eastAsia="Times New Roman" w:hAnsi="Times New Roman"/>
          <w:sz w:val="24"/>
          <w:szCs w:val="24"/>
        </w:rPr>
        <w:t xml:space="preserve">L’environnement de simulation est conçu comme un environnement Gymnasium standard, garantissant la compatibilité avec l’écosystème RL Python. Il encapsule :</w:t>
      </w:r>
    </w:p>
    <w:p>
      <w:pPr>
        <w:spacing w:after="120" w:line="360"/>
        <w:jc w:val="both"/>
      </w:pPr>
      <w:r>
        <w:rPr>
          <w:rFonts w:ascii="Times New Roman" w:cs="Times New Roman" w:eastAsia="Times New Roman" w:hAnsi="Times New Roman"/>
          <w:sz w:val="24"/>
          <w:szCs w:val="24"/>
        </w:rPr>
        <w:t xml:space="preserve">•  Un modèle thermique RC à un nœud (classe ThermalModel).</w:t>
      </w:r>
    </w:p>
    <w:p>
      <w:pPr>
        <w:spacing w:after="120" w:line="360"/>
        <w:jc w:val="both"/>
      </w:pPr>
      <w:r>
        <w:rPr>
          <w:rFonts w:ascii="Times New Roman" w:cs="Times New Roman" w:eastAsia="Times New Roman" w:hAnsi="Times New Roman"/>
          <w:sz w:val="24"/>
          <w:szCs w:val="24"/>
        </w:rPr>
        <w:t xml:space="preserve">•  Un modèle de batterie simplifié (SoC par intégration du courant).</w:t>
      </w:r>
    </w:p>
    <w:p>
      <w:pPr>
        <w:spacing w:after="120" w:line="360"/>
        <w:jc w:val="both"/>
      </w:pPr>
      <w:r>
        <w:rPr>
          <w:rFonts w:ascii="Times New Roman" w:cs="Times New Roman" w:eastAsia="Times New Roman" w:hAnsi="Times New Roman"/>
          <w:sz w:val="24"/>
          <w:szCs w:val="24"/>
        </w:rPr>
        <w:t xml:space="preserve">•  Un profil de courant stochastique (marche aléatoire bornée).</w:t>
      </w:r>
    </w:p>
    <w:p>
      <w:pPr>
        <w:spacing w:after="120" w:line="360"/>
        <w:jc w:val="both"/>
      </w:pPr>
      <w:r>
        <w:rPr>
          <w:rFonts w:ascii="Times New Roman" w:cs="Times New Roman" w:eastAsia="Times New Roman" w:hAnsi="Times New Roman"/>
          <w:sz w:val="24"/>
          <w:szCs w:val="24"/>
        </w:rPr>
        <w:t xml:space="preserve">•  Une température ambiante lentement variable.</w:t>
      </w:r>
    </w:p>
    <w:p>
      <w:pPr>
        <w:spacing w:after="120" w:line="360"/>
        <w:jc w:val="both"/>
      </w:pPr>
      <w:r>
        <w:rPr>
          <w:rFonts w:ascii="Times New Roman" w:cs="Times New Roman" w:eastAsia="Times New Roman" w:hAnsi="Times New Roman"/>
          <w:sz w:val="24"/>
          <w:szCs w:val="24"/>
        </w:rPr>
        <w:t xml:space="preserve">L’espace d’observation est un vecteur de dimension 5, normalisé dans [-1, 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Composante</w:t>
            </w:r>
          </w:p>
        </w:tc>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Variable physique</w:t>
            </w:r>
          </w:p>
        </w:tc>
        <w:tc>
          <w:tcPr>
            <w:tcW w:type="dxa" w:w="252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Plage brute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T_norm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Température cellulaire</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10°C – 60°C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SoC_norm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État de charge</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 – 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I_norm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Courant de charge</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-10A – 50A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T_amb_norm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Température ambiante</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15°C – 35°C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P_cool_prev_norm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Action précédente</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 – 1</w:t>
            </w:r>
          </w:p>
        </w:tc>
      </w:tr>
    </w:tbl>
    <w:p>
      <w:pPr>
        <w:spacing w:after="120" w:line="360"/>
        <w:jc w:val="both"/>
      </w:pPr>
      <w:r>
        <w:rPr>
          <w:rFonts w:ascii="Times New Roman" w:cs="Times New Roman" w:eastAsia="Times New Roman" w:hAnsi="Times New Roman"/>
          <w:sz w:val="24"/>
          <w:szCs w:val="24"/>
        </w:rPr>
        <w:t xml:space="default"/>
      </w:r>
    </w:p>
    <w:p>
      <w:pPr>
        <w:spacing w:after="120" w:line="360"/>
        <w:jc w:val="both"/>
      </w:pPr>
      <w:r>
        <w:rPr>
          <w:rFonts w:ascii="Times New Roman" w:cs="Times New Roman" w:eastAsia="Times New Roman" w:hAnsi="Times New Roman"/>
          <w:sz w:val="24"/>
          <w:szCs w:val="24"/>
        </w:rPr>
        <w:t xml:space="preserve">L’espace d’action est continu, unidimensionnel : a ∈ [0, 1], représentant la fraction de puissance de refroidissement maximale appliquée.</w:t>
      </w:r>
    </w:p>
    <w:p>
      <w:pPr>
        <w:pStyle w:val="Heading2"/>
        <w:spacing w:after="200" w:before="360"/>
      </w:pPr>
      <w:r>
        <w:rPr>
          <w:rFonts w:ascii="Times New Roman" w:cs="Times New Roman" w:eastAsia="Times New Roman" w:hAnsi="Times New Roman"/>
          <w:b/>
          <w:bCs/>
          <w:sz w:val="28"/>
          <w:szCs w:val="28"/>
        </w:rPr>
        <w:t xml:space="preserve">3.3 Choix de l’algorithme : Soft Actor-Critic</w:t>
      </w:r>
    </w:p>
    <w:p>
      <w:pPr>
        <w:spacing w:after="120" w:line="360"/>
        <w:jc w:val="both"/>
      </w:pPr>
      <w:r>
        <w:rPr>
          <w:rFonts w:ascii="Times New Roman" w:cs="Times New Roman" w:eastAsia="Times New Roman" w:hAnsi="Times New Roman"/>
          <w:sz w:val="24"/>
          <w:szCs w:val="24"/>
        </w:rPr>
        <w:t xml:space="preserve">Le choix de SAC est motivé par plusieurs facteurs adaptés à notre problème :</w:t>
      </w:r>
    </w:p>
    <w:p>
      <w:pPr>
        <w:spacing w:after="120" w:line="360"/>
        <w:jc w:val="both"/>
      </w:pPr>
      <w:r>
        <w:rPr>
          <w:rFonts w:ascii="Times New Roman" w:cs="Times New Roman" w:eastAsia="Times New Roman" w:hAnsi="Times New Roman"/>
          <w:sz w:val="24"/>
          <w:szCs w:val="24"/>
        </w:rPr>
        <w:t xml:space="preserve">•  Espace d’action continu : SAC est nativement conçu pour les actions continues, contrairement à DQN.</w:t>
      </w:r>
    </w:p>
    <w:p>
      <w:pPr>
        <w:spacing w:after="120" w:line="360"/>
        <w:jc w:val="both"/>
      </w:pPr>
      <w:r>
        <w:rPr>
          <w:rFonts w:ascii="Times New Roman" w:cs="Times New Roman" w:eastAsia="Times New Roman" w:hAnsi="Times New Roman"/>
          <w:sz w:val="24"/>
          <w:szCs w:val="24"/>
        </w:rPr>
        <w:t xml:space="preserve">•  Efficacité échantillonnale : en tant qu’algorithme off-policy, SAC réutilise les expériences passées via un replay buffer, essentiel lorsque les interactions environnement-agent sont coûteuses.</w:t>
      </w:r>
    </w:p>
    <w:p>
      <w:pPr>
        <w:spacing w:after="120" w:line="360"/>
        <w:jc w:val="both"/>
      </w:pPr>
      <w:r>
        <w:rPr>
          <w:rFonts w:ascii="Times New Roman" w:cs="Times New Roman" w:eastAsia="Times New Roman" w:hAnsi="Times New Roman"/>
          <w:sz w:val="24"/>
          <w:szCs w:val="24"/>
        </w:rPr>
        <w:t xml:space="preserve">•  Stabilité : le double Q-network réduit la surestimation des Q-valeurs, et l’entropie adaptative assure un équilibre exploration-exploitation.</w:t>
      </w:r>
    </w:p>
    <w:p>
      <w:pPr>
        <w:spacing w:after="120" w:line="360"/>
        <w:jc w:val="both"/>
      </w:pPr>
      <w:r>
        <w:rPr>
          <w:rFonts w:ascii="Times New Roman" w:cs="Times New Roman" w:eastAsia="Times New Roman" w:hAnsi="Times New Roman"/>
          <w:sz w:val="24"/>
          <w:szCs w:val="24"/>
        </w:rPr>
        <w:t xml:space="preserve">•  Robustesse : la régularisation entropique rend la politique plus résiliente face aux perturbations stochastiques du courant et de la température ambiante.</w:t>
      </w:r>
    </w:p>
    <w:p>
      <w:pPr>
        <w:pStyle w:val="Heading2"/>
        <w:spacing w:after="200" w:before="360"/>
      </w:pPr>
      <w:r>
        <w:rPr>
          <w:rFonts w:ascii="Times New Roman" w:cs="Times New Roman" w:eastAsia="Times New Roman" w:hAnsi="Times New Roman"/>
          <w:b/>
          <w:bCs/>
          <w:sz w:val="28"/>
          <w:szCs w:val="28"/>
        </w:rPr>
        <w:t xml:space="preserve">3.4 Stratégie d’entraînement</w:t>
      </w:r>
    </w:p>
    <w:p>
      <w:pPr>
        <w:spacing w:after="120" w:line="360"/>
        <w:jc w:val="both"/>
      </w:pPr>
      <w:r>
        <w:rPr>
          <w:rFonts w:ascii="Times New Roman" w:cs="Times New Roman" w:eastAsia="Times New Roman" w:hAnsi="Times New Roman"/>
          <w:sz w:val="24"/>
          <w:szCs w:val="24"/>
        </w:rPr>
        <w:t xml:space="preserve">L’entraînement suit un protocole en plusieurs phases :</w:t>
      </w:r>
    </w:p>
    <w:p>
      <w:pPr>
        <w:spacing w:after="120" w:line="360"/>
        <w:jc w:val="both"/>
      </w:pPr>
      <w:r>
        <w:rPr>
          <w:rFonts w:ascii="Times New Roman" w:cs="Times New Roman" w:eastAsia="Times New Roman" w:hAnsi="Times New Roman"/>
          <w:sz w:val="24"/>
          <w:szCs w:val="24"/>
        </w:rPr>
        <w:t xml:space="preserve">1.  Phase d’exploration aléatoire (1 000 premiers pas) : le buffer est rempli avec des transitions issues d’actions uniformes.</w:t>
      </w:r>
    </w:p>
    <w:p>
      <w:pPr>
        <w:spacing w:after="120" w:line="360"/>
        <w:jc w:val="both"/>
      </w:pPr>
      <w:r>
        <w:rPr>
          <w:rFonts w:ascii="Times New Roman" w:cs="Times New Roman" w:eastAsia="Times New Roman" w:hAnsi="Times New Roman"/>
          <w:sz w:val="24"/>
          <w:szCs w:val="24"/>
        </w:rPr>
        <w:t xml:space="preserve">2.  Phase d’apprentissage : à chaque pas, l’agent sélectionne une action via sa politique stochastique, collecte la transition, et effectue une mise à jour SAC complète (critique, acteur, température).</w:t>
      </w:r>
    </w:p>
    <w:p>
      <w:pPr>
        <w:spacing w:after="120" w:line="360"/>
        <w:jc w:val="both"/>
      </w:pPr>
      <w:r>
        <w:rPr>
          <w:rFonts w:ascii="Times New Roman" w:cs="Times New Roman" w:eastAsia="Times New Roman" w:hAnsi="Times New Roman"/>
          <w:sz w:val="24"/>
          <w:szCs w:val="24"/>
        </w:rPr>
        <w:t xml:space="preserve">3.  Évaluation périodique (tous les 20 épisodes) : 5 épisodes déterministes sans exploration pour mesurer la performance réelle.</w:t>
      </w:r>
    </w:p>
    <w:p>
      <w:pPr>
        <w:spacing w:after="120" w:line="360"/>
        <w:jc w:val="both"/>
      </w:pPr>
      <w:r>
        <w:rPr>
          <w:rFonts w:ascii="Times New Roman" w:cs="Times New Roman" w:eastAsia="Times New Roman" w:hAnsi="Times New Roman"/>
          <w:sz w:val="24"/>
          <w:szCs w:val="24"/>
        </w:rPr>
        <w:t xml:space="preserve">4.  Sauvegarde de checkpoints pour l’analyse post-entraînement.</w:t>
      </w:r>
    </w:p>
    <w:p>
      <w:r>
        <w:br w:type="page"/>
      </w:r>
    </w:p>
    <w:p>
      <w:pPr>
        <w:pStyle w:val="Heading1"/>
        <w:spacing w:after="200" w:before="360"/>
      </w:pPr>
      <w:r>
        <w:rPr>
          <w:rFonts w:ascii="Times New Roman" w:cs="Times New Roman" w:eastAsia="Times New Roman" w:hAnsi="Times New Roman"/>
          <w:b/>
          <w:bCs/>
          <w:sz w:val="32"/>
          <w:szCs w:val="32"/>
        </w:rPr>
        <w:t xml:space="preserve">4. Modélisation mathématique</w:t>
      </w:r>
    </w:p>
    <w:p>
      <w:pPr>
        <w:pStyle w:val="Heading2"/>
        <w:spacing w:after="200" w:before="360"/>
      </w:pPr>
      <w:r>
        <w:rPr>
          <w:rFonts w:ascii="Times New Roman" w:cs="Times New Roman" w:eastAsia="Times New Roman" w:hAnsi="Times New Roman"/>
          <w:b/>
          <w:bCs/>
          <w:sz w:val="28"/>
          <w:szCs w:val="28"/>
        </w:rPr>
        <w:t xml:space="preserve">4.1 Modèle thermique équivalent RC</w:t>
      </w:r>
    </w:p>
    <w:p>
      <w:pPr>
        <w:spacing w:after="120" w:line="360"/>
        <w:jc w:val="both"/>
      </w:pPr>
      <w:r>
        <w:rPr>
          <w:rFonts w:ascii="Times New Roman" w:cs="Times New Roman" w:eastAsia="Times New Roman" w:hAnsi="Times New Roman"/>
          <w:sz w:val="24"/>
          <w:szCs w:val="24"/>
        </w:rPr>
        <w:t xml:space="preserve">Le comportement thermique de la batterie est modélisé par un circuit RC équivalent à un nœud. Ce modèle, bien que simplifié, capture les dynamiques essentielles : génération de chaleur par effet Joule, dissipation passive vers l’ambiant et refroidissement actif.</w:t>
      </w:r>
    </w:p>
    <w:p>
      <w:pPr>
        <w:pStyle w:val="Heading3"/>
        <w:spacing w:after="200" w:before="360"/>
      </w:pPr>
      <w:r>
        <w:rPr>
          <w:rFonts w:ascii="Times New Roman" w:cs="Times New Roman" w:eastAsia="Times New Roman" w:hAnsi="Times New Roman"/>
          <w:b/>
          <w:bCs/>
          <w:sz w:val="24"/>
          <w:szCs w:val="24"/>
        </w:rPr>
        <w:t xml:space="preserve">4.1.1 Équation différentielle fondamentale</w:t>
      </w:r>
    </w:p>
    <w:p>
      <w:pPr>
        <w:spacing w:after="120" w:line="360"/>
        <w:jc w:val="both"/>
      </w:pPr>
      <w:r>
        <w:rPr>
          <w:rFonts w:ascii="Times New Roman" w:cs="Times New Roman" w:eastAsia="Times New Roman" w:hAnsi="Times New Roman"/>
          <w:sz w:val="24"/>
          <w:szCs w:val="24"/>
        </w:rPr>
        <w:t xml:space="preserve">Le bilan énergétique du nœud thermique s’écrit :</w:t>
      </w:r>
    </w:p>
    <w:p>
      <w:pPr>
        <w:spacing w:after="200" w:before="200"/>
        <w:jc w:val="center"/>
      </w:pP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th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gen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cool</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amb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th</w:t>
      </w:r>
    </w:p>
    <w:p>
      <w:pPr>
        <w:spacing w:after="120" w:line="360"/>
        <w:jc w:val="both"/>
      </w:pPr>
      <w:r>
        <w:rPr>
          <w:rFonts w:ascii="Times New Roman" w:cs="Times New Roman" w:eastAsia="Times New Roman" w:hAnsi="Times New Roman"/>
          <w:sz w:val="24"/>
          <w:szCs w:val="24"/>
        </w:rPr>
        <w:t xml:space="preserve">où :</w:t>
      </w:r>
    </w:p>
    <w:p>
      <w:pPr>
        <w:spacing w:after="120" w:line="360"/>
        <w:jc w:val="both"/>
      </w:pP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th</w:t>
      </w:r>
      <w:r>
        <w:rPr>
          <w:rFonts w:ascii="Times New Roman" w:cs="Times New Roman" w:eastAsia="Times New Roman" w:hAnsi="Times New Roman"/>
          <w:sz w:val="24"/>
          <w:szCs w:val="24"/>
        </w:rPr>
        <w:t xml:space="preserve"> [J/K] est la capacité thermique du pack batterie (inertie thermique).</w:t>
      </w:r>
    </w:p>
    <w:p>
      <w:pPr>
        <w:spacing w:after="120" w:line="360"/>
        <w:jc w:val="both"/>
      </w:pP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[°C] est la température cellulaire uniforme (hypothèse nœud unique).</w:t>
      </w:r>
    </w:p>
    <w:p>
      <w:pPr>
        <w:spacing w:after="120" w:line="360"/>
        <w:jc w:val="both"/>
      </w:pP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gen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int</w:t>
      </w:r>
      <w:r>
        <w:rPr>
          <w:rFonts w:ascii="Times New Roman" w:cs="Times New Roman" w:eastAsia="Times New Roman" w:hAnsi="Times New Roman"/>
          <w:sz w:val="24"/>
          <w:szCs w:val="24"/>
        </w:rPr>
        <w:t xml:space="preserve"> [W] est la puissance de génération par effet Joule.</w:t>
      </w:r>
    </w:p>
    <w:p>
      <w:pPr>
        <w:spacing w:after="120" w:line="360"/>
        <w:jc w:val="both"/>
      </w:pP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cool</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cool,max</w:t>
      </w:r>
      <w:r>
        <w:rPr>
          <w:rFonts w:ascii="Times New Roman" w:cs="Times New Roman" w:eastAsia="Times New Roman" w:hAnsi="Times New Roman"/>
          <w:sz w:val="24"/>
          <w:szCs w:val="24"/>
        </w:rPr>
        <w:t xml:space="preserve"> [W] est la puissance de refroidissement actif, contrôlée par l’action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[0, 1].</w:t>
      </w:r>
    </w:p>
    <w:p>
      <w:pPr>
        <w:spacing w:after="120" w:line="3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amb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th</w:t>
      </w:r>
      <w:r>
        <w:rPr>
          <w:rFonts w:ascii="Times New Roman" w:cs="Times New Roman" w:eastAsia="Times New Roman" w:hAnsi="Times New Roman"/>
          <w:sz w:val="24"/>
          <w:szCs w:val="24"/>
        </w:rPr>
        <w:t xml:space="preserve"> [W] est le flux de chaleur passif vers l’ambiant (convection naturelle).</w:t>
      </w:r>
    </w:p>
    <w:p>
      <w:pPr>
        <w:pStyle w:val="Heading3"/>
        <w:spacing w:after="200" w:before="360"/>
      </w:pPr>
      <w:r>
        <w:rPr>
          <w:rFonts w:ascii="Times New Roman" w:cs="Times New Roman" w:eastAsia="Times New Roman" w:hAnsi="Times New Roman"/>
          <w:b/>
          <w:bCs/>
          <w:sz w:val="24"/>
          <w:szCs w:val="24"/>
        </w:rPr>
        <w:t xml:space="preserve">4.1.2 Discrétisation (Euler explicite)</w:t>
      </w:r>
    </w:p>
    <w:p>
      <w:pPr>
        <w:spacing w:after="120" w:line="360"/>
        <w:jc w:val="both"/>
      </w:pPr>
      <w:r>
        <w:rPr>
          <w:rFonts w:ascii="Times New Roman" w:cs="Times New Roman" w:eastAsia="Times New Roman" w:hAnsi="Times New Roman"/>
          <w:sz w:val="24"/>
          <w:szCs w:val="24"/>
        </w:rPr>
        <w:t xml:space="preserve">Pour la simulation numérique, l’équation est discrétisée par la méthode d’Euler explicite avec un pas de temps Δt = 1 s :</w:t>
      </w:r>
    </w:p>
    <w:p>
      <w:pPr>
        <w:spacing w:after="200" w:before="200"/>
        <w:jc w:val="center"/>
      </w:pP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k+1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Δ</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gen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cool</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amb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th</w:t>
      </w:r>
      <w:r>
        <w:rPr>
          <w:rFonts w:ascii="Times New Roman" w:cs="Times New Roman" w:eastAsia="Times New Roman" w:hAnsi="Times New Roman"/>
          <w:sz w:val="24"/>
          <w:szCs w:val="24"/>
        </w:rPr>
        <w:t xml:space="preserve"> ]</w:t>
      </w:r>
    </w:p>
    <w:p>
      <w:pPr>
        <w:pStyle w:val="Heading3"/>
        <w:spacing w:after="200" w:before="360"/>
      </w:pPr>
      <w:r>
        <w:rPr>
          <w:rFonts w:ascii="Times New Roman" w:cs="Times New Roman" w:eastAsia="Times New Roman" w:hAnsi="Times New Roman"/>
          <w:b/>
          <w:bCs/>
          <w:sz w:val="24"/>
          <w:szCs w:val="24"/>
        </w:rPr>
        <w:t xml:space="preserve">4.1.3 Température d’équilibre</w:t>
      </w:r>
    </w:p>
    <w:p>
      <w:pPr>
        <w:spacing w:after="120" w:line="360"/>
        <w:jc w:val="both"/>
      </w:pPr>
      <w:r>
        <w:rPr>
          <w:rFonts w:ascii="Times New Roman" w:cs="Times New Roman" w:eastAsia="Times New Roman" w:hAnsi="Times New Roman"/>
          <w:sz w:val="24"/>
          <w:szCs w:val="24"/>
        </w:rPr>
        <w:t xml:space="preserve">En régime permanent (dT/dt = 0), la température d’équilibre vaut :</w:t>
      </w:r>
    </w:p>
    <w:p>
      <w:pPr>
        <w:spacing w:after="200" w:before="200"/>
        <w:jc w:val="center"/>
      </w:pP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ss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amb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gen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cool</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Cette formule permet de vérifier analytiquement la cohérence de la simulation (test unitaire test_steady_state_formula).</w:t>
      </w:r>
    </w:p>
    <w:p>
      <w:pPr>
        <w:pStyle w:val="Heading3"/>
        <w:spacing w:after="200" w:before="360"/>
      </w:pPr>
      <w:r>
        <w:rPr>
          <w:rFonts w:ascii="Times New Roman" w:cs="Times New Roman" w:eastAsia="Times New Roman" w:hAnsi="Times New Roman"/>
          <w:b/>
          <w:bCs/>
          <w:sz w:val="24"/>
          <w:szCs w:val="24"/>
        </w:rPr>
        <w:t xml:space="preserve">4.1.4 Constante de temps</w:t>
      </w:r>
    </w:p>
    <w:p>
      <w:pPr>
        <w:spacing w:after="120" w:line="360"/>
        <w:jc w:val="both"/>
      </w:pPr>
      <w:r>
        <w:rPr>
          <w:rFonts w:ascii="Times New Roman" w:cs="Times New Roman" w:eastAsia="Times New Roman" w:hAnsi="Times New Roman"/>
          <w:sz w:val="24"/>
          <w:szCs w:val="24"/>
        </w:rPr>
        <w:t xml:space="preserve">La constante de temps du système thermique est :</w:t>
      </w:r>
    </w:p>
    <w:p>
      <w:pPr>
        <w:spacing w:after="200" w:before="200"/>
        <w:jc w:val="center"/>
      </w:pPr>
      <w:r>
        <w:rPr>
          <w:rFonts w:ascii="Times New Roman" w:cs="Times New Roman" w:eastAsia="Times New Roman" w:hAnsi="Times New Roman"/>
          <w:i/>
          <w:iCs/>
          <w:sz w:val="24"/>
          <w:szCs w:val="24"/>
        </w:rPr>
        <w:t xml:space="preserve">τ</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th</w:t>
      </w:r>
    </w:p>
    <w:p>
      <w:pPr>
        <w:spacing w:after="120" w:line="360"/>
        <w:jc w:val="both"/>
      </w:pPr>
      <w:r>
        <w:rPr>
          <w:rFonts w:ascii="Times New Roman" w:cs="Times New Roman" w:eastAsia="Times New Roman" w:hAnsi="Times New Roman"/>
          <w:sz w:val="24"/>
          <w:szCs w:val="24"/>
        </w:rPr>
        <w:t xml:space="preserve">Avec les paramètres génériques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th</w:t>
      </w:r>
      <w:r>
        <w:rPr>
          <w:rFonts w:ascii="Times New Roman" w:cs="Times New Roman" w:eastAsia="Times New Roman" w:hAnsi="Times New Roman"/>
          <w:sz w:val="24"/>
          <w:szCs w:val="24"/>
        </w:rPr>
        <w:t xml:space="preserve"> = 1 K/W,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th</w:t>
      </w:r>
      <w:r>
        <w:rPr>
          <w:rFonts w:ascii="Times New Roman" w:cs="Times New Roman" w:eastAsia="Times New Roman" w:hAnsi="Times New Roman"/>
          <w:sz w:val="24"/>
          <w:szCs w:val="24"/>
        </w:rPr>
        <w:t xml:space="preserve"> = 100 J/K), τ = 100 s. Cela signifie que le système atteint ~63 % de son équilibre en 100 secondes, ce qui est cohérent avec les dynamiques thermiques réelles de packs batterie de taille modérée.</w:t>
      </w:r>
    </w:p>
    <w:p>
      <w:pPr>
        <w:pStyle w:val="Heading2"/>
        <w:spacing w:after="200" w:before="360"/>
      </w:pPr>
      <w:r>
        <w:rPr>
          <w:rFonts w:ascii="Times New Roman" w:cs="Times New Roman" w:eastAsia="Times New Roman" w:hAnsi="Times New Roman"/>
          <w:b/>
          <w:bCs/>
          <w:sz w:val="28"/>
          <w:szCs w:val="28"/>
        </w:rPr>
        <w:t xml:space="preserve">4.2 Formulation comme processus de décision markovien</w:t>
      </w:r>
    </w:p>
    <w:p>
      <w:pPr>
        <w:spacing w:after="120" w:line="360"/>
        <w:jc w:val="both"/>
      </w:pPr>
      <w:r>
        <w:rPr>
          <w:rFonts w:ascii="Times New Roman" w:cs="Times New Roman" w:eastAsia="Times New Roman" w:hAnsi="Times New Roman"/>
          <w:sz w:val="24"/>
          <w:szCs w:val="24"/>
        </w:rPr>
        <w:t xml:space="preserve">Le problème de contrôle thermique est formulé comme un MDP (Markov Decision Process) défini par le quintuplet (S, A, P, R, γ) :</w:t>
      </w:r>
    </w:p>
    <w:p>
      <w:pPr>
        <w:pStyle w:val="Heading3"/>
        <w:spacing w:after="200" w:before="360"/>
      </w:pPr>
      <w:r>
        <w:rPr>
          <w:rFonts w:ascii="Times New Roman" w:cs="Times New Roman" w:eastAsia="Times New Roman" w:hAnsi="Times New Roman"/>
          <w:b/>
          <w:bCs/>
          <w:sz w:val="24"/>
          <w:szCs w:val="24"/>
        </w:rPr>
        <w:t xml:space="preserve">4.2.1 Espace d’états S</w:t>
      </w:r>
    </w:p>
    <w:p>
      <w:pPr>
        <w:spacing w:after="200" w:before="200"/>
        <w:jc w:val="center"/>
      </w:pP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SoC̃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Ĩ</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amb,t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ã</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ℝ</w:t>
      </w:r>
      <w:r>
        <w:rPr>
          <w:rFonts w:ascii="Times New Roman" w:cs="Times New Roman" w:eastAsia="Times New Roman" w:hAnsi="Times New Roman"/>
          <w:sz w:val="24"/>
          <w:szCs w:val="24"/>
          <w:vertAlign w:val="superscript"/>
        </w:rPr>
        <w:t xml:space="preserve">5</w:t>
      </w:r>
    </w:p>
    <w:p>
      <w:pPr>
        <w:spacing w:after="120" w:line="360"/>
        <w:jc w:val="both"/>
      </w:pPr>
      <w:r>
        <w:rPr>
          <w:rFonts w:ascii="Times New Roman" w:cs="Times New Roman" w:eastAsia="Times New Roman" w:hAnsi="Times New Roman"/>
          <w:sz w:val="24"/>
          <w:szCs w:val="24"/>
        </w:rPr>
        <w:t xml:space="preserve">où le tilde dénote la normalisation dans [-1, 1] par transformation affine.</w:t>
      </w:r>
    </w:p>
    <w:p>
      <w:pPr>
        <w:pStyle w:val="Heading3"/>
        <w:spacing w:after="200" w:before="360"/>
      </w:pPr>
      <w:r>
        <w:rPr>
          <w:rFonts w:ascii="Times New Roman" w:cs="Times New Roman" w:eastAsia="Times New Roman" w:hAnsi="Times New Roman"/>
          <w:b/>
          <w:bCs/>
          <w:sz w:val="24"/>
          <w:szCs w:val="24"/>
        </w:rPr>
        <w:t xml:space="preserve">4.2.2 Espace d’actions A</w:t>
      </w:r>
    </w:p>
    <w:p>
      <w:pPr>
        <w:spacing w:after="200" w:before="200"/>
        <w:jc w:val="center"/>
      </w:pP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[0, 1]  ⊂  ℝ</w:t>
      </w:r>
    </w:p>
    <w:p>
      <w:pPr>
        <w:spacing w:after="120" w:line="360"/>
        <w:jc w:val="both"/>
      </w:pPr>
      <w:r>
        <w:rPr>
          <w:rFonts w:ascii="Times New Roman" w:cs="Times New Roman" w:eastAsia="Times New Roman" w:hAnsi="Times New Roman"/>
          <w:sz w:val="24"/>
          <w:szCs w:val="24"/>
        </w:rPr>
        <w:t xml:space="preserve">représentant la fraction de puissance de refroidissement maximale.</w:t>
      </w:r>
    </w:p>
    <w:p>
      <w:pPr>
        <w:pStyle w:val="Heading3"/>
        <w:spacing w:after="200" w:before="360"/>
      </w:pPr>
      <w:r>
        <w:rPr>
          <w:rFonts w:ascii="Times New Roman" w:cs="Times New Roman" w:eastAsia="Times New Roman" w:hAnsi="Times New Roman"/>
          <w:b/>
          <w:bCs/>
          <w:sz w:val="24"/>
          <w:szCs w:val="24"/>
        </w:rPr>
        <w:t xml:space="preserve">4.2.3 Fonction de transition P</w:t>
      </w:r>
    </w:p>
    <w:p>
      <w:pPr>
        <w:spacing w:after="120" w:line="360"/>
        <w:jc w:val="both"/>
      </w:pPr>
      <w:r>
        <w:rPr>
          <w:rFonts w:ascii="Times New Roman" w:cs="Times New Roman" w:eastAsia="Times New Roman" w:hAnsi="Times New Roman"/>
          <w:sz w:val="24"/>
          <w:szCs w:val="24"/>
        </w:rPr>
        <w:t xml:space="preserve">La transition est déterministe conditionnellement au courant et à la température ambiante, qui évoluent stochastiquement :</w:t>
      </w:r>
    </w:p>
    <w:p>
      <w:pPr>
        <w:spacing w:after="200" w:before="200"/>
        <w:jc w:val="center"/>
      </w:pP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clip(</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avec ε</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Ν(0, 4)</w:t>
      </w:r>
    </w:p>
    <w:p>
      <w:pPr>
        <w:spacing w:after="200" w:before="200"/>
        <w:jc w:val="center"/>
      </w:pP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amb,t+1</w:t>
      </w:r>
      <w:r>
        <w:rPr>
          <w:rFonts w:ascii="Times New Roman" w:cs="Times New Roman" w:eastAsia="Times New Roman" w:hAnsi="Times New Roman"/>
          <w:sz w:val="24"/>
          <w:szCs w:val="24"/>
        </w:rPr>
        <w:t xml:space="preserve"> = clip(</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amb,t</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amb,min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amb,max</w:t>
      </w:r>
      <w:r>
        <w:rPr>
          <w:rFonts w:ascii="Times New Roman" w:cs="Times New Roman" w:eastAsia="Times New Roman" w:hAnsi="Times New Roman"/>
          <w:sz w:val="24"/>
          <w:szCs w:val="24"/>
        </w:rPr>
        <w:t xml:space="preserve">)    avec ε</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Ν(0, 0.0025)</w:t>
      </w:r>
    </w:p>
    <w:p>
      <w:pPr>
        <w:pStyle w:val="Heading2"/>
        <w:spacing w:after="200" w:before="360"/>
      </w:pPr>
      <w:r>
        <w:rPr>
          <w:rFonts w:ascii="Times New Roman" w:cs="Times New Roman" w:eastAsia="Times New Roman" w:hAnsi="Times New Roman"/>
          <w:b/>
          <w:bCs/>
          <w:sz w:val="28"/>
          <w:szCs w:val="28"/>
        </w:rPr>
        <w:t xml:space="preserve">4.3 Algorithme Soft Actor-Critic</w:t>
      </w:r>
    </w:p>
    <w:p>
      <w:pPr>
        <w:pStyle w:val="Heading3"/>
        <w:spacing w:after="200" w:before="360"/>
      </w:pPr>
      <w:r>
        <w:rPr>
          <w:rFonts w:ascii="Times New Roman" w:cs="Times New Roman" w:eastAsia="Times New Roman" w:hAnsi="Times New Roman"/>
          <w:b/>
          <w:bCs/>
          <w:sz w:val="24"/>
          <w:szCs w:val="24"/>
        </w:rPr>
        <w:t xml:space="preserve">4.3.1 Objectif entropie-régularisé</w:t>
      </w:r>
    </w:p>
    <w:p>
      <w:pPr>
        <w:spacing w:after="120" w:line="360"/>
        <w:jc w:val="both"/>
      </w:pPr>
      <w:r>
        <w:rPr>
          <w:rFonts w:ascii="Times New Roman" w:cs="Times New Roman" w:eastAsia="Times New Roman" w:hAnsi="Times New Roman"/>
          <w:sz w:val="24"/>
          <w:szCs w:val="24"/>
        </w:rPr>
        <w:t xml:space="preserve">SAC maximise l’objectif suivant, qui combine la récompense cumulée et l’entropie de la politique :</w:t>
      </w:r>
    </w:p>
    <w:p>
      <w:pPr>
        <w:spacing w:after="200" w:before="200"/>
        <w:jc w:val="center"/>
      </w:pP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(π) =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γ</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sz w:val="24"/>
          <w:szCs w:val="24"/>
        </w:rPr>
        <w:t xml:space="preserve"> · Ε[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α · ℋ(π(·|</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w:t>
      </w:r>
    </w:p>
    <w:p>
      <w:pPr>
        <w:spacing w:after="120" w:line="360"/>
        <w:jc w:val="both"/>
      </w:pPr>
      <w:r>
        <w:rPr>
          <w:rFonts w:ascii="Times New Roman" w:cs="Times New Roman" w:eastAsia="Times New Roman" w:hAnsi="Times New Roman"/>
          <w:sz w:val="24"/>
          <w:szCs w:val="24"/>
        </w:rPr>
        <w:t xml:space="preserve">où α est le coefficient de température entropique et ℋ(π) = −Ε[log π(</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est l’entropie de la politique. Ce terme encourage l’exploration en favorisant des politiques à forte entropie.</w:t>
      </w:r>
    </w:p>
    <w:p>
      <w:pPr>
        <w:pStyle w:val="Heading3"/>
        <w:spacing w:after="200" w:before="360"/>
      </w:pPr>
      <w:r>
        <w:rPr>
          <w:rFonts w:ascii="Times New Roman" w:cs="Times New Roman" w:eastAsia="Times New Roman" w:hAnsi="Times New Roman"/>
          <w:b/>
          <w:bCs/>
          <w:sz w:val="24"/>
          <w:szCs w:val="24"/>
        </w:rPr>
        <w:t xml:space="preserve">4.3.2 Mise à jour du critique (Twin Q-Networks)</w:t>
      </w:r>
    </w:p>
    <w:p>
      <w:pPr>
        <w:spacing w:after="120" w:line="360"/>
        <w:jc w:val="both"/>
      </w:pPr>
      <w:r>
        <w:rPr>
          <w:rFonts w:ascii="Times New Roman" w:cs="Times New Roman" w:eastAsia="Times New Roman" w:hAnsi="Times New Roman"/>
          <w:sz w:val="24"/>
          <w:szCs w:val="24"/>
        </w:rPr>
        <w:t xml:space="preserve">Deux réseaux Q indépendants sont entraînés simultanément pour réduire le biais de surestimation. La cible pour chaque réseau est :</w:t>
      </w:r>
    </w:p>
    <w:p>
      <w:pPr>
        <w:spacing w:after="200" w:before="200"/>
        <w:jc w:val="center"/>
      </w:pP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γ · (1 −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 min(</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1,targ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2,targ</w:t>
      </w:r>
      <w:r>
        <w:rPr>
          <w:rFonts w:ascii="Times New Roman" w:cs="Times New Roman" w:eastAsia="Times New Roman" w:hAnsi="Times New Roman"/>
          <w:sz w:val="24"/>
          <w:szCs w:val="24"/>
        </w:rPr>
        <w:t xml:space="preserve">) − α · log π(</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t>
      </w:r>
    </w:p>
    <w:p>
      <w:pPr>
        <w:spacing w:after="120" w:line="360"/>
        <w:jc w:val="both"/>
      </w:pPr>
      <w:r>
        <w:rPr>
          <w:rFonts w:ascii="Times New Roman" w:cs="Times New Roman" w:eastAsia="Times New Roman" w:hAnsi="Times New Roman"/>
          <w:sz w:val="24"/>
          <w:szCs w:val="24"/>
        </w:rPr>
        <w:t xml:space="preserve">La loss du critique est la somme des MSE :</w:t>
      </w:r>
    </w:p>
    <w:p>
      <w:pPr>
        <w:spacing w:after="200" w:before="200"/>
        <w:jc w:val="center"/>
      </w:pP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vertAlign w:val="subscript"/>
        </w:rPr>
        <w:t xml:space="preserve">critic</w:t>
      </w:r>
      <w:r>
        <w:rPr>
          <w:rFonts w:ascii="Times New Roman" w:cs="Times New Roman" w:eastAsia="Times New Roman" w:hAnsi="Times New Roman"/>
          <w:sz w:val="24"/>
          <w:szCs w:val="24"/>
        </w:rPr>
        <w:t xml:space="preserve"> = MSE(</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MSE(</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w:t>
      </w:r>
    </w:p>
    <w:p>
      <w:pPr>
        <w:pStyle w:val="Heading3"/>
        <w:spacing w:after="200" w:before="360"/>
      </w:pPr>
      <w:r>
        <w:rPr>
          <w:rFonts w:ascii="Times New Roman" w:cs="Times New Roman" w:eastAsia="Times New Roman" w:hAnsi="Times New Roman"/>
          <w:b/>
          <w:bCs/>
          <w:sz w:val="24"/>
          <w:szCs w:val="24"/>
        </w:rPr>
        <w:t xml:space="preserve">4.3.3 Mise à jour de l’acteur</w:t>
      </w:r>
    </w:p>
    <w:p>
      <w:pPr>
        <w:spacing w:after="120" w:line="360"/>
        <w:jc w:val="both"/>
      </w:pPr>
      <w:r>
        <w:rPr>
          <w:rFonts w:ascii="Times New Roman" w:cs="Times New Roman" w:eastAsia="Times New Roman" w:hAnsi="Times New Roman"/>
          <w:sz w:val="24"/>
          <w:szCs w:val="24"/>
        </w:rPr>
        <w:t xml:space="preserve">L’acteur est mis à jour pour maximiser la Q-valeur tout en maintenant une haute entropie :</w:t>
      </w:r>
    </w:p>
    <w:p>
      <w:pPr>
        <w:spacing w:after="200" w:before="200"/>
        <w:jc w:val="center"/>
      </w:pP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vertAlign w:val="subscript"/>
        </w:rPr>
        <w:t xml:space="preserve">actor</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s~B</w:t>
      </w:r>
      <w:r>
        <w:rPr>
          <w:rFonts w:ascii="Times New Roman" w:cs="Times New Roman" w:eastAsia="Times New Roman" w:hAnsi="Times New Roman"/>
          <w:sz w:val="24"/>
          <w:szCs w:val="24"/>
        </w:rPr>
        <w:t xml:space="preserve">[ α · log π(</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p>
    <w:p>
      <w:pPr>
        <w:spacing w:after="120" w:line="360"/>
        <w:jc w:val="both"/>
      </w:pPr>
      <w:r>
        <w:rPr>
          <w:rFonts w:ascii="Times New Roman" w:cs="Times New Roman" w:eastAsia="Times New Roman" w:hAnsi="Times New Roman"/>
          <w:sz w:val="24"/>
          <w:szCs w:val="24"/>
        </w:rPr>
        <w:t xml:space="preserve">où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est échantillonné via la reparametrization trick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tanh(μ(</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σ(</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ε), avec ε ~ Ν(0, I).</w:t>
      </w:r>
    </w:p>
    <w:p>
      <w:pPr>
        <w:pStyle w:val="Heading3"/>
        <w:spacing w:after="200" w:before="360"/>
      </w:pPr>
      <w:r>
        <w:rPr>
          <w:rFonts w:ascii="Times New Roman" w:cs="Times New Roman" w:eastAsia="Times New Roman" w:hAnsi="Times New Roman"/>
          <w:b/>
          <w:bCs/>
          <w:sz w:val="24"/>
          <w:szCs w:val="24"/>
        </w:rPr>
        <w:t xml:space="preserve">4.3.4 Entropie adaptative</w:t>
      </w:r>
    </w:p>
    <w:p>
      <w:pPr>
        <w:spacing w:after="120" w:line="360"/>
        <w:jc w:val="both"/>
      </w:pPr>
      <w:r>
        <w:rPr>
          <w:rFonts w:ascii="Times New Roman" w:cs="Times New Roman" w:eastAsia="Times New Roman" w:hAnsi="Times New Roman"/>
          <w:sz w:val="24"/>
          <w:szCs w:val="24"/>
        </w:rPr>
        <w:t xml:space="preserve">Le coefficient α est appris automatiquement en minimisant :</w:t>
      </w:r>
    </w:p>
    <w:p>
      <w:pPr>
        <w:spacing w:after="200" w:before="200"/>
        <w:jc w:val="center"/>
      </w:pP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vertAlign w:val="subscript"/>
        </w:rPr>
        <w:t xml:space="preserve">α</w:t>
      </w:r>
      <w:r>
        <w:rPr>
          <w:rFonts w:ascii="Times New Roman" w:cs="Times New Roman" w:eastAsia="Times New Roman" w:hAnsi="Times New Roman"/>
          <w:sz w:val="24"/>
          <w:szCs w:val="24"/>
        </w:rPr>
        <w:t xml:space="preserve"> = −α · Ε[ log π(</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ℋ̃ ]</w:t>
      </w:r>
    </w:p>
    <w:p>
      <w:pPr>
        <w:spacing w:after="120" w:line="360"/>
        <w:jc w:val="both"/>
      </w:pPr>
      <w:r>
        <w:rPr>
          <w:rFonts w:ascii="Times New Roman" w:cs="Times New Roman" w:eastAsia="Times New Roman" w:hAnsi="Times New Roman"/>
          <w:sz w:val="24"/>
          <w:szCs w:val="24"/>
        </w:rPr>
        <w:t xml:space="preserve">où ℋ̃ = −dim(A) est l’entropie cible. En pratique, c’est log α qui est optimisé (plus stable numériquement).</w:t>
      </w:r>
    </w:p>
    <w:p>
      <w:pPr>
        <w:pStyle w:val="Heading3"/>
        <w:spacing w:after="200" w:before="360"/>
      </w:pPr>
      <w:r>
        <w:rPr>
          <w:rFonts w:ascii="Times New Roman" w:cs="Times New Roman" w:eastAsia="Times New Roman" w:hAnsi="Times New Roman"/>
          <w:b/>
          <w:bCs/>
          <w:sz w:val="24"/>
          <w:szCs w:val="24"/>
        </w:rPr>
        <w:t xml:space="preserve">4.3.5 Soft update des réseaux cibles</w:t>
      </w:r>
    </w:p>
    <w:p>
      <w:pPr>
        <w:spacing w:after="120" w:line="360"/>
        <w:jc w:val="both"/>
      </w:pPr>
      <w:r>
        <w:rPr>
          <w:rFonts w:ascii="Times New Roman" w:cs="Times New Roman" w:eastAsia="Times New Roman" w:hAnsi="Times New Roman"/>
          <w:sz w:val="24"/>
          <w:szCs w:val="24"/>
        </w:rPr>
        <w:t xml:space="preserve">Les réseaux cibles sont mis à jour par moyennage de Polyak :</w:t>
      </w:r>
    </w:p>
    <w:p>
      <w:pPr>
        <w:spacing w:after="200" w:before="200"/>
        <w:jc w:val="center"/>
      </w:pP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vertAlign w:val="subscript"/>
        </w:rPr>
        <w:t xml:space="preserve">target</w:t>
      </w:r>
      <w:r>
        <w:rPr>
          <w:rFonts w:ascii="Times New Roman" w:cs="Times New Roman" w:eastAsia="Times New Roman" w:hAnsi="Times New Roman"/>
          <w:sz w:val="24"/>
          <w:szCs w:val="24"/>
        </w:rPr>
        <w:t xml:space="preserve"> ← τ · θ + (1 − τ) ·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vertAlign w:val="subscript"/>
        </w:rPr>
        <w:t xml:space="preserve">target</w:t>
      </w:r>
    </w:p>
    <w:p>
      <w:pPr>
        <w:spacing w:after="120" w:line="360"/>
        <w:jc w:val="both"/>
      </w:pPr>
      <w:r>
        <w:rPr>
          <w:rFonts w:ascii="Times New Roman" w:cs="Times New Roman" w:eastAsia="Times New Roman" w:hAnsi="Times New Roman"/>
          <w:sz w:val="24"/>
          <w:szCs w:val="24"/>
        </w:rPr>
        <w:t xml:space="preserve">avec τ = 0,005 (valeur standard).</w:t>
      </w:r>
    </w:p>
    <w:p>
      <w:pPr>
        <w:pStyle w:val="Heading2"/>
        <w:spacing w:after="200" w:before="360"/>
      </w:pPr>
      <w:r>
        <w:rPr>
          <w:rFonts w:ascii="Times New Roman" w:cs="Times New Roman" w:eastAsia="Times New Roman" w:hAnsi="Times New Roman"/>
          <w:b/>
          <w:bCs/>
          <w:sz w:val="28"/>
          <w:szCs w:val="28"/>
        </w:rPr>
        <w:t xml:space="preserve">4.4 Fonction de récompense</w:t>
      </w:r>
    </w:p>
    <w:p>
      <w:pPr>
        <w:pStyle w:val="Heading3"/>
        <w:spacing w:after="200" w:before="360"/>
      </w:pPr>
      <w:r>
        <w:rPr>
          <w:rFonts w:ascii="Times New Roman" w:cs="Times New Roman" w:eastAsia="Times New Roman" w:hAnsi="Times New Roman"/>
          <w:b/>
          <w:bCs/>
          <w:sz w:val="24"/>
          <w:szCs w:val="24"/>
        </w:rPr>
        <w:t xml:space="preserve">4.4.1 Récompense de base</w:t>
      </w:r>
    </w:p>
    <w:p>
      <w:pPr>
        <w:spacing w:after="120" w:line="360"/>
        <w:jc w:val="both"/>
      </w:pPr>
      <w:r>
        <w:rPr>
          <w:rFonts w:ascii="Times New Roman" w:cs="Times New Roman" w:eastAsia="Times New Roman" w:hAnsi="Times New Roman"/>
          <w:sz w:val="24"/>
          <w:szCs w:val="24"/>
        </w:rPr>
        <w:t xml:space="preserve">La fonction de récompense encode quatre objectifs pondérés :</w:t>
      </w:r>
    </w:p>
    <w:p>
      <w:pPr>
        <w:spacing w:after="200" w:before="200"/>
        <w:jc w:val="center"/>
      </w:pP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high</w:t>
      </w:r>
      <w:r>
        <w:rPr>
          <w:rFonts w:ascii="Times New Roman" w:cs="Times New Roman" w:eastAsia="Times New Roman" w:hAnsi="Times New Roman"/>
          <w:sz w:val="24"/>
          <w:szCs w:val="24"/>
        </w:rPr>
        <w:t xml:space="preserve"> · max(0,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safe,max</w:t>
      </w:r>
      <w:r>
        <w:rPr>
          <w:rFonts w:ascii="Times New Roman" w:cs="Times New Roman" w:eastAsia="Times New Roman" w:hAnsi="Times New Roman"/>
          <w:sz w:val="24"/>
          <w:szCs w:val="24"/>
        </w:rPr>
        <w:t xml:space="preserve">)²</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low</w:t>
      </w:r>
      <w:r>
        <w:rPr>
          <w:rFonts w:ascii="Times New Roman" w:cs="Times New Roman" w:eastAsia="Times New Roman" w:hAnsi="Times New Roman"/>
          <w:sz w:val="24"/>
          <w:szCs w:val="24"/>
        </w:rPr>
        <w:t xml:space="preserve"> · max(0,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safe,min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)²</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cool</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soc</w:t>
      </w:r>
      <w:r>
        <w:rPr>
          <w:rFonts w:ascii="Times New Roman" w:cs="Times New Roman" w:eastAsia="Times New Roman" w:hAnsi="Times New Roman"/>
          <w:sz w:val="24"/>
          <w:szCs w:val="24"/>
        </w:rPr>
        <w:t xml:space="preserve"> · ΔSoC</w:t>
      </w:r>
    </w:p>
    <w:p>
      <w:pPr>
        <w:pStyle w:val="Heading3"/>
        <w:spacing w:after="200" w:before="360"/>
      </w:pPr>
      <w:r>
        <w:rPr>
          <w:rFonts w:ascii="Times New Roman" w:cs="Times New Roman" w:eastAsia="Times New Roman" w:hAnsi="Times New Roman"/>
          <w:b/>
          <w:bCs/>
          <w:sz w:val="24"/>
          <w:szCs w:val="24"/>
        </w:rPr>
        <w:t xml:space="preserve">4.4.2 Pénalité de montée thermique (Jour 7)</w:t>
      </w:r>
    </w:p>
    <w:p>
      <w:pPr>
        <w:spacing w:after="120" w:line="360"/>
        <w:jc w:val="both"/>
      </w:pPr>
      <w:r>
        <w:rPr>
          <w:rFonts w:ascii="Times New Roman" w:cs="Times New Roman" w:eastAsia="Times New Roman" w:hAnsi="Times New Roman"/>
          <w:sz w:val="24"/>
          <w:szCs w:val="24"/>
        </w:rPr>
        <w:t xml:space="preserve">Pour améliorer l’anticipation des pics, une pénalité proportionnelle à la vitesse de montée de température est ajoutée :</w:t>
      </w:r>
    </w:p>
    <w:p>
      <w:pPr>
        <w:spacing w:after="200" w:before="200"/>
        <w:jc w:val="center"/>
      </w:pP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rise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ΔT</w:t>
      </w:r>
      <w:r>
        <w:rPr>
          <w:rFonts w:ascii="Times New Roman" w:cs="Times New Roman" w:eastAsia="Times New Roman" w:hAnsi="Times New Roman"/>
          <w:sz w:val="24"/>
          <w:szCs w:val="24"/>
        </w:rPr>
        <w:t xml:space="preserve"> · max(0, Δ</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max(0,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warning</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Cette pénalité est active uniquement lorsque la température dépasse le seuil d’alerte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vertAlign w:val="subscript"/>
        </w:rPr>
        <w:t xml:space="preserve">warning</w:t>
      </w:r>
      <w:r>
        <w:rPr>
          <w:rFonts w:ascii="Times New Roman" w:cs="Times New Roman" w:eastAsia="Times New Roman" w:hAnsi="Times New Roman"/>
          <w:sz w:val="24"/>
          <w:szCs w:val="24"/>
        </w:rPr>
        <w:t xml:space="preserve"> = 40°C ET monte (ΔT &gt; 0). Elle fournit un signal d’apprentissage précoce, avant que la température n’atteigne la zone dangereuse.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026"/>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Paramètre</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Valeur initiale (J1–J6)</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Valeur tunée (J7)</w:t>
            </w:r>
          </w:p>
        </w:tc>
        <w:tc>
          <w:tcPr>
            <w:tcW w:type="dxa" w:w="302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Justification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w_temp_high</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5,0</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Pénalise plus fort les dépassements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w_temp_low</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Inchangé</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w_cooling</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0,05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0,01</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Autorise plus de refroidissement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w_soc</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0,1</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0,1</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Inchangé</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w_delta_T</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0,5</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Anticipe les montées thermiques</w:t>
            </w:r>
          </w:p>
        </w:tc>
      </w:tr>
    </w:tbl>
    <w:p>
      <w:r>
        <w:br w:type="page"/>
      </w:r>
    </w:p>
    <w:p>
      <w:pPr>
        <w:pStyle w:val="Heading1"/>
        <w:spacing w:after="200" w:before="360"/>
      </w:pPr>
      <w:r>
        <w:rPr>
          <w:rFonts w:ascii="Times New Roman" w:cs="Times New Roman" w:eastAsia="Times New Roman" w:hAnsi="Times New Roman"/>
          <w:b/>
          <w:bCs/>
          <w:sz w:val="32"/>
          <w:szCs w:val="32"/>
        </w:rPr>
        <w:t xml:space="preserve">5. Implémentation</w:t>
      </w:r>
    </w:p>
    <w:p>
      <w:pPr>
        <w:pStyle w:val="Heading2"/>
        <w:spacing w:after="200" w:before="360"/>
      </w:pPr>
      <w:r>
        <w:rPr>
          <w:rFonts w:ascii="Times New Roman" w:cs="Times New Roman" w:eastAsia="Times New Roman" w:hAnsi="Times New Roman"/>
          <w:b/>
          <w:bCs/>
          <w:sz w:val="28"/>
          <w:szCs w:val="28"/>
        </w:rPr>
        <w:t xml:space="preserve">5.1 Structure du code</w:t>
      </w:r>
    </w:p>
    <w:p>
      <w:pPr>
        <w:spacing w:after="120" w:line="360"/>
        <w:jc w:val="both"/>
      </w:pPr>
      <w:r>
        <w:rPr>
          <w:rFonts w:ascii="Times New Roman" w:cs="Times New Roman" w:eastAsia="Times New Roman" w:hAnsi="Times New Roman"/>
          <w:sz w:val="24"/>
          <w:szCs w:val="24"/>
        </w:rPr>
        <w:t xml:space="preserve">Le projet suit une architecture modulaire, conçue pour être facile à maintenir et à étendre :</w:t>
      </w:r>
    </w:p>
    <w:p>
      <w:pPr>
        <w:spacing w:after="120" w:line="360"/>
        <w:jc w:val="both"/>
      </w:pPr>
      <w:r>
        <w:rPr>
          <w:rFonts w:ascii="Times New Roman" w:cs="Times New Roman" w:eastAsia="Times New Roman" w:hAnsi="Times New Roman"/>
          <w:sz w:val="24"/>
          <w:szCs w:val="24"/>
        </w:rPr>
        <w:t xml:space="preserve">    RL battery/</w:t>
      </w:r>
    </w:p>
    <w:p>
      <w:pPr>
        <w:spacing w:after="120" w:line="360"/>
        <w:jc w:val="both"/>
      </w:pPr>
      <w:r>
        <w:rPr>
          <w:rFonts w:ascii="Times New Roman" w:cs="Times New Roman" w:eastAsia="Times New Roman" w:hAnsi="Times New Roman"/>
          <w:sz w:val="24"/>
          <w:szCs w:val="24"/>
        </w:rPr>
        <w:t xml:space="preserve">    ├── config.py                   # Paramètres thermiques, batterie, reward</w:t>
      </w:r>
    </w:p>
    <w:p>
      <w:pPr>
        <w:spacing w:after="120" w:line="360"/>
        <w:jc w:val="both"/>
      </w:pPr>
      <w:r>
        <w:rPr>
          <w:rFonts w:ascii="Times New Roman" w:cs="Times New Roman" w:eastAsia="Times New Roman" w:hAnsi="Times New Roman"/>
          <w:sz w:val="24"/>
          <w:szCs w:val="24"/>
        </w:rPr>
        <w:t xml:space="preserve">    ├── envs/</w:t>
      </w:r>
    </w:p>
    <w:p>
      <w:pPr>
        <w:spacing w:after="120" w:line="360"/>
        <w:jc w:val="both"/>
      </w:pPr>
      <w:r>
        <w:rPr>
          <w:rFonts w:ascii="Times New Roman" w:cs="Times New Roman" w:eastAsia="Times New Roman" w:hAnsi="Times New Roman"/>
          <w:sz w:val="24"/>
          <w:szCs w:val="24"/>
        </w:rPr>
        <w:t xml:space="preserve">    │   ├── thermal_model.py         # Modèle RC (physique pure)</w:t>
      </w:r>
    </w:p>
    <w:p>
      <w:pPr>
        <w:spacing w:after="120" w:line="360"/>
        <w:jc w:val="both"/>
      </w:pPr>
      <w:r>
        <w:rPr>
          <w:rFonts w:ascii="Times New Roman" w:cs="Times New Roman" w:eastAsia="Times New Roman" w:hAnsi="Times New Roman"/>
          <w:sz w:val="24"/>
          <w:szCs w:val="24"/>
        </w:rPr>
        <w:t xml:space="preserve">    │   └── battery_thermal_env.py   # Environnement Gymnasium</w:t>
      </w:r>
    </w:p>
    <w:p>
      <w:pPr>
        <w:spacing w:after="120" w:line="360"/>
        <w:jc w:val="both"/>
      </w:pPr>
      <w:r>
        <w:rPr>
          <w:rFonts w:ascii="Times New Roman" w:cs="Times New Roman" w:eastAsia="Times New Roman" w:hAnsi="Times New Roman"/>
          <w:sz w:val="24"/>
          <w:szCs w:val="24"/>
        </w:rPr>
        <w:t xml:space="preserve">    ├── agent/</w:t>
      </w:r>
    </w:p>
    <w:p>
      <w:pPr>
        <w:spacing w:after="120" w:line="360"/>
        <w:jc w:val="both"/>
      </w:pPr>
      <w:r>
        <w:rPr>
          <w:rFonts w:ascii="Times New Roman" w:cs="Times New Roman" w:eastAsia="Times New Roman" w:hAnsi="Times New Roman"/>
          <w:sz w:val="24"/>
          <w:szCs w:val="24"/>
        </w:rPr>
        <w:t xml:space="preserve">    │   ├── networks.py              # Actor + Critic (réseaux PyTorch)</w:t>
      </w:r>
    </w:p>
    <w:p>
      <w:pPr>
        <w:spacing w:after="120" w:line="360"/>
        <w:jc w:val="both"/>
      </w:pPr>
      <w:r>
        <w:rPr>
          <w:rFonts w:ascii="Times New Roman" w:cs="Times New Roman" w:eastAsia="Times New Roman" w:hAnsi="Times New Roman"/>
          <w:sz w:val="24"/>
          <w:szCs w:val="24"/>
        </w:rPr>
        <w:t xml:space="preserve">    │   ├── replay_buffer.py         # Replay buffer circulaire</w:t>
      </w:r>
    </w:p>
    <w:p>
      <w:pPr>
        <w:spacing w:after="120" w:line="360"/>
        <w:jc w:val="both"/>
      </w:pPr>
      <w:r>
        <w:rPr>
          <w:rFonts w:ascii="Times New Roman" w:cs="Times New Roman" w:eastAsia="Times New Roman" w:hAnsi="Times New Roman"/>
          <w:sz w:val="24"/>
          <w:szCs w:val="24"/>
        </w:rPr>
        <w:t xml:space="preserve">    │   └── sac.py                   # Agent SAC (logique haut niveau)</w:t>
      </w:r>
    </w:p>
    <w:p>
      <w:pPr>
        <w:spacing w:after="120" w:line="360"/>
        <w:jc w:val="both"/>
      </w:pPr>
      <w:r>
        <w:rPr>
          <w:rFonts w:ascii="Times New Roman" w:cs="Times New Roman" w:eastAsia="Times New Roman" w:hAnsi="Times New Roman"/>
          <w:sz w:val="24"/>
          <w:szCs w:val="24"/>
        </w:rPr>
        <w:t xml:space="preserve">    ├── train.py                 # Boucle d’entraînement</w:t>
      </w:r>
    </w:p>
    <w:p>
      <w:pPr>
        <w:spacing w:after="120" w:line="360"/>
        <w:jc w:val="both"/>
      </w:pPr>
      <w:r>
        <w:rPr>
          <w:rFonts w:ascii="Times New Roman" w:cs="Times New Roman" w:eastAsia="Times New Roman" w:hAnsi="Times New Roman"/>
          <w:sz w:val="24"/>
          <w:szCs w:val="24"/>
        </w:rPr>
        <w:t xml:space="preserve">    ├── evaluate.py              # Évaluation + plots</w:t>
      </w:r>
    </w:p>
    <w:p>
      <w:pPr>
        <w:spacing w:after="120" w:line="360"/>
        <w:jc w:val="both"/>
      </w:pPr>
      <w:r>
        <w:rPr>
          <w:rFonts w:ascii="Times New Roman" w:cs="Times New Roman" w:eastAsia="Times New Roman" w:hAnsi="Times New Roman"/>
          <w:sz w:val="24"/>
          <w:szCs w:val="24"/>
        </w:rPr>
        <w:t xml:space="preserve">    ├── sweep.py                 # Grid search hyperparamètres</w:t>
      </w:r>
    </w:p>
    <w:p>
      <w:pPr>
        <w:spacing w:after="120" w:line="360"/>
        <w:jc w:val="both"/>
      </w:pPr>
      <w:r>
        <w:rPr>
          <w:rFonts w:ascii="Times New Roman" w:cs="Times New Roman" w:eastAsia="Times New Roman" w:hAnsi="Times New Roman"/>
          <w:sz w:val="24"/>
          <w:szCs w:val="24"/>
        </w:rPr>
        <w:t xml:space="preserve">    ├── utils/logger.py          # Logging CSV + console</w:t>
      </w:r>
    </w:p>
    <w:p>
      <w:pPr>
        <w:spacing w:after="120" w:line="360"/>
        <w:jc w:val="both"/>
      </w:pPr>
      <w:r>
        <w:rPr>
          <w:rFonts w:ascii="Times New Roman" w:cs="Times New Roman" w:eastAsia="Times New Roman" w:hAnsi="Times New Roman"/>
          <w:sz w:val="24"/>
          <w:szCs w:val="24"/>
        </w:rPr>
        <w:t xml:space="preserve">    ├── tests/                   # Tests unitaires (pytest)</w:t>
      </w:r>
    </w:p>
    <w:p>
      <w:pPr>
        <w:spacing w:after="120" w:line="360"/>
        <w:jc w:val="both"/>
      </w:pPr>
      <w:r>
        <w:rPr>
          <w:rFonts w:ascii="Times New Roman" w:cs="Times New Roman" w:eastAsia="Times New Roman" w:hAnsi="Times New Roman"/>
          <w:sz w:val="24"/>
          <w:szCs w:val="24"/>
        </w:rPr>
        <w:t xml:space="preserve">    └── notebooks/               # Jupyter notebooks d’analyse</w:t>
      </w:r>
    </w:p>
    <w:p>
      <w:pPr>
        <w:spacing w:after="200" w:before="100"/>
        <w:jc w:val="center"/>
      </w:pPr>
      <w:r>
        <w:rPr>
          <w:rFonts w:ascii="Times New Roman" w:cs="Times New Roman" w:eastAsia="Times New Roman" w:hAnsi="Times New Roman"/>
          <w:i/>
          <w:iCs/>
          <w:sz w:val="22"/>
          <w:szCs w:val="22"/>
        </w:rPr>
        <w:t xml:space="preserve">Figure 2 : Arborescence du projet. Chaque module est indépendant et testé unitairement.</w:t>
      </w:r>
    </w:p>
    <w:p>
      <w:pPr>
        <w:pStyle w:val="Heading2"/>
        <w:spacing w:after="200" w:before="360"/>
      </w:pPr>
      <w:r>
        <w:rPr>
          <w:rFonts w:ascii="Times New Roman" w:cs="Times New Roman" w:eastAsia="Times New Roman" w:hAnsi="Times New Roman"/>
          <w:b/>
          <w:bCs/>
          <w:sz w:val="28"/>
          <w:szCs w:val="28"/>
        </w:rPr>
        <w:t xml:space="preserve">5.2 Modules principaux</w:t>
      </w:r>
    </w:p>
    <w:p>
      <w:pPr>
        <w:pStyle w:val="Heading3"/>
        <w:spacing w:after="200" w:before="360"/>
      </w:pPr>
      <w:r>
        <w:rPr>
          <w:rFonts w:ascii="Times New Roman" w:cs="Times New Roman" w:eastAsia="Times New Roman" w:hAnsi="Times New Roman"/>
          <w:b/>
          <w:bCs/>
          <w:sz w:val="24"/>
          <w:szCs w:val="24"/>
        </w:rPr>
        <w:t xml:space="preserve">5.2.1 ThermalModel (envs/thermal_model.py)</w:t>
      </w:r>
    </w:p>
    <w:p>
      <w:pPr>
        <w:spacing w:after="120" w:line="360"/>
        <w:jc w:val="both"/>
      </w:pPr>
      <w:r>
        <w:rPr>
          <w:rFonts w:ascii="Times New Roman" w:cs="Times New Roman" w:eastAsia="Times New Roman" w:hAnsi="Times New Roman"/>
          <w:sz w:val="24"/>
          <w:szCs w:val="24"/>
        </w:rPr>
        <w:t xml:space="preserve">Cette classe encapsule la physique pure du modèle RC. Sa méthode step() calcule T_next à partir de (T, I, action, T_amb) par intégration d’Euler. La méthode steady_state_temp() fournit la solution analytique en régime permanent. Ce découplage physique/RL permet de tester le modèle thermique indépendamment de l’environnement Gymnasium.</w:t>
      </w:r>
    </w:p>
    <w:p>
      <w:pPr>
        <w:pStyle w:val="Heading3"/>
        <w:spacing w:after="200" w:before="360"/>
      </w:pPr>
      <w:r>
        <w:rPr>
          <w:rFonts w:ascii="Times New Roman" w:cs="Times New Roman" w:eastAsia="Times New Roman" w:hAnsi="Times New Roman"/>
          <w:b/>
          <w:bCs/>
          <w:sz w:val="24"/>
          <w:szCs w:val="24"/>
        </w:rPr>
        <w:t xml:space="preserve">5.2.2 BatteryThermalEnv (envs/battery_thermal_env.py)</w:t>
      </w:r>
    </w:p>
    <w:p>
      <w:pPr>
        <w:spacing w:after="120" w:line="360"/>
        <w:jc w:val="both"/>
      </w:pPr>
      <w:r>
        <w:rPr>
          <w:rFonts w:ascii="Times New Roman" w:cs="Times New Roman" w:eastAsia="Times New Roman" w:hAnsi="Times New Roman"/>
          <w:sz w:val="24"/>
          <w:szCs w:val="24"/>
        </w:rPr>
        <w:t xml:space="preserve">L’environnement Gymnasium principal. Il orchestre le ThermalModel, la mise à jour du SoC, les profils stochastiques de courant et de température ambiante, la normalisation des observations, et le calcul du reward. Les conditions de terminaison sont : T &gt; T_cutoff (sécurité), SoC ≥ 1 (batterie pleine) ou dépassement du nombre maximal de steps (troncature).</w:t>
      </w:r>
    </w:p>
    <w:p>
      <w:pPr>
        <w:pStyle w:val="Heading3"/>
        <w:spacing w:after="200" w:before="360"/>
      </w:pPr>
      <w:r>
        <w:rPr>
          <w:rFonts w:ascii="Times New Roman" w:cs="Times New Roman" w:eastAsia="Times New Roman" w:hAnsi="Times New Roman"/>
          <w:b/>
          <w:bCs/>
          <w:sz w:val="24"/>
          <w:szCs w:val="24"/>
        </w:rPr>
        <w:t xml:space="preserve">5.2.3 Actor (agent/networks.py)</w:t>
      </w:r>
    </w:p>
    <w:p>
      <w:pPr>
        <w:spacing w:after="120" w:line="360"/>
        <w:jc w:val="both"/>
      </w:pPr>
      <w:r>
        <w:rPr>
          <w:rFonts w:ascii="Times New Roman" w:cs="Times New Roman" w:eastAsia="Times New Roman" w:hAnsi="Times New Roman"/>
          <w:sz w:val="24"/>
          <w:szCs w:val="24"/>
        </w:rPr>
        <w:t xml:space="preserve">L’acteur est un réseau à couches entièrement connectées (MLP) qui produit les paramètres d’une distribution gaussienne conditionnelle. L’architecture par défaut comprend 2 couches cachées de 256 neurones avec activation ReLU, suivies de deux têtes parallèles (μ et log σ). L’action est passée par une fonction tanh puis rescalée de (-1, 1) vers [0, 1]. La correction de log-probabilité pour la transformation tanh est appliquée :</w:t>
      </w:r>
    </w:p>
    <w:p>
      <w:pPr>
        <w:spacing w:after="200" w:before="200"/>
        <w:jc w:val="center"/>
      </w:pPr>
      <w:r>
        <w:rPr>
          <w:rFonts w:ascii="Times New Roman" w:cs="Times New Roman" w:eastAsia="Times New Roman" w:hAnsi="Times New Roman"/>
          <w:sz w:val="24"/>
          <w:szCs w:val="24"/>
        </w:rPr>
        <w:t xml:space="preserve">log π(</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log μ</w:t>
      </w:r>
      <w:r>
        <w:rPr>
          <w:rFonts w:ascii="Times New Roman" w:cs="Times New Roman" w:eastAsia="Times New Roman" w:hAnsi="Times New Roman"/>
          <w:sz w:val="24"/>
          <w:szCs w:val="24"/>
          <w:vertAlign w:val="subscript"/>
        </w:rPr>
        <w:t xml:space="preserve">θ</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 log(1 − tanh²(</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w:t>
      </w:r>
    </w:p>
    <w:p>
      <w:pPr>
        <w:pStyle w:val="Heading3"/>
        <w:spacing w:after="200" w:before="360"/>
      </w:pPr>
      <w:r>
        <w:rPr>
          <w:rFonts w:ascii="Times New Roman" w:cs="Times New Roman" w:eastAsia="Times New Roman" w:hAnsi="Times New Roman"/>
          <w:b/>
          <w:bCs/>
          <w:sz w:val="24"/>
          <w:szCs w:val="24"/>
        </w:rPr>
        <w:t xml:space="preserve">5.2.4 Critic (agent/networks.py)</w:t>
      </w:r>
    </w:p>
    <w:p>
      <w:pPr>
        <w:spacing w:after="120" w:line="360"/>
        <w:jc w:val="both"/>
      </w:pPr>
      <w:r>
        <w:rPr>
          <w:rFonts w:ascii="Times New Roman" w:cs="Times New Roman" w:eastAsia="Times New Roman" w:hAnsi="Times New Roman"/>
          <w:sz w:val="24"/>
          <w:szCs w:val="24"/>
        </w:rPr>
        <w:t xml:space="preserve">Le critique implémente deux réseaux Q indépendants (Twin Q-Networks). Chaque réseau prend en entrée la concaténation (s, a) et produit un scalaire Q(s, a). La méthode forward() retourne les deux Q-valeurs ; q1_forward() ne retourne que la première (utilisée pour la mise à jour de l’acteur).</w:t>
      </w:r>
    </w:p>
    <w:p>
      <w:pPr>
        <w:pStyle w:val="Heading3"/>
        <w:spacing w:after="200" w:before="360"/>
      </w:pPr>
      <w:r>
        <w:rPr>
          <w:rFonts w:ascii="Times New Roman" w:cs="Times New Roman" w:eastAsia="Times New Roman" w:hAnsi="Times New Roman"/>
          <w:b/>
          <w:bCs/>
          <w:sz w:val="24"/>
          <w:szCs w:val="24"/>
        </w:rPr>
        <w:t xml:space="preserve">5.2.5 ReplayBuffer (agent/replay_buffer.py)</w:t>
      </w:r>
    </w:p>
    <w:p>
      <w:pPr>
        <w:spacing w:after="120" w:line="360"/>
        <w:jc w:val="both"/>
      </w:pPr>
      <w:r>
        <w:rPr>
          <w:rFonts w:ascii="Times New Roman" w:cs="Times New Roman" w:eastAsia="Times New Roman" w:hAnsi="Times New Roman"/>
          <w:sz w:val="24"/>
          <w:szCs w:val="24"/>
        </w:rPr>
        <w:t xml:space="preserve">Le buffer circulaire stocke les transitions (s, a, r, s′, d) dans des tableaux NumPy pré-alloués, puis les convertit en tenseurs PyTorch lors de l’échantillonnage. Cette approche offre un bon compromis mémoire/vitesse. La capacité par défaut est de 100 000 transitions.</w:t>
      </w:r>
    </w:p>
    <w:p>
      <w:pPr>
        <w:pStyle w:val="Heading3"/>
        <w:spacing w:after="200" w:before="360"/>
      </w:pPr>
      <w:r>
        <w:rPr>
          <w:rFonts w:ascii="Times New Roman" w:cs="Times New Roman" w:eastAsia="Times New Roman" w:hAnsi="Times New Roman"/>
          <w:b/>
          <w:bCs/>
          <w:sz w:val="24"/>
          <w:szCs w:val="24"/>
        </w:rPr>
        <w:t xml:space="preserve">5.2.6 SACAgent (agent/sac.py)</w:t>
      </w:r>
    </w:p>
    <w:p>
      <w:pPr>
        <w:spacing w:after="120" w:line="360"/>
        <w:jc w:val="both"/>
      </w:pPr>
      <w:r>
        <w:rPr>
          <w:rFonts w:ascii="Times New Roman" w:cs="Times New Roman" w:eastAsia="Times New Roman" w:hAnsi="Times New Roman"/>
          <w:sz w:val="24"/>
          <w:szCs w:val="24"/>
        </w:rPr>
        <w:t xml:space="preserve">La classe orchestrant l’ensemble de l’algorithme. Elle gère les trois optimiseurs (critique, acteur, α), le soft update des cibles, et l’interface publique (push, select_action, update, save/load). Le coefficient log α est appris directement (plus stable que α).</w:t>
      </w:r>
    </w:p>
    <w:p>
      <w:pPr>
        <w:pStyle w:val="Heading2"/>
        <w:spacing w:after="200" w:before="360"/>
      </w:pPr>
      <w:r>
        <w:rPr>
          <w:rFonts w:ascii="Times New Roman" w:cs="Times New Roman" w:eastAsia="Times New Roman" w:hAnsi="Times New Roman"/>
          <w:b/>
          <w:bCs/>
          <w:sz w:val="28"/>
          <w:szCs w:val="28"/>
        </w:rPr>
        <w:t xml:space="preserve">5.3 Flux de données</w:t>
      </w:r>
    </w:p>
    <w:p>
      <w:pPr>
        <w:spacing w:after="120" w:line="360"/>
        <w:jc w:val="both"/>
      </w:pPr>
      <w:r>
        <w:rPr>
          <w:rFonts w:ascii="Times New Roman" w:cs="Times New Roman" w:eastAsia="Times New Roman" w:hAnsi="Times New Roman"/>
          <w:sz w:val="24"/>
          <w:szCs w:val="24"/>
        </w:rPr>
        <w:t xml:space="preserve">Le flux de données principal suit le cycle suivant :</w:t>
      </w:r>
    </w:p>
    <w:p>
      <w:pPr>
        <w:spacing w:after="120" w:line="360"/>
        <w:jc w:val="both"/>
      </w:pPr>
      <w:r>
        <w:rPr>
          <w:rFonts w:ascii="Times New Roman" w:cs="Times New Roman" w:eastAsia="Times New Roman" w:hAnsi="Times New Roman"/>
          <w:sz w:val="24"/>
          <w:szCs w:val="24"/>
        </w:rPr>
        <w:t xml:space="preserve">1.  L’environnement produit une observation normalisée s ∈ ℝ⁵.</w:t>
      </w:r>
    </w:p>
    <w:p>
      <w:pPr>
        <w:spacing w:after="120" w:line="360"/>
        <w:jc w:val="both"/>
      </w:pPr>
      <w:r>
        <w:rPr>
          <w:rFonts w:ascii="Times New Roman" w:cs="Times New Roman" w:eastAsia="Times New Roman" w:hAnsi="Times New Roman"/>
          <w:sz w:val="24"/>
          <w:szCs w:val="24"/>
        </w:rPr>
        <w:t xml:space="preserve">2.  L’acteur transforme s en paramètres gaussiens (μ, σ), échantillonne u ~ Ν(μ, σ²), applique tanh et rescale vers [0, 1].</w:t>
      </w:r>
    </w:p>
    <w:p>
      <w:pPr>
        <w:spacing w:after="120" w:line="360"/>
        <w:jc w:val="both"/>
      </w:pPr>
      <w:r>
        <w:rPr>
          <w:rFonts w:ascii="Times New Roman" w:cs="Times New Roman" w:eastAsia="Times New Roman" w:hAnsi="Times New Roman"/>
          <w:sz w:val="24"/>
          <w:szCs w:val="24"/>
        </w:rPr>
        <w:t xml:space="preserve">3.  L’environnement reçoit l’action, avance d’un pas physique, retourne (s′, r, done, info).</w:t>
      </w:r>
    </w:p>
    <w:p>
      <w:pPr>
        <w:spacing w:after="120" w:line="360"/>
        <w:jc w:val="both"/>
      </w:pPr>
      <w:r>
        <w:rPr>
          <w:rFonts w:ascii="Times New Roman" w:cs="Times New Roman" w:eastAsia="Times New Roman" w:hAnsi="Times New Roman"/>
          <w:sz w:val="24"/>
          <w:szCs w:val="24"/>
        </w:rPr>
        <w:t xml:space="preserve">4.  La transition est stockée dans le replay buffer.</w:t>
      </w:r>
    </w:p>
    <w:p>
      <w:pPr>
        <w:spacing w:after="120" w:line="360"/>
        <w:jc w:val="both"/>
      </w:pPr>
      <w:r>
        <w:rPr>
          <w:rFonts w:ascii="Times New Roman" w:cs="Times New Roman" w:eastAsia="Times New Roman" w:hAnsi="Times New Roman"/>
          <w:sz w:val="24"/>
          <w:szCs w:val="24"/>
        </w:rPr>
        <w:t xml:space="preserve">5.  Un batch aléatoire est échantillonné pour les mises à jour : critique → acteur → α → soft update cible.</w:t>
      </w:r>
    </w:p>
    <w:p>
      <w:pPr>
        <w:spacing w:after="200" w:before="100"/>
        <w:jc w:val="center"/>
      </w:pPr>
      <w:r>
        <w:rPr>
          <w:rFonts w:ascii="Times New Roman" w:cs="Times New Roman" w:eastAsia="Times New Roman" w:hAnsi="Times New Roman"/>
          <w:i/>
          <w:iCs/>
          <w:sz w:val="22"/>
          <w:szCs w:val="22"/>
        </w:rPr>
        <w:t xml:space="preserve">Figure 3 : Flux de données pour un pas d’entraînement. Les flèches pleines représentent le flux forward ; les flèches pointillées, les gradients.</w:t>
      </w:r>
    </w:p>
    <w:p>
      <w:r>
        <w:br w:type="page"/>
      </w:r>
    </w:p>
    <w:p>
      <w:pPr>
        <w:pStyle w:val="Heading1"/>
        <w:spacing w:after="200" w:before="360"/>
      </w:pPr>
      <w:r>
        <w:rPr>
          <w:rFonts w:ascii="Times New Roman" w:cs="Times New Roman" w:eastAsia="Times New Roman" w:hAnsi="Times New Roman"/>
          <w:b/>
          <w:bCs/>
          <w:sz w:val="32"/>
          <w:szCs w:val="32"/>
        </w:rPr>
        <w:t xml:space="preserve">6. Résultats et analyse</w:t>
      </w:r>
    </w:p>
    <w:p>
      <w:pPr>
        <w:pStyle w:val="Heading2"/>
        <w:spacing w:after="200" w:before="360"/>
      </w:pPr>
      <w:r>
        <w:rPr>
          <w:rFonts w:ascii="Times New Roman" w:cs="Times New Roman" w:eastAsia="Times New Roman" w:hAnsi="Times New Roman"/>
          <w:b/>
          <w:bCs/>
          <w:sz w:val="28"/>
          <w:szCs w:val="28"/>
        </w:rPr>
        <w:t xml:space="preserve">6.1 Résultats d’entraînement</w:t>
      </w:r>
    </w:p>
    <w:p>
      <w:pPr>
        <w:pStyle w:val="Heading3"/>
        <w:spacing w:after="200" w:before="360"/>
      </w:pPr>
      <w:r>
        <w:rPr>
          <w:rFonts w:ascii="Times New Roman" w:cs="Times New Roman" w:eastAsia="Times New Roman" w:hAnsi="Times New Roman"/>
          <w:b/>
          <w:bCs/>
          <w:sz w:val="24"/>
          <w:szCs w:val="24"/>
        </w:rPr>
        <w:t xml:space="preserve">6.1.1 Run Jour 6 : reward original (200 000 pas)</w:t>
      </w:r>
    </w:p>
    <w:p>
      <w:pPr>
        <w:spacing w:after="120" w:line="360"/>
        <w:jc w:val="both"/>
      </w:pPr>
      <w:r>
        <w:rPr>
          <w:rFonts w:ascii="Times New Roman" w:cs="Times New Roman" w:eastAsia="Times New Roman" w:hAnsi="Times New Roman"/>
          <w:sz w:val="24"/>
          <w:szCs w:val="24"/>
        </w:rPr>
        <w:t xml:space="preserve">Le premier run long utilise les poids de récompense initiaux (w_temp_high = 2, w_cooling = 0,05). Les principaux indicateurs évoluent comme suit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2000"/>
        <w:gridCol w:w="2426"/>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Épisode</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Steps cumulés</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pct_safe</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T_max moy.</w:t>
            </w:r>
          </w:p>
        </w:tc>
        <w:tc>
          <w:tcPr>
            <w:tcW w:type="dxa" w:w="242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Return éval.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~12k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64,9 %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60,3°C</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-6 004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~22k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86,0 %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55,6°C</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-2 754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140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~88k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84,8 %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52,2°C</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-2 060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~128k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94,5 %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53,3°C</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-2 151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~192k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95,6 %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56,0°C</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-4 800</w:t>
            </w:r>
          </w:p>
        </w:tc>
      </w:tr>
    </w:tbl>
    <w:p>
      <w:pPr>
        <w:spacing w:after="120" w:line="360"/>
        <w:jc w:val="both"/>
      </w:pPr>
      <w:r>
        <w:rPr>
          <w:rFonts w:ascii="Times New Roman" w:cs="Times New Roman" w:eastAsia="Times New Roman" w:hAnsi="Times New Roman"/>
          <w:sz w:val="24"/>
          <w:szCs w:val="24"/>
        </w:rPr>
        <w:t xml:space="preserve"/>
      </w:r>
    </w:p>
    <w:p>
      <w:pPr>
        <w:spacing w:after="200" w:before="100"/>
        <w:jc w:val="center"/>
      </w:pPr>
      <w:r>
        <w:rPr>
          <w:rFonts w:ascii="Times New Roman" w:cs="Times New Roman" w:eastAsia="Times New Roman" w:hAnsi="Times New Roman"/>
          <w:i/>
          <w:iCs/>
          <w:sz w:val="22"/>
          <w:szCs w:val="22"/>
        </w:rPr>
        <w:t xml:space="preserve">Figure 4 : Courbes d’apprentissage Jour 6. (a) pct_safe en fonction des steps. (b) T_max par épisode d’évaluation. Le pct_safe atteint 95,6 % au meilleur épisode.</w:t>
      </w:r>
    </w:p>
    <w:p>
      <w:pPr>
        <w:pStyle w:val="Heading3"/>
        <w:spacing w:after="200" w:before="360"/>
      </w:pPr>
      <w:r>
        <w:rPr>
          <w:rFonts w:ascii="Times New Roman" w:cs="Times New Roman" w:eastAsia="Times New Roman" w:hAnsi="Times New Roman"/>
          <w:b/>
          <w:bCs/>
          <w:sz w:val="24"/>
          <w:szCs w:val="24"/>
        </w:rPr>
        <w:t xml:space="preserve">6.1.2 Run Jour 7 : reward tuné (300 000 pas)</w:t>
      </w:r>
    </w:p>
    <w:p>
      <w:pPr>
        <w:spacing w:after="120" w:line="360"/>
        <w:jc w:val="both"/>
      </w:pPr>
      <w:r>
        <w:rPr>
          <w:rFonts w:ascii="Times New Roman" w:cs="Times New Roman" w:eastAsia="Times New Roman" w:hAnsi="Times New Roman"/>
          <w:sz w:val="24"/>
          <w:szCs w:val="24"/>
        </w:rPr>
        <w:t xml:space="preserve">Le second run utilise les poids tunés (w_temp_high = 5, w_cooling = 0,01, w_delta_T = 0,5). Note importante : les returns ne sont pas directement comparables entre les deux runs car la magnitude des pénalités a changé. L’indicateur neutre est pct_safe.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2000"/>
        <w:gridCol w:w="2426"/>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Épisode</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Steps cumulés</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pct_safe</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T_max moy.</w:t>
            </w:r>
          </w:p>
        </w:tc>
        <w:tc>
          <w:tcPr>
            <w:tcW w:type="dxa" w:w="242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Return éval.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~12k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88,4 %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60,3°C</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-31 439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~69k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80,0 %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60,3°C</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-10 218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180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~119k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91,0 %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60,3°C</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-11 222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~204k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96,7 %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50,0°C</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-5 418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~227k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89,4 %</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49,4°C</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-6 775</w:t>
            </w:r>
          </w:p>
        </w:tc>
      </w:tr>
    </w:tbl>
    <w:p>
      <w:pPr>
        <w:spacing w:after="120" w:line="360"/>
        <w:jc w:val="both"/>
      </w:pPr>
      <w:r>
        <w:rPr>
          <w:rFonts w:ascii="Times New Roman" w:cs="Times New Roman" w:eastAsia="Times New Roman" w:hAnsi="Times New Roman"/>
          <w:sz w:val="24"/>
          <w:szCs w:val="24"/>
        </w:rPr>
        <w:t xml:space="preserve"/>
      </w:r>
    </w:p>
    <w:p>
      <w:pPr>
        <w:spacing w:after="200" w:before="100"/>
        <w:jc w:val="center"/>
      </w:pPr>
      <w:r>
        <w:rPr>
          <w:rFonts w:ascii="Times New Roman" w:cs="Times New Roman" w:eastAsia="Times New Roman" w:hAnsi="Times New Roman"/>
          <w:i/>
          <w:iCs/>
          <w:sz w:val="22"/>
          <w:szCs w:val="22"/>
        </w:rPr>
        <w:t xml:space="preserve">Figure 5 : Courbes d’apprentissage Jour 7. La pénalité dT/dt permet des T_max plus basses (50°C vs 56°C) mais introduit plus de variance.</w:t>
      </w:r>
    </w:p>
    <w:p>
      <w:pPr>
        <w:pStyle w:val="Heading2"/>
        <w:spacing w:after="200" w:before="360"/>
      </w:pPr>
      <w:r>
        <w:rPr>
          <w:rFonts w:ascii="Times New Roman" w:cs="Times New Roman" w:eastAsia="Times New Roman" w:hAnsi="Times New Roman"/>
          <w:b/>
          <w:bCs/>
          <w:sz w:val="28"/>
          <w:szCs w:val="28"/>
        </w:rPr>
        <w:t xml:space="preserve">6.2 Analyse comparative</w:t>
      </w:r>
    </w:p>
    <w:p>
      <w:pPr>
        <w:spacing w:after="120" w:line="360"/>
        <w:jc w:val="both"/>
      </w:pPr>
      <w:r>
        <w:rPr>
          <w:rFonts w:ascii="Times New Roman" w:cs="Times New Roman" w:eastAsia="Times New Roman" w:hAnsi="Times New Roman"/>
          <w:sz w:val="24"/>
          <w:szCs w:val="24"/>
        </w:rPr>
        <w:t xml:space="preserve">Le tableau suivant synthétise la comparaison entre les deux configurations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Métrique</w:t>
            </w:r>
          </w:p>
        </w:tc>
        <w:tc>
          <w:tcPr>
            <w:tcW w:type="dxa" w:w="3013"/>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Jour 6 (original)</w:t>
            </w:r>
          </w:p>
        </w:tc>
        <w:tc>
          <w:tcPr>
            <w:tcW w:type="dxa" w:w="3013"/>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Jour 7 (tuné)</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pct_safe (meilleur)</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95,6 %</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96,7 %</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T_max au meilleur pct_safe</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56,0°C</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50,0°C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Variance pct_safe</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Modérée</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Élevée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Convergence</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~128k steps</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~204k steps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Anticipation pics</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Faible</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Améliorée (dT/dt)</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Observations clés :</w:t>
      </w:r>
    </w:p>
    <w:p>
      <w:pPr>
        <w:spacing w:after="120" w:line="360"/>
        <w:jc w:val="both"/>
      </w:pPr>
      <w:r>
        <w:rPr>
          <w:rFonts w:ascii="Times New Roman" w:cs="Times New Roman" w:eastAsia="Times New Roman" w:hAnsi="Times New Roman"/>
          <w:sz w:val="24"/>
          <w:szCs w:val="24"/>
        </w:rPr>
        <w:t xml:space="preserve">1.  Le reward tuné améliore marginalement le pct_safe maximal (95,6 % → 96,7 %), mais surtout réduit les T_max atteintes (50°C vs 56°C), indiquant une meilleure anticipation.</w:t>
      </w:r>
    </w:p>
    <w:p>
      <w:pPr>
        <w:spacing w:after="120" w:line="360"/>
        <w:jc w:val="both"/>
      </w:pPr>
      <w:r>
        <w:rPr>
          <w:rFonts w:ascii="Times New Roman" w:cs="Times New Roman" w:eastAsia="Times New Roman" w:hAnsi="Times New Roman"/>
          <w:sz w:val="24"/>
          <w:szCs w:val="24"/>
        </w:rPr>
        <w:t xml:space="preserve">2.  La pénalité w_delta_T fournit un signal gradient plus précoce : l’agent commence à refroidir dès que T &gt; 40°C et monte, au lieu d’attendre le dépassement de T_safe_max = 45°C.</w:t>
      </w:r>
    </w:p>
    <w:p>
      <w:pPr>
        <w:spacing w:after="120" w:line="360"/>
        <w:jc w:val="both"/>
      </w:pPr>
      <w:r>
        <w:rPr>
          <w:rFonts w:ascii="Times New Roman" w:cs="Times New Roman" w:eastAsia="Times New Roman" w:hAnsi="Times New Roman"/>
          <w:sz w:val="24"/>
          <w:szCs w:val="24"/>
        </w:rPr>
        <w:t xml:space="preserve">3.  La variance plus élevée du run tuné suggère que le paysage d’optimisation est plus complexe avec des pénalités plus fortes. L’agent nécessite davantage de steps pour converger pleinement.</w:t>
      </w:r>
    </w:p>
    <w:p>
      <w:pPr>
        <w:pStyle w:val="Heading2"/>
        <w:spacing w:after="200" w:before="360"/>
      </w:pPr>
      <w:r>
        <w:rPr>
          <w:rFonts w:ascii="Times New Roman" w:cs="Times New Roman" w:eastAsia="Times New Roman" w:hAnsi="Times New Roman"/>
          <w:b/>
          <w:bCs/>
          <w:sz w:val="28"/>
          <w:szCs w:val="28"/>
        </w:rPr>
        <w:t xml:space="preserve">6.3 Validation par tests unitaires</w:t>
      </w:r>
    </w:p>
    <w:p>
      <w:pPr>
        <w:spacing w:after="120" w:line="360"/>
        <w:jc w:val="both"/>
      </w:pPr>
      <w:r>
        <w:rPr>
          <w:rFonts w:ascii="Times New Roman" w:cs="Times New Roman" w:eastAsia="Times New Roman" w:hAnsi="Times New Roman"/>
          <w:sz w:val="24"/>
          <w:szCs w:val="24"/>
        </w:rPr>
        <w:t xml:space="preserve">Le projet est accompagné d’une suite de tests unitaires couvrant l’ensemble des composants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Module testé</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Fichier test</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Nombre de tests</w:t>
            </w:r>
          </w:p>
        </w:tc>
        <w:tc>
          <w:tcPr>
            <w:tcW w:type="dxa" w:w="252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Statut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Modèle thermique + Env</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test_env.py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17</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17/17</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Agent SAC (buffer, actor, critic)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test_sac.py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22</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22/22</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Boucle d’entraînement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test_train.py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5/5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Reward tuning (dT/dt)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test_day7.py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10/10</w:t>
            </w:r>
          </w:p>
        </w:tc>
      </w:tr>
    </w:tbl>
    <w:p>
      <w:pPr>
        <w:pStyle w:val="Heading2"/>
        <w:spacing w:after="200" w:before="360"/>
      </w:pPr>
      <w:r>
        <w:rPr>
          <w:rFonts w:ascii="Times New Roman" w:cs="Times New Roman" w:eastAsia="Times New Roman" w:hAnsi="Times New Roman"/>
          <w:b/>
          <w:bCs/>
          <w:sz w:val="28"/>
          <w:szCs w:val="28"/>
        </w:rPr>
        <w:t xml:space="preserve">6.4 Limites identifiées</w:t>
      </w:r>
    </w:p>
    <w:p>
      <w:pPr>
        <w:spacing w:after="120" w:line="360"/>
        <w:jc w:val="both"/>
      </w:pPr>
      <w:r>
        <w:rPr>
          <w:rFonts w:ascii="Times New Roman" w:cs="Times New Roman" w:eastAsia="Times New Roman" w:hAnsi="Times New Roman"/>
          <w:sz w:val="24"/>
          <w:szCs w:val="24"/>
        </w:rPr>
        <w:t xml:space="preserve">Malgré les résultats encourageants, plusieurs limites sont à noter :</w:t>
      </w:r>
    </w:p>
    <w:p>
      <w:pPr>
        <w:spacing w:after="120" w:line="360"/>
        <w:jc w:val="both"/>
      </w:pPr>
      <w:r>
        <w:rPr>
          <w:rFonts w:ascii="Times New Roman" w:cs="Times New Roman" w:eastAsia="Times New Roman" w:hAnsi="Times New Roman"/>
          <w:sz w:val="24"/>
          <w:szCs w:val="24"/>
        </w:rPr>
        <w:t xml:space="preserve">1.  Modèle thermique simplifié : le modèle RC à un nœud ne capture pas les gradients de température internes ni les non-linéarités (R_int dépendant de T et SoC).</w:t>
      </w:r>
    </w:p>
    <w:p>
      <w:pPr>
        <w:spacing w:after="120" w:line="360"/>
        <w:jc w:val="both"/>
      </w:pPr>
      <w:r>
        <w:rPr>
          <w:rFonts w:ascii="Times New Roman" w:cs="Times New Roman" w:eastAsia="Times New Roman" w:hAnsi="Times New Roman"/>
          <w:sz w:val="24"/>
          <w:szCs w:val="24"/>
        </w:rPr>
        <w:t xml:space="preserve">2.  Espace d’action unidimensionnel : seule la puissance de refroidissement est contrôlée. Le courant de charge est imposé et non optimisé par l’agent.</w:t>
      </w:r>
    </w:p>
    <w:p>
      <w:pPr>
        <w:spacing w:after="120" w:line="360"/>
        <w:jc w:val="both"/>
      </w:pPr>
      <w:r>
        <w:rPr>
          <w:rFonts w:ascii="Times New Roman" w:cs="Times New Roman" w:eastAsia="Times New Roman" w:hAnsi="Times New Roman"/>
          <w:sz w:val="24"/>
          <w:szCs w:val="24"/>
        </w:rPr>
        <w:t xml:space="preserve">3.  Profil de courant stochastique : la marche aléatoire ne représente pas fidèlement les profils de charge réels (cycles CCCV, profils de conduite, etc.).</w:t>
      </w:r>
    </w:p>
    <w:p>
      <w:pPr>
        <w:spacing w:after="120" w:line="360"/>
        <w:jc w:val="both"/>
      </w:pPr>
      <w:r>
        <w:rPr>
          <w:rFonts w:ascii="Times New Roman" w:cs="Times New Roman" w:eastAsia="Times New Roman" w:hAnsi="Times New Roman"/>
          <w:sz w:val="24"/>
          <w:szCs w:val="24"/>
        </w:rPr>
        <w:t xml:space="preserve">4.  Variance de l’entraînement : la forte variance, particulièrement avec le reward tuné, limite la fiabilité de la politique apprise.</w:t>
      </w:r>
    </w:p>
    <w:p>
      <w:pPr>
        <w:spacing w:after="120" w:line="360"/>
        <w:jc w:val="both"/>
      </w:pPr>
      <w:r>
        <w:rPr>
          <w:rFonts w:ascii="Times New Roman" w:cs="Times New Roman" w:eastAsia="Times New Roman" w:hAnsi="Times New Roman"/>
          <w:sz w:val="24"/>
          <w:szCs w:val="24"/>
        </w:rPr>
        <w:t xml:space="preserve">5.  Absence de validation sur données réelles : le modèle n’a pas été calibré sur des mesures expérimentales.</w:t>
      </w:r>
    </w:p>
    <w:p>
      <w:r>
        <w:br w:type="page"/>
      </w:r>
    </w:p>
    <w:p>
      <w:pPr>
        <w:pStyle w:val="Heading1"/>
        <w:spacing w:after="200" w:before="360"/>
      </w:pPr>
      <w:r>
        <w:rPr>
          <w:rFonts w:ascii="Times New Roman" w:cs="Times New Roman" w:eastAsia="Times New Roman" w:hAnsi="Times New Roman"/>
          <w:b/>
          <w:bCs/>
          <w:sz w:val="32"/>
          <w:szCs w:val="32"/>
        </w:rPr>
        <w:t xml:space="preserve">7. Perspectives d’amélioration</w:t>
      </w:r>
    </w:p>
    <w:p>
      <w:pPr>
        <w:pStyle w:val="Heading2"/>
        <w:spacing w:after="200" w:before="360"/>
      </w:pPr>
      <w:r>
        <w:rPr>
          <w:rFonts w:ascii="Times New Roman" w:cs="Times New Roman" w:eastAsia="Times New Roman" w:hAnsi="Times New Roman"/>
          <w:b/>
          <w:bCs/>
          <w:sz w:val="28"/>
          <w:szCs w:val="28"/>
        </w:rPr>
        <w:t xml:space="preserve">7.1 Enrichissement du modèle physique</w:t>
      </w:r>
    </w:p>
    <w:p>
      <w:pPr>
        <w:spacing w:after="120" w:line="360"/>
        <w:jc w:val="both"/>
      </w:pPr>
      <w:r>
        <w:rPr>
          <w:rFonts w:ascii="Times New Roman" w:cs="Times New Roman" w:eastAsia="Times New Roman" w:hAnsi="Times New Roman"/>
          <w:sz w:val="24"/>
          <w:szCs w:val="24"/>
        </w:rPr>
        <w:t xml:space="preserve">Le passage à un modèle RC à deux nœuds (température interne + température de surface) permettrait de capturer les gradients thermiques et d’offrir une représentation plus fidèle. La dépendance de R_int à la température et au SoC pourrait être intégrée via une table de lookup interpolante.</w:t>
      </w:r>
    </w:p>
    <w:p>
      <w:pPr>
        <w:pStyle w:val="Heading2"/>
        <w:spacing w:after="200" w:before="360"/>
      </w:pPr>
      <w:r>
        <w:rPr>
          <w:rFonts w:ascii="Times New Roman" w:cs="Times New Roman" w:eastAsia="Times New Roman" w:hAnsi="Times New Roman"/>
          <w:b/>
          <w:bCs/>
          <w:sz w:val="28"/>
          <w:szCs w:val="28"/>
        </w:rPr>
        <w:t xml:space="preserve">7.2 Extension de l’espace d’action</w:t>
      </w:r>
    </w:p>
    <w:p>
      <w:pPr>
        <w:spacing w:after="120" w:line="360"/>
        <w:jc w:val="both"/>
      </w:pPr>
      <w:r>
        <w:rPr>
          <w:rFonts w:ascii="Times New Roman" w:cs="Times New Roman" w:eastAsia="Times New Roman" w:hAnsi="Times New Roman"/>
          <w:sz w:val="24"/>
          <w:szCs w:val="24"/>
        </w:rPr>
        <w:t xml:space="preserve">L’agent pourrait contrôler simultanément la puissance de refroidissement et la limitation de courant (current throttling). Cela nécessiterait un espace d’action bidimensionnel, que SAC gère nativement.</w:t>
      </w:r>
    </w:p>
    <w:p>
      <w:pPr>
        <w:pStyle w:val="Heading2"/>
        <w:spacing w:after="200" w:before="360"/>
      </w:pPr>
      <w:r>
        <w:rPr>
          <w:rFonts w:ascii="Times New Roman" w:cs="Times New Roman" w:eastAsia="Times New Roman" w:hAnsi="Times New Roman"/>
          <w:b/>
          <w:bCs/>
          <w:sz w:val="28"/>
          <w:szCs w:val="28"/>
        </w:rPr>
        <w:t xml:space="preserve">7.3 Profils de charge réalistes</w:t>
      </w:r>
    </w:p>
    <w:p>
      <w:pPr>
        <w:spacing w:after="120" w:line="360"/>
        <w:jc w:val="both"/>
      </w:pPr>
      <w:r>
        <w:rPr>
          <w:rFonts w:ascii="Times New Roman" w:cs="Times New Roman" w:eastAsia="Times New Roman" w:hAnsi="Times New Roman"/>
          <w:sz w:val="24"/>
          <w:szCs w:val="24"/>
        </w:rPr>
        <w:t xml:space="preserve">L’intégration de profils de charge standardisés (CCCV, profils WLTP pour la mobilité électrique) ou de profils historiques réels améliorerait la pertinence de l’entraînement et la transférabilité de la politique.</w:t>
      </w:r>
    </w:p>
    <w:p>
      <w:pPr>
        <w:pStyle w:val="Heading2"/>
        <w:spacing w:after="200" w:before="360"/>
      </w:pPr>
      <w:r>
        <w:rPr>
          <w:rFonts w:ascii="Times New Roman" w:cs="Times New Roman" w:eastAsia="Times New Roman" w:hAnsi="Times New Roman"/>
          <w:b/>
          <w:bCs/>
          <w:sz w:val="28"/>
          <w:szCs w:val="28"/>
        </w:rPr>
        <w:t xml:space="preserve">7.4 Améliorations algorithmiques</w:t>
      </w:r>
    </w:p>
    <w:p>
      <w:pPr>
        <w:spacing w:after="120" w:line="360"/>
        <w:jc w:val="both"/>
      </w:pPr>
      <w:r>
        <w:rPr>
          <w:rFonts w:ascii="Times New Roman" w:cs="Times New Roman" w:eastAsia="Times New Roman" w:hAnsi="Times New Roman"/>
          <w:sz w:val="24"/>
          <w:szCs w:val="24"/>
        </w:rPr>
        <w:t xml:space="preserve">•  Prioritized Experience Replay (PER) : échantillonner préférentiellement les transitions à forte erreur TD pour accélérer l’apprentissage.</w:t>
      </w:r>
    </w:p>
    <w:p>
      <w:pPr>
        <w:spacing w:after="120" w:line="360"/>
        <w:jc w:val="both"/>
      </w:pPr>
      <w:r>
        <w:rPr>
          <w:rFonts w:ascii="Times New Roman" w:cs="Times New Roman" w:eastAsia="Times New Roman" w:hAnsi="Times New Roman"/>
          <w:sz w:val="24"/>
          <w:szCs w:val="24"/>
        </w:rPr>
        <w:t xml:space="preserve">•  Learning rate scheduler : réduire progressivement le learning rate pour stabiliser la convergence finale.</w:t>
      </w:r>
    </w:p>
    <w:p>
      <w:pPr>
        <w:spacing w:after="120" w:line="360"/>
        <w:jc w:val="both"/>
      </w:pPr>
      <w:r>
        <w:rPr>
          <w:rFonts w:ascii="Times New Roman" w:cs="Times New Roman" w:eastAsia="Times New Roman" w:hAnsi="Times New Roman"/>
          <w:sz w:val="24"/>
          <w:szCs w:val="24"/>
        </w:rPr>
        <w:t xml:space="preserve">•  Curriculum learning : commencer avec des scénarios simples (courant constant, T_amb fixe) et augmenter progressivement la difficulté.</w:t>
      </w:r>
    </w:p>
    <w:p>
      <w:pPr>
        <w:spacing w:after="120" w:line="360"/>
        <w:jc w:val="both"/>
      </w:pPr>
      <w:r>
        <w:rPr>
          <w:rFonts w:ascii="Times New Roman" w:cs="Times New Roman" w:eastAsia="Times New Roman" w:hAnsi="Times New Roman"/>
          <w:sz w:val="24"/>
          <w:szCs w:val="24"/>
        </w:rPr>
        <w:t xml:space="preserve">•  Normalisation du reward par fenêtre glissante pour stabiliser les gradients.</w:t>
      </w:r>
    </w:p>
    <w:p>
      <w:pPr>
        <w:pStyle w:val="Heading2"/>
        <w:spacing w:after="200" w:before="360"/>
      </w:pPr>
      <w:r>
        <w:rPr>
          <w:rFonts w:ascii="Times New Roman" w:cs="Times New Roman" w:eastAsia="Times New Roman" w:hAnsi="Times New Roman"/>
          <w:b/>
          <w:bCs/>
          <w:sz w:val="28"/>
          <w:szCs w:val="28"/>
        </w:rPr>
        <w:t xml:space="preserve">7.5 Déploiement embarqué</w:t>
      </w:r>
    </w:p>
    <w:p>
      <w:pPr>
        <w:spacing w:after="120" w:line="360"/>
        <w:jc w:val="both"/>
      </w:pPr>
      <w:r>
        <w:rPr>
          <w:rFonts w:ascii="Times New Roman" w:cs="Times New Roman" w:eastAsia="Times New Roman" w:hAnsi="Times New Roman"/>
          <w:sz w:val="24"/>
          <w:szCs w:val="24"/>
        </w:rPr>
        <w:t xml:space="preserve">Pour un déploiement en contexte FSE réel, la politique entraînée pourrait être exportée en ONNX et exécutée sur un microcontrôleur via ONNX Runtime Micro. Le réseau acteur seul (2 couches de 256, ~130 k paramètres) nécessite environ 520 Ko de mémoire et une inférence de l’ordre de la milliseconde sur un ARM Cortex-M7.</w:t>
      </w:r>
    </w:p>
    <w:p>
      <w:pPr>
        <w:pStyle w:val="Heading2"/>
        <w:spacing w:after="200" w:before="360"/>
      </w:pPr>
      <w:r>
        <w:rPr>
          <w:rFonts w:ascii="Times New Roman" w:cs="Times New Roman" w:eastAsia="Times New Roman" w:hAnsi="Times New Roman"/>
          <w:b/>
          <w:bCs/>
          <w:sz w:val="28"/>
          <w:szCs w:val="28"/>
        </w:rPr>
        <w:t xml:space="preserve">7.6 Calibration sur données réelles</w:t>
      </w:r>
    </w:p>
    <w:p>
      <w:pPr>
        <w:spacing w:after="120" w:line="360"/>
        <w:jc w:val="both"/>
      </w:pPr>
      <w:r>
        <w:rPr>
          <w:rFonts w:ascii="Times New Roman" w:cs="Times New Roman" w:eastAsia="Times New Roman" w:hAnsi="Times New Roman"/>
          <w:sz w:val="24"/>
          <w:szCs w:val="24"/>
        </w:rPr>
        <w:t xml:space="preserve">Les paramètres thermiques génériques (C_th, R_th, R_int) devraient être calibrés sur des mesures expérimentales (tests caloriémétriques, essais de charge instrumentés). Une approche system identification par moindres carrés ou filtre de Kalman permettrait d’estimer ces paramètres en ligne.</w:t>
      </w:r>
    </w:p>
    <w:p>
      <w:r>
        <w:br w:type="page"/>
      </w:r>
    </w:p>
    <w:p>
      <w:pPr>
        <w:pStyle w:val="Heading1"/>
        <w:spacing w:after="200" w:before="360"/>
      </w:pPr>
      <w:r>
        <w:rPr>
          <w:rFonts w:ascii="Times New Roman" w:cs="Times New Roman" w:eastAsia="Times New Roman" w:hAnsi="Times New Roman"/>
          <w:b/>
          <w:bCs/>
          <w:sz w:val="32"/>
          <w:szCs w:val="32"/>
        </w:rPr>
        <w:t xml:space="preserve">8. Conclusion</w:t>
      </w:r>
    </w:p>
    <w:p>
      <w:pPr>
        <w:spacing w:after="120" w:line="360"/>
        <w:jc w:val="both"/>
      </w:pPr>
      <w:r>
        <w:rPr>
          <w:rFonts w:ascii="Times New Roman" w:cs="Times New Roman" w:eastAsia="Times New Roman" w:hAnsi="Times New Roman"/>
          <w:sz w:val="24"/>
          <w:szCs w:val="24"/>
        </w:rPr>
        <w:t xml:space="preserve">Ce projet a démontré la faisabilité de l’utilisation d’un agent Soft Actor-Critic pour le contrôle thermique de batteries en contexte FSE. En 7 jours de développement par blocs de 2 à 3 heures, nous avons conçu et implémenté un système complet couvrant l’intégralité du pipeline RL : modélisation physique, environnement de simulation, agent d’apprentissage, boucle d’entraînement et outils d’analyse.</w:t>
      </w:r>
    </w:p>
    <w:p>
      <w:pPr>
        <w:spacing w:after="120" w:line="360"/>
        <w:jc w:val="both"/>
      </w:pPr>
      <w:r>
        <w:rPr>
          <w:rFonts w:ascii="Times New Roman" w:cs="Times New Roman" w:eastAsia="Times New Roman" w:hAnsi="Times New Roman"/>
          <w:sz w:val="24"/>
          <w:szCs w:val="24"/>
        </w:rPr>
        <w:t xml:space="preserve">Les résultats montrent que l’agent apprend à maintenir la température cellulaire en zone sûre (15°C – 45°C) entre 95,6 % et 96,7 % du temps, selon la configuration du reward. L’introduction d’une pénalité sur la dérivée thermique (dT/dt) a permis d’améliorer l’anticipation des pics, réduisant les T_max observées de 56°C à 50°C.</w:t>
      </w:r>
    </w:p>
    <w:p>
      <w:pPr>
        <w:spacing w:after="120" w:line="360"/>
        <w:jc w:val="both"/>
      </w:pPr>
      <w:r>
        <w:rPr>
          <w:rFonts w:ascii="Times New Roman" w:cs="Times New Roman" w:eastAsia="Times New Roman" w:hAnsi="Times New Roman"/>
          <w:sz w:val="24"/>
          <w:szCs w:val="24"/>
        </w:rPr>
        <w:t xml:space="preserve">L’implémentation entièrement from scratch (sans bibliothèque RL pré-construite) garantit une compréhension fine de chaque composant et une flexibilité maximale pour l’adaptation à des contextes industriels spécifiques. La suite de 54 tests unitaires assure la robustesse du code.</w:t>
      </w:r>
    </w:p>
    <w:p>
      <w:pPr>
        <w:spacing w:after="120" w:line="360"/>
        <w:jc w:val="both"/>
      </w:pPr>
      <w:r>
        <w:rPr>
          <w:rFonts w:ascii="Times New Roman" w:cs="Times New Roman" w:eastAsia="Times New Roman" w:hAnsi="Times New Roman"/>
          <w:sz w:val="24"/>
          <w:szCs w:val="24"/>
        </w:rPr>
        <w:t xml:space="preserve">Les perspectives incluent l’enrichissement du modèle thermique, l’extension de l’espace d’action, l’utilisation de profils de charge réalistes et le déploiement embarqué via l’export ONNX. Ce travail constitue une base solide pour le développement d’un système de gestion thermique intelligent adapté aux contraintes du terrain.</w:t>
      </w:r>
    </w:p>
    <w:p>
      <w:r>
        <w:br w:type="page"/>
      </w:r>
    </w:p>
    <w:p>
      <w:pPr>
        <w:pStyle w:val="Heading1"/>
        <w:spacing w:after="200" w:before="360"/>
      </w:pPr>
      <w:r>
        <w:rPr>
          <w:rFonts w:ascii="Times New Roman" w:cs="Times New Roman" w:eastAsia="Times New Roman" w:hAnsi="Times New Roman"/>
          <w:b/>
          <w:bCs/>
          <w:sz w:val="32"/>
          <w:szCs w:val="32"/>
        </w:rPr>
        <w:t xml:space="preserve">Références bibliographiques</w:t>
      </w:r>
    </w:p>
    <w:p>
      <w:pPr>
        <w:spacing w:after="120" w:line="360"/>
        <w:jc w:val="both"/>
      </w:pPr>
      <w:r>
        <w:rPr>
          <w:rFonts w:ascii="Times New Roman" w:cs="Times New Roman" w:eastAsia="Times New Roman" w:hAnsi="Times New Roman"/>
          <w:sz w:val="24"/>
          <w:szCs w:val="24"/>
        </w:rPr>
        <w:t xml:space="preserve">[1]  T. Haarnoja, A. Zhou, P. Abbeel, S. Levine. « Soft Actor-Critic: Off-Policy Maximum Entropy Deep Reinforcement Learning with a Stochastic Actor », ICML 2018. arXiv:1801.01290.</w:t>
      </w:r>
    </w:p>
    <w:p>
      <w:pPr>
        <w:spacing w:after="120" w:line="360"/>
        <w:jc w:val="both"/>
      </w:pPr>
      <w:r>
        <w:rPr>
          <w:rFonts w:ascii="Times New Roman" w:cs="Times New Roman" w:eastAsia="Times New Roman" w:hAnsi="Times New Roman"/>
          <w:sz w:val="24"/>
          <w:szCs w:val="24"/>
        </w:rPr>
        <w:t xml:space="preserve">[2]  T. Haarnoja, A. Zhou, K. Hartikainen, G. Tucker, S. Ha, J. Tan, V. Kumar, H. Zhu, A. Gupta, P. Abbeel, S. Levine. « Soft Actor-Critic Algorithms and Applications », 2018. arXiv:1812.05905.</w:t>
      </w:r>
    </w:p>
    <w:p>
      <w:pPr>
        <w:spacing w:after="120" w:line="360"/>
        <w:jc w:val="both"/>
      </w:pPr>
      <w:r>
        <w:rPr>
          <w:rFonts w:ascii="Times New Roman" w:cs="Times New Roman" w:eastAsia="Times New Roman" w:hAnsi="Times New Roman"/>
          <w:sz w:val="24"/>
          <w:szCs w:val="24"/>
        </w:rPr>
        <w:t xml:space="preserve">[3]  S. Fujimoto, H. van Hoof, D. Meger. « Addressing Function Approximation Error in Actor-Critic Methods », ICML 2018. arXiv:1802.09477.</w:t>
      </w:r>
    </w:p>
    <w:p>
      <w:pPr>
        <w:spacing w:after="120" w:line="360"/>
        <w:jc w:val="both"/>
      </w:pPr>
      <w:r>
        <w:rPr>
          <w:rFonts w:ascii="Times New Roman" w:cs="Times New Roman" w:eastAsia="Times New Roman" w:hAnsi="Times New Roman"/>
          <w:sz w:val="24"/>
          <w:szCs w:val="24"/>
        </w:rPr>
        <w:t xml:space="preserve">[4]  V. Mnih et al. « Human-level control through deep reinforcement learning », Nature 518, 529–533, 2015.</w:t>
      </w:r>
    </w:p>
    <w:p>
      <w:pPr>
        <w:spacing w:after="120" w:line="360"/>
        <w:jc w:val="both"/>
      </w:pPr>
      <w:r>
        <w:rPr>
          <w:rFonts w:ascii="Times New Roman" w:cs="Times New Roman" w:eastAsia="Times New Roman" w:hAnsi="Times New Roman"/>
          <w:sz w:val="24"/>
          <w:szCs w:val="24"/>
        </w:rPr>
        <w:t xml:space="preserve">[5]  R. S. Sutton, A. G. Barto. « Reinforcement Learning: An Introduction », 2ème édition, MIT Press, 2018.</w:t>
      </w:r>
    </w:p>
    <w:p>
      <w:pPr>
        <w:spacing w:after="120" w:line="360"/>
        <w:jc w:val="both"/>
      </w:pPr>
      <w:r>
        <w:rPr>
          <w:rFonts w:ascii="Times New Roman" w:cs="Times New Roman" w:eastAsia="Times New Roman" w:hAnsi="Times New Roman"/>
          <w:sz w:val="24"/>
          <w:szCs w:val="24"/>
        </w:rPr>
        <w:t xml:space="preserve">[6]  A. Pesaran. « Battery Thermal Management in EVs », Advanced Automotive Battery Conference, 2001.</w:t>
      </w:r>
    </w:p>
    <w:p>
      <w:pPr>
        <w:spacing w:after="120" w:line="360"/>
        <w:jc w:val="both"/>
      </w:pPr>
      <w:r>
        <w:rPr>
          <w:rFonts w:ascii="Times New Roman" w:cs="Times New Roman" w:eastAsia="Times New Roman" w:hAnsi="Times New Roman"/>
          <w:sz w:val="24"/>
          <w:szCs w:val="24"/>
        </w:rPr>
        <w:t xml:space="preserve">[7]  X. Lin, H. E. Perez, S. Mohan, J. B. Siegel, A. G. Stefanopoulou, Y. Ding, M. P. Castanier. « A lumped-parameter electro-thermal model for cylindrical batteries », Journal of Power Sources, 257, 1–11, 2014.</w:t>
      </w:r>
    </w:p>
    <w:p>
      <w:pPr>
        <w:spacing w:after="120" w:line="360"/>
        <w:jc w:val="both"/>
      </w:pPr>
      <w:r>
        <w:rPr>
          <w:rFonts w:ascii="Times New Roman" w:cs="Times New Roman" w:eastAsia="Times New Roman" w:hAnsi="Times New Roman"/>
          <w:sz w:val="24"/>
          <w:szCs w:val="24"/>
        </w:rPr>
        <w:t xml:space="preserve">[8]  S. Park, D. Kang, J. Ahn. « Deep Reinforcement Learning-Based Battery Thermal Management », IEEE Access, vol. 10, 2022.</w:t>
      </w:r>
    </w:p>
    <w:p>
      <w:pPr>
        <w:spacing w:after="120" w:line="360"/>
        <w:jc w:val="both"/>
      </w:pPr>
      <w:r>
        <w:rPr>
          <w:rFonts w:ascii="Times New Roman" w:cs="Times New Roman" w:eastAsia="Times New Roman" w:hAnsi="Times New Roman"/>
          <w:sz w:val="24"/>
          <w:szCs w:val="24"/>
        </w:rPr>
        <w:t xml:space="preserve">[9]  OpenAI Spinning Up in Deep RL. « Soft Actor-Critic », documentation en ligne.</w:t>
      </w:r>
    </w:p>
    <w:p>
      <w:pPr>
        <w:spacing w:after="120" w:line="360"/>
        <w:jc w:val="both"/>
      </w:pPr>
      <w:r>
        <w:rPr>
          <w:rFonts w:ascii="Times New Roman" w:cs="Times New Roman" w:eastAsia="Times New Roman" w:hAnsi="Times New Roman"/>
          <w:sz w:val="24"/>
          <w:szCs w:val="24"/>
        </w:rPr>
        <w:t xml:space="preserve">[10] Gymnasium Documentation. « Gymnasium: A Standard API for Reinforcement Learning », Farama Foundation.</w:t>
      </w:r>
    </w:p>
    <w:p>
      <w:r>
        <w:br w:type="page"/>
      </w:r>
    </w:p>
    <w:p>
      <w:pPr>
        <w:pStyle w:val="Heading1"/>
        <w:spacing w:after="200" w:before="360"/>
      </w:pPr>
      <w:r>
        <w:rPr>
          <w:rFonts w:ascii="Times New Roman" w:cs="Times New Roman" w:eastAsia="Times New Roman" w:hAnsi="Times New Roman"/>
          <w:b/>
          <w:bCs/>
          <w:sz w:val="32"/>
          <w:szCs w:val="32"/>
        </w:rPr>
        <w:t xml:space="preserve">Annexe A : Paramètres par défaut</w:t>
      </w:r>
    </w:p>
    <w:p>
      <w:pPr>
        <w:pStyle w:val="Heading2"/>
        <w:spacing w:after="200" w:before="360"/>
      </w:pPr>
      <w:r>
        <w:rPr>
          <w:rFonts w:ascii="Times New Roman" w:cs="Times New Roman" w:eastAsia="Times New Roman" w:hAnsi="Times New Roman"/>
          <w:b/>
          <w:bCs/>
          <w:sz w:val="28"/>
          <w:szCs w:val="28"/>
        </w:rPr>
        <w:t xml:space="preserve">A.1 Paramètres thermiques et batterie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2026"/>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Paramètre</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Symbole</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Valeur</w:t>
            </w:r>
          </w:p>
        </w:tc>
        <w:tc>
          <w:tcPr>
            <w:tcW w:type="dxa" w:w="202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Unité</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Capacité thermique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C_th</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J/K</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Résistance thermique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R_th</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K/W</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Résistance interne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R_int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0,05</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Ω</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Puissance max refroidissement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P_cool,max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Capacité batterie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C_batt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Courant max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I_max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Courant min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I_min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 initiale min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T_init,min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 initiale max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T_init,max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 ambiante min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T_amb,min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15</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 ambiante max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T_amb,max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35</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 sûre min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T_safe,min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15</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 sûre max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T_safe,max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45</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 alerte (warning)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T_warning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 coupure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T_cutoff</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Pas de temps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Δt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Steps max par épisode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max_steps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3 600</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bl>
    <w:p>
      <w:pPr>
        <w:pStyle w:val="Heading2"/>
        <w:spacing w:after="200" w:before="360"/>
      </w:pPr>
      <w:r>
        <w:rPr>
          <w:rFonts w:ascii="Times New Roman" w:cs="Times New Roman" w:eastAsia="Times New Roman" w:hAnsi="Times New Roman"/>
          <w:b/>
          <w:bCs/>
          <w:sz w:val="28"/>
          <w:szCs w:val="28"/>
        </w:rPr>
        <w:t xml:space="preserve">A.2 Hyperparamètres SAC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Paramètre</w:t>
            </w:r>
          </w:p>
        </w:tc>
        <w:tc>
          <w:tcPr>
            <w:tcW w:type="dxa" w:w="402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Valeur</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Couches cachées (acteur + critique)</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 × 256</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Activation</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ReLU</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Learning rate (π, Q, α)</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 × 10⁻⁴</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Facteur de discount (γ)</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0,99</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Coefficient soft update (τ)</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0,005</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Taille du batch</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256</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Capacité replay buffer</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100 000</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Learning starts</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1 000</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Entropie cible</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−dim(A) = −1</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α initial</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0,2</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RL pour le contrôle thermique de batteries — SAC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2026-03-25T19:21:38.607Z</dcterms:created>
  <dcterms:modified xsi:type="dcterms:W3CDTF">2026-03-25T19:21:38.608Z</dcterms:modified>
</cp:coreProperties>
</file>

<file path=docProps/custom.xml><?xml version="1.0" encoding="utf-8"?>
<Properties xmlns="http://schemas.openxmlformats.org/officeDocument/2006/custom-properties" xmlns:vt="http://schemas.openxmlformats.org/officeDocument/2006/docPropsVTypes"/>
</file>