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Women Connect International</w:t>
      </w:r>
    </w:p>
    <w:p>
      <w:pPr>
        <w:jc w:val="center"/>
      </w:pPr>
      <w:r>
        <w:rPr>
          <w:b/>
          <w:color w:val="E87325"/>
          <w:sz w:val="24"/>
        </w:rPr>
        <w:t>One-page business model canvas draft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shd w:fill="EAF1FB"/>
            <w:vAlign w:val="center"/>
          </w:tcPr>
          <w:p>
            <w:pPr>
              <w:spacing w:after="0"/>
            </w:pPr>
            <w:r>
              <w:rPr>
                <w:b/>
                <w:color w:val="1A365D"/>
                <w:sz w:val="20"/>
              </w:rPr>
              <w:t>Key Partners</w:t>
              <w:br/>
            </w:r>
            <w:r>
              <w:rPr>
                <w:sz w:val="18"/>
              </w:rPr>
              <w:t>Diaspora associations</w:t>
              <w:br/>
              <w:t>Mental health professionals</w:t>
              <w:br/>
              <w:t>Local women NGOs</w:t>
              <w:br/>
              <w:t>CSR sponsors</w:t>
              <w:br/>
              <w:t>Mentors and trainers</w:t>
            </w:r>
          </w:p>
        </w:tc>
        <w:tc>
          <w:tcPr>
            <w:tcW w:type="dxa" w:w="3600"/>
            <w:shd w:fill="F5F8FD"/>
            <w:vAlign w:val="center"/>
          </w:tcPr>
          <w:p>
            <w:pPr>
              <w:spacing w:after="0"/>
            </w:pPr>
            <w:r>
              <w:rPr>
                <w:b/>
                <w:color w:val="1A365D"/>
                <w:sz w:val="20"/>
              </w:rPr>
              <w:t>Key Activities</w:t>
              <w:br/>
            </w:r>
            <w:r>
              <w:rPr>
                <w:sz w:val="18"/>
              </w:rPr>
              <w:t>Resilience support cohorts</w:t>
              <w:br/>
              <w:t>Digital and income-skills training</w:t>
              <w:br/>
              <w:t>Mentor matching</w:t>
              <w:br/>
              <w:t>Leadership circles</w:t>
              <w:br/>
              <w:t>Transparent project reporting</w:t>
            </w:r>
          </w:p>
        </w:tc>
        <w:tc>
          <w:tcPr>
            <w:tcW w:type="dxa" w:w="3600"/>
            <w:shd w:fill="EAF1FB"/>
            <w:vAlign w:val="center"/>
          </w:tcPr>
          <w:p>
            <w:pPr>
              <w:spacing w:after="0"/>
            </w:pPr>
            <w:r>
              <w:rPr>
                <w:b/>
                <w:color w:val="1A365D"/>
                <w:sz w:val="20"/>
              </w:rPr>
              <w:t>Value Proposition</w:t>
              <w:br/>
            </w:r>
            <w:r>
              <w:rPr>
                <w:sz w:val="18"/>
              </w:rPr>
              <w:t>Help diaspora women move from stress and isolation to resilience, employability, leadership, and measurable collective impact</w:t>
            </w:r>
          </w:p>
        </w:tc>
      </w:tr>
      <w:tr>
        <w:tc>
          <w:tcPr>
            <w:tcW w:type="dxa" w:w="3600"/>
            <w:shd w:fill="F5F8FD"/>
            <w:vAlign w:val="center"/>
          </w:tcPr>
          <w:p>
            <w:pPr>
              <w:spacing w:after="0"/>
            </w:pPr>
            <w:r>
              <w:rPr>
                <w:b/>
                <w:color w:val="1A365D"/>
                <w:sz w:val="20"/>
              </w:rPr>
              <w:t>Customer / Beneficiary Relationships</w:t>
              <w:br/>
            </w:r>
            <w:r>
              <w:rPr>
                <w:sz w:val="18"/>
              </w:rPr>
              <w:t>Trust-based onboarding</w:t>
              <w:br/>
              <w:t>Facilitated peer circles</w:t>
              <w:br/>
              <w:t>Mentorship</w:t>
              <w:br/>
              <w:t>Community ambassadors</w:t>
              <w:br/>
              <w:t>Partner referrals</w:t>
            </w:r>
          </w:p>
        </w:tc>
        <w:tc>
          <w:tcPr>
            <w:tcW w:type="dxa" w:w="3600"/>
            <w:shd w:fill="EAF1FB"/>
            <w:vAlign w:val="center"/>
          </w:tcPr>
          <w:p>
            <w:pPr>
              <w:spacing w:after="0"/>
            </w:pPr>
            <w:r>
              <w:rPr>
                <w:b/>
                <w:color w:val="1A365D"/>
                <w:sz w:val="20"/>
              </w:rPr>
              <w:t>Channels</w:t>
              <w:br/>
            </w:r>
            <w:r>
              <w:rPr>
                <w:sz w:val="18"/>
              </w:rPr>
              <w:t>Diaspora networks</w:t>
              <w:br/>
              <w:t>Virtual cohorts</w:t>
              <w:br/>
              <w:t>WhatsApp / email / webinars</w:t>
              <w:br/>
              <w:t>Partner referrals</w:t>
              <w:br/>
              <w:t>Digital platform</w:t>
            </w:r>
          </w:p>
        </w:tc>
        <w:tc>
          <w:tcPr>
            <w:tcW w:type="dxa" w:w="3600"/>
            <w:shd w:fill="F5F8FD"/>
            <w:vAlign w:val="center"/>
          </w:tcPr>
          <w:p>
            <w:pPr>
              <w:spacing w:after="0"/>
            </w:pPr>
            <w:r>
              <w:rPr>
                <w:b/>
                <w:color w:val="1A365D"/>
                <w:sz w:val="20"/>
              </w:rPr>
              <w:t>Beneficiary Segments</w:t>
              <w:br/>
            </w:r>
            <w:r>
              <w:rPr>
                <w:sz w:val="18"/>
              </w:rPr>
              <w:t>African women in diaspora</w:t>
              <w:br/>
              <w:t>Women facing underemployment, isolation or burnout</w:t>
              <w:br/>
              <w:t>Partner institutions seeking women-focused support</w:t>
            </w:r>
          </w:p>
        </w:tc>
      </w:tr>
      <w:tr>
        <w:tc>
          <w:tcPr>
            <w:tcW w:type="dxa" w:w="3600"/>
            <w:shd w:fill="EAF1FB"/>
            <w:vAlign w:val="center"/>
          </w:tcPr>
          <w:p>
            <w:pPr>
              <w:spacing w:after="0"/>
            </w:pPr>
            <w:r>
              <w:rPr>
                <w:b/>
                <w:color w:val="1A365D"/>
                <w:sz w:val="20"/>
              </w:rPr>
              <w:t>Key Resources</w:t>
              <w:br/>
            </w:r>
            <w:r>
              <w:rPr>
                <w:sz w:val="18"/>
              </w:rPr>
              <w:t>Trauma-informed facilitators</w:t>
              <w:br/>
              <w:t>Digital platform modules</w:t>
              <w:br/>
              <w:t>Curriculum</w:t>
              <w:br/>
              <w:t>Mentor network</w:t>
              <w:br/>
              <w:t>Safeguarding and governance systems</w:t>
            </w:r>
          </w:p>
        </w:tc>
        <w:tc>
          <w:tcPr>
            <w:tcW w:type="dxa" w:w="3600"/>
            <w:shd w:fill="F5F8FD"/>
            <w:vAlign w:val="center"/>
          </w:tcPr>
          <w:p>
            <w:pPr>
              <w:spacing w:after="0"/>
            </w:pPr>
            <w:r>
              <w:rPr>
                <w:b/>
                <w:color w:val="1A365D"/>
                <w:sz w:val="20"/>
              </w:rPr>
              <w:t>Cost Structure</w:t>
              <w:br/>
            </w:r>
            <w:r>
              <w:rPr>
                <w:sz w:val="18"/>
              </w:rPr>
              <w:t>Facilitators and training</w:t>
              <w:br/>
              <w:t>Platform development and hosting</w:t>
              <w:br/>
              <w:t>Monitoring &amp; evaluation</w:t>
              <w:br/>
              <w:t>Partner coordination</w:t>
              <w:br/>
              <w:t>Safeguarding and support</w:t>
            </w:r>
          </w:p>
        </w:tc>
        <w:tc>
          <w:tcPr>
            <w:tcW w:type="dxa" w:w="3600"/>
            <w:shd w:fill="EAF1FB"/>
            <w:vAlign w:val="center"/>
          </w:tcPr>
          <w:p>
            <w:pPr>
              <w:spacing w:after="0"/>
            </w:pPr>
            <w:r>
              <w:rPr>
                <w:b/>
                <w:color w:val="1A365D"/>
                <w:sz w:val="20"/>
              </w:rPr>
              <w:t>Revenue / Support Streams</w:t>
              <w:br/>
            </w:r>
            <w:r>
              <w:rPr>
                <w:sz w:val="18"/>
              </w:rPr>
              <w:t>Grants and philanthropy</w:t>
              <w:br/>
              <w:t>CSR sponsorships</w:t>
              <w:br/>
              <w:t>Partner-funded cohorts</w:t>
              <w:br/>
              <w:t>Paid training packages</w:t>
              <w:br/>
              <w:t>Premium mentoring / certification</w:t>
            </w:r>
          </w:p>
        </w:tc>
      </w:tr>
    </w:tbl>
    <w:p/>
    <w:p>
      <w:pPr>
        <w:jc w:val="center"/>
      </w:pPr>
      <w:r>
        <w:rPr>
          <w:i/>
          <w:color w:val="5A5A5A"/>
          <w:sz w:val="18"/>
        </w:rPr>
        <w:t>Draft logic: NGO-led social mission first, with revenue-supporting services added as the model matures.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 xml:space="preserve">Women Connect International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5A5A"/>
        <w:sz w:val="16"/>
      </w:rPr>
      <w:t>Business Model Canvas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A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A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3C3C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A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