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473E2E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473E2E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proofErr w:type="spellStart"/>
      <w:r w:rsidR="00A545ED">
        <w:t>an</w:t>
      </w:r>
      <w:r w:rsidR="00A44E9D">
        <w:t>d</w:t>
      </w:r>
      <w:proofErr w:type="spellEnd"/>
      <w:r w:rsidR="00A44E9D">
        <w:t xml:space="preserve">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359C5749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proofErr w:type="spellStart"/>
            <w:r>
              <w:t>nameWF</w:t>
            </w:r>
            <w:proofErr w:type="spellEnd"/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proofErr w:type="spellStart"/>
            <w:r>
              <w:t>latPro</w:t>
            </w:r>
            <w:r w:rsidR="00460E06">
              <w:t>j</w:t>
            </w:r>
            <w:proofErr w:type="spellEnd"/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proofErr w:type="spellStart"/>
            <w:r>
              <w:t>longProj</w:t>
            </w:r>
            <w:proofErr w:type="spellEnd"/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proofErr w:type="spellStart"/>
            <w:r>
              <w:t>longUTMProj</w:t>
            </w:r>
            <w:proofErr w:type="spellEnd"/>
            <w:r>
              <w:t xml:space="preserve">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proofErr w:type="spellStart"/>
            <w:r>
              <w:t>latUTMProj</w:t>
            </w:r>
            <w:proofErr w:type="spellEnd"/>
            <w: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</w:t>
      </w:r>
      <w:proofErr w:type="spellStart"/>
      <w:r>
        <w:t>altitud</w:t>
      </w:r>
      <w:proofErr w:type="spellEnd"/>
      <w:r>
        <w:t xml:space="preserve">, and the distances </w:t>
      </w:r>
      <w:r w:rsidR="009572C9">
        <w:t>to the closest turbine</w:t>
      </w:r>
      <w:r w:rsidR="0079743D"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1B1E04E1" w:rsidR="00582797" w:rsidRDefault="00C60C35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>flagDf1</w:t>
            </w: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51BE44CF" w:rsidR="009572C9" w:rsidRPr="00430F21" w:rsidRDefault="009572C9" w:rsidP="00430F21">
            <w:pPr>
              <w:pStyle w:val="tableBlueLeft"/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lastRenderedPageBreak/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040"/>
        <w:gridCol w:w="1417"/>
        <w:gridCol w:w="1407"/>
        <w:gridCol w:w="1409"/>
        <w:gridCol w:w="1130"/>
        <w:gridCol w:w="1268"/>
        <w:gridCol w:w="1411"/>
        <w:gridCol w:w="1266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10CCB10C" w:rsidR="0007268B" w:rsidRPr="00CB1852" w:rsidRDefault="00C60C35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t>flagDf2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2F88E2B4" w:rsidR="0007268B" w:rsidRPr="00C60C35" w:rsidRDefault="0007268B" w:rsidP="00C60C35">
            <w:pPr>
              <w:pStyle w:val="tableBlueLeft"/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60C35" w:rsidRDefault="0007268B" w:rsidP="00C60C35">
            <w:pPr>
              <w:pStyle w:val="tableSidedCenter"/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60C35" w:rsidRDefault="0007268B" w:rsidP="00C60C35">
            <w:pPr>
              <w:pStyle w:val="tableSidedCenter"/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60C35" w:rsidRDefault="0007268B" w:rsidP="00C60C35">
            <w:pPr>
              <w:pStyle w:val="tableSidedCenter"/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60C35" w:rsidRDefault="0007268B" w:rsidP="00C60C35">
            <w:pPr>
              <w:pStyle w:val="tableSidedCenter"/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60C35" w:rsidRDefault="0007268B" w:rsidP="00C60C35">
            <w:pPr>
              <w:pStyle w:val="tableSidedCenter"/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60C35" w:rsidRDefault="0007268B" w:rsidP="00C60C35">
            <w:pPr>
              <w:pStyle w:val="tableSidedCenter"/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60C35" w:rsidRDefault="0007268B" w:rsidP="00C60C35">
            <w:pPr>
              <w:pStyle w:val="tableSidedCenter"/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lastRenderedPageBreak/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>re gathered in Table 8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473E2E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D115" w14:textId="77777777" w:rsidR="00473E2E" w:rsidRDefault="00473E2E">
      <w:r>
        <w:separator/>
      </w:r>
    </w:p>
  </w:endnote>
  <w:endnote w:type="continuationSeparator" w:id="0">
    <w:p w14:paraId="0C7799F0" w14:textId="77777777" w:rsidR="00473E2E" w:rsidRDefault="00473E2E">
      <w:r>
        <w:continuationSeparator/>
      </w:r>
    </w:p>
  </w:endnote>
  <w:endnote w:type="continuationNotice" w:id="1">
    <w:p w14:paraId="70094427" w14:textId="77777777" w:rsidR="00473E2E" w:rsidRDefault="00473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83E7" w14:textId="77777777" w:rsidR="00473E2E" w:rsidRDefault="00473E2E">
      <w:r>
        <w:separator/>
      </w:r>
    </w:p>
  </w:footnote>
  <w:footnote w:type="continuationSeparator" w:id="0">
    <w:p w14:paraId="66F508A1" w14:textId="77777777" w:rsidR="00473E2E" w:rsidRDefault="00473E2E">
      <w:r>
        <w:continuationSeparator/>
      </w:r>
    </w:p>
  </w:footnote>
  <w:footnote w:type="continuationNotice" w:id="1">
    <w:p w14:paraId="2FCBFEAE" w14:textId="77777777" w:rsidR="00473E2E" w:rsidRDefault="00473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E2E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0C35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2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1552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20</cp:revision>
  <cp:lastPrinted>2022-07-27T07:59:00Z</cp:lastPrinted>
  <dcterms:created xsi:type="dcterms:W3CDTF">2023-12-22T13:31:00Z</dcterms:created>
  <dcterms:modified xsi:type="dcterms:W3CDTF">2024-01-10T14:22:00Z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