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w:t>Hochschule Aalen</w:t>
      </w:r>
    </w:p>
    <w:p>
      <w:pPr>
        <w:pStyle w:val="Normal"/>
        <w:bidi w:val="0"/>
        <w:jc w:val="start"/>
        <w:rPr/>
      </w:pPr>
      <w:r>
        <w:rPr/>
        <w:t>Hochschule für Angewandte Wissenschaften</w:t>
      </w:r>
    </w:p>
    <w:p>
      <w:pPr>
        <w:pStyle w:val="Normal"/>
        <w:bidi w:val="0"/>
        <w:jc w:val="start"/>
        <w:rPr/>
      </w:pPr>
      <w:r>
        <w:rPr/>
        <w:t>Kommunikation und Didaktik</w:t>
      </w:r>
    </w:p>
    <w:p>
      <w:pPr>
        <w:pStyle w:val="Normal"/>
        <w:bidi w:val="0"/>
        <w:jc w:val="start"/>
        <w:rPr/>
      </w:pPr>
      <w:r>
        <w:rPr/>
        <w:t xml:space="preserve">Leitung: Dr. Karsten Wendland, </w:t>
      </w:r>
      <w:r>
        <w:rPr/>
        <w:t>Prof. Dr. Constance Richter</w:t>
      </w:r>
    </w:p>
    <w:p>
      <w:pPr>
        <w:pStyle w:val="Normal"/>
        <w:bidi w:val="0"/>
        <w:jc w:val="start"/>
        <w:rPr/>
      </w:pPr>
      <w:r>
        <w:rPr/>
        <w:t>Hausarbeit</w:t>
      </w:r>
    </w:p>
    <w:p>
      <w:pPr>
        <w:pStyle w:val="Normal"/>
        <w:bidi w:val="0"/>
        <w:jc w:val="start"/>
        <w:rPr/>
      </w:pPr>
      <w:r>
        <w:rPr/>
        <w:t>WS 2023/24</w:t>
      </w:r>
    </w:p>
    <w:p>
      <w:pPr>
        <w:pStyle w:val="Normal"/>
        <w:bidi w:val="0"/>
        <w:jc w:val="start"/>
        <w:rPr/>
      </w:pPr>
      <w:r>
        <w:rPr/>
      </w:r>
    </w:p>
    <w:p>
      <w:pPr>
        <w:pStyle w:val="Title"/>
        <w:bidi w:val="0"/>
        <w:jc w:val="center"/>
        <w:rPr/>
      </w:pPr>
      <w:r>
        <w:rPr/>
      </w:r>
    </w:p>
    <w:p>
      <w:pPr>
        <w:pStyle w:val="Title"/>
        <w:bidi w:val="0"/>
        <w:jc w:val="center"/>
        <w:rPr/>
      </w:pPr>
      <w:r>
        <w:rPr/>
      </w:r>
    </w:p>
    <w:p>
      <w:pPr>
        <w:pStyle w:val="Title"/>
        <w:bidi w:val="0"/>
        <w:jc w:val="center"/>
        <w:rPr/>
      </w:pPr>
      <w:r>
        <w:rPr/>
      </w:r>
    </w:p>
    <w:p>
      <w:pPr>
        <w:pStyle w:val="Title"/>
        <w:bidi w:val="0"/>
        <w:jc w:val="center"/>
        <w:rPr/>
      </w:pPr>
      <w:r>
        <w:rPr/>
      </w:r>
    </w:p>
    <w:p>
      <w:pPr>
        <w:pStyle w:val="Title"/>
        <w:bidi w:val="0"/>
        <w:jc w:val="center"/>
        <w:rPr/>
      </w:pPr>
      <w:r>
        <w:rPr/>
        <w:t xml:space="preserve">Auswirkungen von </w:t>
      </w:r>
      <w:r>
        <w:fldChar w:fldCharType="begin"/>
      </w:r>
      <w:r>
        <w:rPr/>
        <w:instrText xml:space="preserve"> XE "nudging" </w:instrText>
      </w:r>
      <w:r>
        <w:rPr/>
        <w:fldChar w:fldCharType="separate"/>
      </w:r>
      <w:r>
        <w:rPr/>
        <w:t>nudging</w:t>
      </w:r>
      <w:r>
        <w:rPr/>
        <w:fldChar w:fldCharType="end"/>
      </w:r>
      <w:r>
        <w:rPr/>
        <w:t>-basierten Anreizsystemen</w:t>
      </w:r>
    </w:p>
    <w:p>
      <w:pPr>
        <w:pStyle w:val="Subtitle"/>
        <w:bidi w:val="0"/>
        <w:spacing w:before="60" w:after="120"/>
        <w:jc w:val="center"/>
        <w:rPr/>
      </w:pPr>
      <w:r>
        <w:rPr/>
        <w:t>in Free-to-play Spielen</w:t>
      </w:r>
    </w:p>
    <w:p>
      <w:pPr>
        <w:pStyle w:val="BodyText"/>
        <w:bidi w:val="0"/>
        <w:spacing w:lineRule="auto" w:line="276" w:before="0" w:after="140"/>
        <w:jc w:val="start"/>
        <w:rPr/>
      </w:pPr>
      <w:r>
        <w:rPr/>
      </w:r>
    </w:p>
    <w:p>
      <w:pPr>
        <w:pStyle w:val="BodyText"/>
        <w:bidi w:val="0"/>
        <w:spacing w:before="0" w:after="26"/>
        <w:jc w:val="start"/>
        <w:rPr/>
      </w:pPr>
      <w:r>
        <w:rPr/>
      </w:r>
    </w:p>
    <w:p>
      <w:pPr>
        <w:pStyle w:val="BodyText"/>
        <w:bidi w:val="0"/>
        <w:spacing w:before="0" w:after="26"/>
        <w:jc w:val="start"/>
        <w:rPr/>
      </w:pPr>
      <w:r>
        <w:rPr/>
      </w:r>
    </w:p>
    <w:p>
      <w:pPr>
        <w:pStyle w:val="BodyText"/>
        <w:bidi w:val="0"/>
        <w:spacing w:before="0" w:after="26"/>
        <w:jc w:val="start"/>
        <w:rPr/>
      </w:pPr>
      <w:r>
        <w:rPr/>
      </w:r>
    </w:p>
    <w:p>
      <w:pPr>
        <w:pStyle w:val="BodyText"/>
        <w:bidi w:val="0"/>
        <w:spacing w:before="0" w:after="26"/>
        <w:jc w:val="start"/>
        <w:rPr/>
      </w:pPr>
      <w:r>
        <w:rPr/>
      </w:r>
    </w:p>
    <w:p>
      <w:pPr>
        <w:pStyle w:val="BodyText"/>
        <w:bidi w:val="0"/>
        <w:spacing w:before="0" w:after="26"/>
        <w:jc w:val="start"/>
        <w:rPr/>
      </w:pPr>
      <w:r>
        <w:rPr/>
      </w:r>
    </w:p>
    <w:p>
      <w:pPr>
        <w:pStyle w:val="BodyText"/>
        <w:bidi w:val="0"/>
        <w:spacing w:before="0" w:after="26"/>
        <w:jc w:val="start"/>
        <w:rPr/>
      </w:pPr>
      <w:r>
        <w:rPr/>
      </w:r>
    </w:p>
    <w:p>
      <w:pPr>
        <w:pStyle w:val="BodyText"/>
        <w:bidi w:val="0"/>
        <w:spacing w:before="0" w:after="26"/>
        <w:jc w:val="start"/>
        <w:rPr/>
      </w:pPr>
      <w:r>
        <w:rPr/>
      </w:r>
    </w:p>
    <w:p>
      <w:pPr>
        <w:pStyle w:val="BodyText"/>
        <w:bidi w:val="0"/>
        <w:spacing w:before="0" w:after="26"/>
        <w:jc w:val="start"/>
        <w:rPr/>
      </w:pPr>
      <w:r>
        <w:rPr/>
        <w:t>vorgelegt von</w:t>
      </w:r>
    </w:p>
    <w:p>
      <w:pPr>
        <w:pStyle w:val="BodyText"/>
        <w:bidi w:val="0"/>
        <w:spacing w:before="0" w:after="26"/>
        <w:jc w:val="start"/>
        <w:rPr/>
      </w:pPr>
      <w:r>
        <w:rPr/>
        <w:t>Simon Feldmann</w:t>
      </w:r>
    </w:p>
    <w:p>
      <w:pPr>
        <w:pStyle w:val="BodyText"/>
        <w:bidi w:val="0"/>
        <w:spacing w:before="0" w:after="26"/>
        <w:jc w:val="start"/>
        <w:rPr/>
      </w:pPr>
      <w:r>
        <w:rPr/>
        <w:t>Schillerstraße  7</w:t>
      </w:r>
    </w:p>
    <w:p>
      <w:pPr>
        <w:pStyle w:val="BodyText"/>
        <w:bidi w:val="0"/>
        <w:spacing w:before="0" w:after="26"/>
        <w:jc w:val="start"/>
        <w:rPr/>
      </w:pPr>
      <w:r>
        <w:rPr/>
        <w:t xml:space="preserve">73525  </w:t>
      </w:r>
      <w:r>
        <w:rPr/>
        <w:t>Schwäbisch Gmünd</w:t>
      </w:r>
    </w:p>
    <w:p>
      <w:pPr>
        <w:pStyle w:val="BodyText"/>
        <w:bidi w:val="0"/>
        <w:spacing w:before="0" w:after="26"/>
        <w:jc w:val="start"/>
        <w:rPr/>
      </w:pPr>
      <w:r>
        <w:rPr/>
      </w:r>
    </w:p>
    <w:p>
      <w:pPr>
        <w:pStyle w:val="BodyText"/>
        <w:bidi w:val="0"/>
        <w:spacing w:before="0" w:after="26"/>
        <w:jc w:val="start"/>
        <w:rPr/>
      </w:pPr>
      <w:r>
        <w:rPr/>
        <w:t>1.Fachsemester</w:t>
      </w:r>
    </w:p>
    <w:p>
      <w:pPr>
        <w:sectPr>
          <w:type w:val="nextPage"/>
          <w:pgSz w:w="11906" w:h="16838"/>
          <w:pgMar w:left="1134" w:right="1134" w:gutter="0" w:header="0" w:top="1134" w:footer="0" w:bottom="1134"/>
          <w:pgNumType w:fmt="decimal"/>
          <w:formProt w:val="false"/>
          <w:textDirection w:val="lrTb"/>
          <w:docGrid w:type="default" w:linePitch="600" w:charSpace="32768"/>
        </w:sectPr>
        <w:pStyle w:val="BodyText"/>
        <w:bidi w:val="0"/>
        <w:spacing w:before="0" w:after="26"/>
        <w:jc w:val="start"/>
        <w:rPr/>
      </w:pPr>
      <w:r>
        <w:rPr/>
        <w:t>Matrikelnr. 3005165</w:t>
      </w:r>
    </w:p>
    <w:p>
      <w:pPr>
        <w:pStyle w:val="BodyText"/>
        <w:bidi w:val="0"/>
        <w:spacing w:before="0" w:after="26"/>
        <w:jc w:val="start"/>
        <w:rPr/>
      </w:pPr>
      <w:r>
        <w:rPr/>
        <w:t xml:space="preserve">Abgabetermin: </w:t>
      </w:r>
      <w:r>
        <w:rPr/>
        <w:t>18.01.2024</w:t>
      </w:r>
    </w:p>
    <w:p>
      <w:pPr>
        <w:pStyle w:val="BodyText"/>
        <w:bidi w:val="0"/>
        <w:spacing w:before="0" w:after="26"/>
        <w:jc w:val="start"/>
        <w:rPr/>
      </w:pPr>
      <w:r>
        <w:rPr/>
      </w:r>
    </w:p>
    <w:p>
      <w:pPr>
        <w:pStyle w:val="Heading1"/>
        <w:bidi w:val="0"/>
        <w:spacing w:lineRule="auto" w:line="360"/>
        <w:ind w:hanging="0" w:start="0"/>
        <w:jc w:val="start"/>
        <w:rPr/>
      </w:pPr>
      <w:bookmarkStart w:id="0" w:name="__RefHeading___Toc1244_3912987273"/>
      <w:bookmarkEnd w:id="0"/>
      <w:r>
        <w:rPr/>
        <w:t>Eidesstattliche Erklärung</w:t>
      </w:r>
    </w:p>
    <w:p>
      <w:pPr>
        <w:pStyle w:val="BodyText"/>
        <w:bidi w:val="0"/>
        <w:spacing w:lineRule="auto" w:line="360"/>
        <w:jc w:val="start"/>
        <w:rPr/>
      </w:pPr>
      <w:r>
        <w:rPr/>
      </w:r>
    </w:p>
    <w:p>
      <w:pPr>
        <w:pStyle w:val="BodyText"/>
        <w:bidi w:val="0"/>
        <w:spacing w:lineRule="auto" w:line="360"/>
        <w:jc w:val="start"/>
        <w:rPr/>
      </w:pPr>
      <w:r>
        <w:rPr/>
        <w:t>Hiermit versichere ich, dass ich die Hausarbeit selbständig verfasst und keine anderen als die angegebenen Quellen und Hilfsmittel benutzt habe, alle Ausführungen, die anderen Schriften wörtlich oder sinngemäß entnommen wurden, kenntlich gemacht sind und die Arbeit in gleicher oder ähnlicher Fassung noch nicht Bestandteil einer Studien- oder Prüfungsleistung war.</w:t>
      </w:r>
    </w:p>
    <w:p>
      <w:pPr>
        <w:pStyle w:val="BodyText"/>
        <w:bidi w:val="0"/>
        <w:spacing w:lineRule="auto" w:line="360"/>
        <w:jc w:val="start"/>
        <w:rPr/>
      </w:pPr>
      <w:r>
        <w:rPr/>
      </w:r>
    </w:p>
    <w:p>
      <w:pPr>
        <w:pStyle w:val="BodyText"/>
        <w:bidi w:val="0"/>
        <w:spacing w:lineRule="auto" w:line="360"/>
        <w:jc w:val="start"/>
        <w:rPr/>
      </w:pPr>
      <w:r>
        <w:rPr/>
      </w:r>
    </w:p>
    <w:p>
      <w:pPr>
        <w:pStyle w:val="BodyText"/>
        <w:bidi w:val="0"/>
        <w:spacing w:lineRule="auto" w:line="360"/>
        <w:jc w:val="start"/>
        <w:rPr/>
      </w:pPr>
      <w:r>
        <w:rPr/>
      </w:r>
    </w:p>
    <w:p>
      <w:pPr>
        <w:pStyle w:val="BodyText"/>
        <w:bidi w:val="0"/>
        <w:spacing w:lineRule="auto" w:line="360"/>
        <w:jc w:val="start"/>
        <w:rPr/>
      </w:pPr>
      <w:r>
        <w:rPr/>
      </w:r>
    </w:p>
    <w:p>
      <w:pPr>
        <w:pStyle w:val="BodyText"/>
        <w:bidi w:val="0"/>
        <w:spacing w:lineRule="auto" w:line="360"/>
        <w:jc w:val="start"/>
        <w:rPr/>
      </w:pPr>
      <w:r>
        <w:rPr/>
      </w:r>
    </w:p>
    <w:p>
      <w:pPr>
        <w:pStyle w:val="BodyText"/>
        <w:bidi w:val="0"/>
        <w:spacing w:lineRule="auto" w:line="360"/>
        <w:jc w:val="start"/>
        <w:rPr/>
      </w:pPr>
      <w:r>
        <w:rPr/>
      </w:r>
    </w:p>
    <w:p>
      <w:pPr>
        <w:pStyle w:val="BodyText"/>
        <w:bidi w:val="0"/>
        <w:spacing w:lineRule="auto" w:line="360"/>
        <w:jc w:val="start"/>
        <w:rPr/>
      </w:pPr>
      <w: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Form1" stroked="f" o:allowincell="f" style="position:absolute;margin-left:0pt;margin-top:0pt;width:170.05pt;height:85pt;mso-wrap-style:none;v-text-anchor:middle" type="_x0000_t75">
            <o:signatureline issignatureline="t" id="{B49FA761-A798-4950-ACDE-352004459D39}" o:suggestedsigner="Simon Feldmann" showsigndate="t" allowcomments="t"/>
            <v:imagedata r:id="rId2" o:detectmouseclick="t"/>
            <v:stroke color="#3465a4" joinstyle="round" endcap="flat"/>
            <w10:wrap type="square"/>
          </v:shape>
        </w:pict>
      </w:r>
    </w:p>
    <w:p>
      <w:pPr>
        <w:pStyle w:val="BodyText"/>
        <w:bidi w:val="0"/>
        <w:spacing w:lineRule="auto" w:line="360"/>
        <w:jc w:val="start"/>
        <w:rPr/>
      </w:pPr>
      <w:r>
        <w:rPr/>
      </w:r>
    </w:p>
    <w:p>
      <w:pPr>
        <w:pStyle w:val="BodyText"/>
        <w:bidi w:val="0"/>
        <w:spacing w:lineRule="auto" w:line="360"/>
        <w:jc w:val="start"/>
        <w:rPr/>
      </w:pPr>
      <w:r>
        <w:rPr/>
      </w:r>
    </w:p>
    <w:p>
      <w:pPr>
        <w:pStyle w:val="BodyText"/>
        <w:bidi w:val="0"/>
        <w:spacing w:lineRule="auto" w:line="360"/>
        <w:jc w:val="start"/>
        <w:rPr/>
      </w:pPr>
      <w:r>
        <w:rPr/>
      </w:r>
    </w:p>
    <w:p>
      <w:pPr>
        <w:pStyle w:val="BodyText"/>
        <w:bidi w:val="0"/>
        <w:spacing w:lineRule="auto" w:line="360"/>
        <w:jc w:val="start"/>
        <w:rPr/>
      </w:pPr>
      <w:r>
        <w:rPr/>
      </w:r>
    </w:p>
    <w:p>
      <w:pPr>
        <w:pStyle w:val="BodyText"/>
        <w:bidi w:val="0"/>
        <w:spacing w:lineRule="auto" w:line="360"/>
        <w:jc w:val="start"/>
        <w:rPr/>
      </w:pPr>
      <w:r>
        <w:rPr/>
      </w:r>
    </w:p>
    <w:p>
      <w:pPr>
        <w:pStyle w:val="BodyText"/>
        <w:bidi w:val="0"/>
        <w:spacing w:lineRule="auto" w:line="360"/>
        <w:jc w:val="start"/>
        <w:rPr/>
      </w:pPr>
      <w:r>
        <w:rPr/>
      </w:r>
    </w:p>
    <w:p>
      <w:pPr>
        <w:pStyle w:val="BodyText"/>
        <w:bidi w:val="0"/>
        <w:spacing w:lineRule="auto" w:line="360"/>
        <w:jc w:val="start"/>
        <w:rPr/>
      </w:pPr>
      <w:r>
        <w:rPr/>
      </w:r>
    </w:p>
    <w:sdt>
      <w:sdtPr>
        <w:docPartObj>
          <w:docPartGallery w:val="Table of Contents"/>
          <w:docPartUnique w:val="true"/>
        </w:docPartObj>
      </w:sdtPr>
      <w:sdtContent>
        <w:p>
          <w:pPr>
            <w:pStyle w:val="TOCHeading"/>
            <w:bidi w:val="0"/>
            <w:jc w:val="start"/>
            <w:rPr/>
          </w:pPr>
          <w:r>
            <w:br w:type="page"/>
          </w:r>
          <w:r>
            <w:rPr/>
            <w:t>Inhaltsverzeichnis</w:t>
          </w:r>
        </w:p>
        <w:p>
          <w:pPr>
            <w:pStyle w:val="TOC1"/>
            <w:bidi w:val="0"/>
            <w:jc w:val="start"/>
            <w:rPr/>
          </w:pPr>
          <w:r>
            <w:fldChar w:fldCharType="begin"/>
          </w:r>
          <w:r>
            <w:rPr>
              <w:rStyle w:val="Verzeichnissprung"/>
            </w:rPr>
            <w:instrText xml:space="preserve"> TOC \f \o "1-2" \h</w:instrText>
          </w:r>
          <w:r>
            <w:rPr>
              <w:rStyle w:val="Verzeichnissprung"/>
            </w:rPr>
            <w:fldChar w:fldCharType="separate"/>
          </w:r>
          <w:hyperlink w:anchor="__RefHeading___Toc1244_3912987273">
            <w:r>
              <w:rPr>
                <w:rStyle w:val="Verzeichnissprung"/>
              </w:rPr>
              <w:t>Eidesstattliche Erklärung</w:t>
              <w:tab/>
              <w:t>1</w:t>
            </w:r>
          </w:hyperlink>
        </w:p>
        <w:p>
          <w:pPr>
            <w:pStyle w:val="TOC1"/>
            <w:bidi w:val="0"/>
            <w:jc w:val="start"/>
            <w:rPr/>
          </w:pPr>
          <w:hyperlink w:anchor="__RefHeading___Toc1297_1435983510">
            <w:r>
              <w:rPr>
                <w:rStyle w:val="Verzeichnissprung"/>
              </w:rPr>
              <w:t>1.Abkürzungsverzeichnis</w:t>
              <w:tab/>
              <w:t>3</w:t>
            </w:r>
          </w:hyperlink>
        </w:p>
        <w:p>
          <w:pPr>
            <w:pStyle w:val="TOC1"/>
            <w:bidi w:val="0"/>
            <w:jc w:val="start"/>
            <w:rPr/>
          </w:pPr>
          <w:hyperlink w:anchor="__RefHeading___Toc1292_1435983510">
            <w:r>
              <w:rPr>
                <w:rStyle w:val="Verzeichnissprung"/>
              </w:rPr>
              <w:t>2.Einleitung</w:t>
              <w:tab/>
              <w:t>4</w:t>
            </w:r>
          </w:hyperlink>
        </w:p>
        <w:p>
          <w:pPr>
            <w:pStyle w:val="TOC2"/>
            <w:bidi w:val="0"/>
            <w:jc w:val="start"/>
            <w:rPr/>
          </w:pPr>
          <w:hyperlink w:anchor="__RefHeading___Toc1691_1435983510">
            <w:r>
              <w:rPr>
                <w:rStyle w:val="Verzeichnissprung"/>
              </w:rPr>
              <w:t>2.1 Grundlage der Frage</w:t>
              <w:tab/>
              <w:t>4</w:t>
            </w:r>
          </w:hyperlink>
        </w:p>
        <w:p>
          <w:pPr>
            <w:pStyle w:val="TOC2"/>
            <w:bidi w:val="0"/>
            <w:jc w:val="start"/>
            <w:rPr/>
          </w:pPr>
          <w:hyperlink w:anchor="__RefHeading___Toc1693_1435983510">
            <w:r>
              <w:rPr>
                <w:rStyle w:val="Verzeichnissprung"/>
              </w:rPr>
              <w:t>2.2 Ergebnisse der Primärquelle</w:t>
              <w:tab/>
              <w:t>4</w:t>
            </w:r>
          </w:hyperlink>
        </w:p>
        <w:p>
          <w:pPr>
            <w:pStyle w:val="TOC1"/>
            <w:bidi w:val="0"/>
            <w:jc w:val="start"/>
            <w:rPr/>
          </w:pPr>
          <w:hyperlink w:anchor="__RefHeading___Toc457_1482845024">
            <w:r>
              <w:rPr>
                <w:rStyle w:val="Verzeichnissprung"/>
              </w:rPr>
              <w:t>3.Hauptteil</w:t>
              <w:tab/>
              <w:t>4</w:t>
            </w:r>
          </w:hyperlink>
        </w:p>
        <w:p>
          <w:pPr>
            <w:pStyle w:val="TOC2"/>
            <w:bidi w:val="0"/>
            <w:jc w:val="start"/>
            <w:rPr/>
          </w:pPr>
          <w:hyperlink w:anchor="__RefHeading___Toc459_1482845024">
            <w:r>
              <w:rPr>
                <w:rStyle w:val="Verzeichnissprung"/>
              </w:rPr>
              <w:t>3.1 Referenzarbeit</w:t>
              <w:tab/>
              <w:t>4</w:t>
            </w:r>
          </w:hyperlink>
        </w:p>
        <w:p>
          <w:pPr>
            <w:pStyle w:val="TOC2"/>
            <w:bidi w:val="0"/>
            <w:jc w:val="start"/>
            <w:rPr/>
          </w:pPr>
          <w:hyperlink w:anchor="__RefHeading___Toc461_1482845024">
            <w:r>
              <w:rPr>
                <w:rStyle w:val="Verzeichnissprung"/>
              </w:rPr>
              <w:t>3.2 Image von F2P in der Öffentlichkeit</w:t>
              <w:tab/>
              <w:t>6</w:t>
            </w:r>
          </w:hyperlink>
        </w:p>
        <w:p>
          <w:pPr>
            <w:pStyle w:val="TOC2"/>
            <w:bidi w:val="0"/>
            <w:jc w:val="start"/>
            <w:rPr/>
          </w:pPr>
          <w:hyperlink w:anchor="__RefHeading___Toc463_1482845024">
            <w:r>
              <w:rPr>
                <w:rStyle w:val="Verzeichnissprung"/>
              </w:rPr>
              <w:t>3.3 Nudges des Whaling</w:t>
              <w:tab/>
              <w:t>6</w:t>
            </w:r>
          </w:hyperlink>
        </w:p>
        <w:p>
          <w:pPr>
            <w:pStyle w:val="TOC1"/>
            <w:bidi w:val="0"/>
            <w:jc w:val="start"/>
            <w:rPr/>
          </w:pPr>
          <w:hyperlink w:anchor="__RefHeading___Toc1240_3912987273">
            <w:r>
              <w:rPr>
                <w:rStyle w:val="Verzeichnissprung"/>
              </w:rPr>
              <w:t>4.</w:t>
            </w:r>
            <w:r>
              <w:fldChar w:fldCharType="begin"/>
            </w:r>
            <w:r>
              <w:rPr>
                <w:rStyle w:val="Verzeichnissprung"/>
              </w:rPr>
              <w:instrText xml:space="preserve"> XE "Glücksspiel" </w:instrText>
            </w:r>
            <w:r>
              <w:rPr>
                <w:rStyle w:val="Verzeichnissprung"/>
              </w:rPr>
              <w:fldChar w:fldCharType="separate"/>
            </w:r>
            <w:r>
              <w:rPr>
                <w:rStyle w:val="Verzeichnissprung"/>
              </w:rPr>
              <w:t>Glücksspiel</w:t>
            </w:r>
            <w:r>
              <w:rPr>
                <w:rStyle w:val="Verzeichnissprung"/>
              </w:rPr>
              <w:fldChar w:fldCharType="end"/>
            </w:r>
            <w:r>
              <w:rPr>
                <w:rStyle w:val="Verzeichnissprung"/>
              </w:rPr>
              <w:t xml:space="preserve"> &amp; F2P</w:t>
              <w:tab/>
              <w:t>11</w:t>
            </w:r>
          </w:hyperlink>
        </w:p>
        <w:p>
          <w:pPr>
            <w:pStyle w:val="TOC1"/>
            <w:bidi w:val="0"/>
            <w:jc w:val="start"/>
            <w:rPr/>
          </w:pPr>
          <w:hyperlink w:anchor="__RefHeading___Toc1242_3912987273">
            <w:r>
              <w:rPr>
                <w:rStyle w:val="Verzeichnissprung"/>
              </w:rPr>
              <w:t>5.Zusammenfassung</w:t>
              <w:tab/>
              <w:t>13</w:t>
            </w:r>
          </w:hyperlink>
        </w:p>
        <w:p>
          <w:pPr>
            <w:pStyle w:val="TOC1"/>
            <w:bidi w:val="0"/>
            <w:jc w:val="start"/>
            <w:rPr/>
          </w:pPr>
          <w:hyperlink w:anchor="__RefHeading___Toc1299_1435983510">
            <w:r>
              <w:rPr>
                <w:rStyle w:val="Verzeichnissprung"/>
              </w:rPr>
              <w:t>6.Quellen</w:t>
              <w:tab/>
              <w:t>14</w:t>
            </w:r>
          </w:hyperlink>
        </w:p>
        <w:p>
          <w:pPr>
            <w:pStyle w:val="TOC2"/>
            <w:bidi w:val="0"/>
            <w:jc w:val="start"/>
            <w:rPr/>
          </w:pPr>
          <w:hyperlink w:anchor="__RefHeading___Toc951_2428992503">
            <w:r>
              <w:rPr>
                <w:rStyle w:val="Verzeichnissprung"/>
              </w:rPr>
              <w:t>6.1Online Quellen</w:t>
              <w:tab/>
              <w:t>15</w:t>
            </w:r>
          </w:hyperlink>
          <w:r>
            <w:rPr>
              <w:rStyle w:val="Verzeichnissprung"/>
            </w:rPr>
            <w:fldChar w:fldCharType="end"/>
          </w:r>
        </w:p>
      </w:sdtContent>
    </w:sdt>
    <w:p>
      <w:pPr>
        <w:pStyle w:val="BodyText"/>
        <w:bidi w:val="0"/>
        <w:spacing w:lineRule="auto" w:line="276" w:before="0" w:after="140"/>
        <w:jc w:val="start"/>
        <w:rPr>
          <w:rFonts w:ascii="Palatino Linotype" w:hAnsi="Palatino Linotype"/>
          <w:i w:val="false"/>
        </w:rPr>
      </w:pPr>
      <w:r>
        <w:rPr>
          <w:i w:val="false"/>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sectPr>
          <w:type w:val="nextPage"/>
          <w:pgSz w:w="11906" w:h="16838"/>
          <w:pgMar w:left="1134" w:right="1134" w:gutter="0" w:header="0" w:top="1134" w:footer="0" w:bottom="1134"/>
          <w:pgNumType w:start="1" w:fmt="decimal"/>
          <w:formProt w:val="false"/>
          <w:textDirection w:val="lrTb"/>
          <w:docGrid w:type="default" w:linePitch="600" w:charSpace="32768"/>
        </w:sectPr>
        <w:pStyle w:val="BodyText"/>
        <w:bidi w:val="0"/>
        <w:spacing w:lineRule="auto" w:line="276" w:before="0" w:after="140"/>
        <w:jc w:val="start"/>
        <w:rPr/>
      </w:pPr>
      <w:r>
        <w:rPr/>
      </w:r>
    </w:p>
    <w:p>
      <w:pPr>
        <w:pStyle w:val="BodyText"/>
        <w:bidi w:val="0"/>
        <w:jc w:val="start"/>
        <w:rPr/>
      </w:pPr>
      <w:r>
        <w:rPr/>
      </w:r>
    </w:p>
    <w:p>
      <w:pPr>
        <w:pStyle w:val="Heading1"/>
        <w:bidi w:val="0"/>
        <w:ind w:hanging="0" w:start="0"/>
        <w:jc w:val="start"/>
        <w:rPr/>
      </w:pPr>
      <w:bookmarkStart w:id="1" w:name="__RefHeading___Toc1297_1435983510"/>
      <w:bookmarkEnd w:id="1"/>
      <w:r>
        <w:rPr/>
        <w:t>1.</w:t>
      </w:r>
      <w:r>
        <w:rPr/>
        <w:t>Abkürzungsverzeichnis</w:t>
      </w:r>
    </w:p>
    <w:p>
      <w:pPr>
        <w:pStyle w:val="BodyText"/>
        <w:bidi w:val="0"/>
        <w:spacing w:lineRule="auto" w:line="276" w:before="0" w:after="140"/>
        <w:jc w:val="start"/>
        <w:rPr/>
      </w:pPr>
      <w:r>
        <w:rPr/>
      </w:r>
    </w:p>
    <w:p>
      <w:pPr>
        <w:pStyle w:val="BodyText"/>
        <w:bidi w:val="0"/>
        <w:spacing w:lineRule="auto" w:line="360"/>
        <w:jc w:val="start"/>
        <w:rPr/>
      </w:pPr>
      <w:r>
        <w:rPr/>
        <w:t xml:space="preserve">F2P </w:t>
      </w:r>
      <w:r>
        <w:rPr/>
        <w:t xml:space="preserve">= Free-to-Play </w:t>
      </w:r>
      <w:r>
        <w:rPr/>
        <w:t>(Spiele die keinen Kaufpreis haben)</w:t>
      </w:r>
    </w:p>
    <w:p>
      <w:pPr>
        <w:pStyle w:val="BodyText"/>
        <w:bidi w:val="0"/>
        <w:spacing w:lineRule="auto" w:line="360"/>
        <w:jc w:val="start"/>
        <w:rPr/>
      </w:pPr>
      <w:r>
        <w:rPr/>
        <w:t xml:space="preserve">P2P = Pay-to-Play </w:t>
      </w:r>
      <w:r>
        <w:rPr/>
        <w:t>(Spiele die einen Kaufpreis haben)</w:t>
      </w:r>
    </w:p>
    <w:p>
      <w:pPr>
        <w:pStyle w:val="BodyText"/>
        <w:bidi w:val="0"/>
        <w:spacing w:lineRule="auto" w:line="360"/>
        <w:jc w:val="start"/>
        <w:rPr/>
      </w:pPr>
      <w:r>
        <w:rPr/>
        <w:t>P2W = Pay-to-Win (Spiele in denen man bezahlen muss um konstant zu gewinnen)</w:t>
      </w:r>
    </w:p>
    <w:p>
      <w:pPr>
        <w:pStyle w:val="BodyText"/>
        <w:bidi w:val="0"/>
        <w:spacing w:lineRule="auto" w:line="360"/>
        <w:jc w:val="start"/>
        <w:rPr/>
      </w:pPr>
      <w:r>
        <w:rPr/>
        <w:t>P2Progress= Pay to Progress (Spiele die)</w:t>
      </w:r>
    </w:p>
    <w:p>
      <w:pPr>
        <w:pStyle w:val="BodyText"/>
        <w:bidi w:val="0"/>
        <w:spacing w:lineRule="auto" w:line="360"/>
        <w:jc w:val="start"/>
        <w:rPr/>
      </w:pPr>
      <w:r>
        <w:fldChar w:fldCharType="begin"/>
      </w:r>
      <w:r>
        <w:rPr/>
        <w:instrText xml:space="preserve"> XE "IGD" </w:instrText>
      </w:r>
      <w:r>
        <w:rPr/>
        <w:fldChar w:fldCharType="separate"/>
      </w:r>
      <w:r>
        <w:rPr/>
        <w:t>IGD</w:t>
      </w:r>
      <w:r>
        <w:rPr/>
        <w:fldChar w:fldCharType="end"/>
      </w:r>
      <w:r>
        <w:rPr/>
        <w:t xml:space="preserve"> = Internet Gaming Disorder</w:t>
      </w:r>
    </w:p>
    <w:p>
      <w:pPr>
        <w:pStyle w:val="BodyText"/>
        <w:bidi w:val="0"/>
        <w:spacing w:lineRule="auto" w:line="360"/>
        <w:jc w:val="start"/>
        <w:rPr/>
      </w:pPr>
      <w:r>
        <w:rPr/>
        <w:t>ARPU = Average Renevue per User</w:t>
      </w:r>
    </w:p>
    <w:p>
      <w:pPr>
        <w:pStyle w:val="BodyText"/>
        <w:bidi w:val="0"/>
        <w:spacing w:lineRule="auto" w:line="360"/>
        <w:jc w:val="start"/>
        <w:rPr/>
      </w:pPr>
      <w:r>
        <w:rPr/>
        <w:t>IGE = In-Game-Ecomony (Die simulierte Wirtschaft innerhalb eines Spiels)</w:t>
      </w:r>
    </w:p>
    <w:p>
      <w:pPr>
        <w:pStyle w:val="BodyText"/>
        <w:bidi w:val="0"/>
        <w:spacing w:lineRule="auto" w:line="360"/>
        <w:jc w:val="start"/>
        <w:rPr/>
      </w:pPr>
      <w:r>
        <w:rPr/>
        <w:t>IGC = In-Game-Currency (Währung innerhlab eines Spiels)</w:t>
      </w:r>
    </w:p>
    <w:p>
      <w:pPr>
        <w:pStyle w:val="BodyText"/>
        <w:bidi w:val="0"/>
        <w:spacing w:lineRule="auto" w:line="360"/>
        <w:jc w:val="start"/>
        <w:rPr/>
      </w:pPr>
      <w:r>
        <w:rPr/>
        <w:t>Whales = Spieler die überdurchschnittlich viel Geld in ein Spiel investieren</w:t>
      </w:r>
    </w:p>
    <w:p>
      <w:pPr>
        <w:pStyle w:val="BodyText"/>
        <w:bidi w:val="0"/>
        <w:jc w:val="start"/>
        <w:rPr/>
      </w:pPr>
      <w:r>
        <w:rPr/>
        <w:t>PGSI</w:t>
      </w:r>
      <w:r>
        <w:rPr/>
        <w:t xml:space="preserve">= </w:t>
      </w:r>
      <w:r>
        <w:rPr/>
        <w:t>Problem Gambling Severity Index</w:t>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Heading1"/>
        <w:numPr>
          <w:ilvl w:val="0"/>
          <w:numId w:val="0"/>
        </w:numPr>
        <w:bidi w:val="0"/>
        <w:spacing w:lineRule="auto" w:line="360"/>
        <w:ind w:hanging="0" w:start="0"/>
        <w:jc w:val="start"/>
        <w:rPr/>
      </w:pPr>
      <w:bookmarkStart w:id="2" w:name="__RefHeading___Toc1292_1435983510"/>
      <w:bookmarkEnd w:id="2"/>
      <w:r>
        <w:rPr/>
        <w:t>2.</w:t>
      </w:r>
      <w:r>
        <w:rPr/>
        <w:t>Einleitung</w:t>
      </w:r>
    </w:p>
    <w:p>
      <w:pPr>
        <w:pStyle w:val="Heading2"/>
        <w:bidi w:val="0"/>
        <w:spacing w:lineRule="auto" w:line="360"/>
        <w:ind w:hanging="0" w:start="0"/>
        <w:jc w:val="start"/>
        <w:rPr/>
      </w:pPr>
      <w:bookmarkStart w:id="3" w:name="__RefHeading___Toc1691_1435983510"/>
      <w:bookmarkEnd w:id="3"/>
      <w:r>
        <w:rPr/>
        <w:t xml:space="preserve">2.1 </w:t>
      </w:r>
      <w:r>
        <w:rPr/>
        <w:t>Grundlage der Frage</w:t>
      </w:r>
    </w:p>
    <w:p>
      <w:pPr>
        <w:pStyle w:val="BodyText"/>
        <w:bidi w:val="0"/>
        <w:spacing w:lineRule="auto" w:line="360"/>
        <w:jc w:val="start"/>
        <w:rPr/>
      </w:pPr>
      <w:r>
        <w:rPr/>
        <w:t>Hierbei steht jedem die freie Wahl zwischen P2P (Pay-to-play) oder einem F2P (Free-to-play). Dabei gibt es aber grundlegende Unterschiede, vor allem was die Finanzierung dieser Spiele angeht. Man würde denken, dass P2P-Titel weitaus mehr Geld einbringen, da diese auch meistens im Preisbereich von 40-60 € liegen. Jedoch sind die 10 profitablesten Handyspiele der Welt F2P-Titel.</w:t>
      </w:r>
      <w:r>
        <w:rPr/>
        <w:t xml:space="preserve"> </w:t>
      </w:r>
      <w:r>
        <w:rPr/>
        <w:t>(</w:t>
      </w:r>
      <w:hyperlink r:id="rId3">
        <w:r>
          <w:rPr>
            <w:rStyle w:val="Hyperlink"/>
          </w:rPr>
          <w:t>https://www.similarweb.com/top-apps/google/games/top-grossing/</w:t>
        </w:r>
      </w:hyperlink>
      <w:r>
        <w:rPr/>
        <w:t xml:space="preserve">). </w:t>
      </w:r>
    </w:p>
    <w:p>
      <w:pPr>
        <w:pStyle w:val="BodyText"/>
        <w:bidi w:val="0"/>
        <w:spacing w:lineRule="auto" w:line="360"/>
        <w:jc w:val="start"/>
        <w:rPr/>
      </w:pPr>
      <w:r>
        <w:rPr/>
        <w:t xml:space="preserve">Viele dieser Spiele verwenden </w:t>
      </w:r>
      <w:r>
        <w:fldChar w:fldCharType="begin"/>
      </w:r>
      <w:r>
        <w:rPr/>
        <w:instrText xml:space="preserve"> XE "Mikrotransaktionen" </w:instrText>
      </w:r>
      <w:r>
        <w:rPr/>
        <w:fldChar w:fldCharType="separate"/>
      </w:r>
      <w:r>
        <w:rPr/>
        <w:t>Mikrotransaktionen</w:t>
      </w:r>
      <w:r>
        <w:rPr/>
        <w:fldChar w:fldCharType="end"/>
      </w:r>
      <w:r>
        <w:rPr/>
        <w:t>, um diese hohen Profimargen zu erreichen (Elena Petrovskaya, 2022). Um Spieler aber dazu zu bringen, diese Transaktionen innerhalb dieser Spiele zu tätigen, verwenden die Entwickler dieser Spiele viele gut gesetzte „Nudges“ (Methoden zum Beeinflussen des Verhaltens von Menschen).</w:t>
      </w:r>
    </w:p>
    <w:p>
      <w:pPr>
        <w:pStyle w:val="BodyText"/>
        <w:bidi w:val="0"/>
        <w:spacing w:lineRule="auto" w:line="360"/>
        <w:ind w:hanging="0" w:start="0" w:end="0"/>
        <w:jc w:val="start"/>
        <w:rPr/>
      </w:pPr>
      <w:r>
        <w:rPr/>
        <w:t xml:space="preserve">Ich möchte innerhalb dieser Hausarbeit erst beleuchten, welche Auswirkungen Free-to-play-Titel auf Spieler haben können, sowie darauf, welche </w:t>
      </w:r>
      <w:r>
        <w:fldChar w:fldCharType="begin"/>
      </w:r>
      <w:r>
        <w:rPr/>
        <w:instrText xml:space="preserve"> XE "Nudging" </w:instrText>
      </w:r>
      <w:r>
        <w:rPr/>
        <w:fldChar w:fldCharType="separate"/>
      </w:r>
      <w:r>
        <w:rPr/>
        <w:t>Nudging</w:t>
      </w:r>
      <w:r>
        <w:rPr/>
        <w:fldChar w:fldCharType="end"/>
      </w:r>
      <w:r>
        <w:rPr/>
        <w:t>techniken für das Whaling häufig in solchen Spielen benutzt werden.</w:t>
      </w:r>
    </w:p>
    <w:p>
      <w:pPr>
        <w:pStyle w:val="Heading2"/>
        <w:bidi w:val="0"/>
        <w:spacing w:lineRule="auto" w:line="360"/>
        <w:ind w:hanging="0" w:start="0"/>
        <w:jc w:val="start"/>
        <w:rPr/>
      </w:pPr>
      <w:bookmarkStart w:id="4" w:name="__RefHeading___Toc1693_1435983510"/>
      <w:bookmarkEnd w:id="4"/>
      <w:r>
        <w:rPr/>
        <w:t xml:space="preserve">2.2 </w:t>
      </w:r>
      <w:r>
        <w:rPr/>
        <w:t>Ergebnisse der Primärquelle</w:t>
      </w:r>
    </w:p>
    <w:p>
      <w:pPr>
        <w:pStyle w:val="BodyText"/>
        <w:bidi w:val="0"/>
        <w:spacing w:lineRule="auto" w:line="360"/>
        <w:jc w:val="start"/>
        <w:rPr/>
      </w:pPr>
      <w:r>
        <w:rPr/>
        <w:t xml:space="preserve">Diese Hausarbeit lehnt sich an die Studie „Free-to-play: About addicted Whales, at risk Dolphins and healthy Minnows.“ an, welche die psychologischen Auswirkungen von solchen Spielern mit Blick auf die Entwicklung von </w:t>
      </w:r>
      <w:r>
        <w:fldChar w:fldCharType="begin"/>
      </w:r>
      <w:r>
        <w:rPr/>
        <w:instrText xml:space="preserve"> XE "IGD" </w:instrText>
      </w:r>
      <w:r>
        <w:rPr/>
        <w:fldChar w:fldCharType="separate"/>
      </w:r>
      <w:r>
        <w:rPr/>
        <w:t>IGD</w:t>
      </w:r>
      <w:r>
        <w:rPr/>
        <w:fldChar w:fldCharType="end"/>
      </w:r>
      <w:r>
        <w:rPr/>
        <w:t xml:space="preserve"> untersucht.</w:t>
      </w:r>
    </w:p>
    <w:p>
      <w:pPr>
        <w:pStyle w:val="Heading1"/>
        <w:bidi w:val="0"/>
        <w:spacing w:lineRule="auto" w:line="360"/>
        <w:ind w:hanging="0" w:start="0"/>
        <w:jc w:val="start"/>
        <w:rPr/>
      </w:pPr>
      <w:bookmarkStart w:id="5" w:name="__RefHeading___Toc457_1482845024"/>
      <w:bookmarkEnd w:id="5"/>
      <w:r>
        <w:rPr/>
        <w:t>3.Hauptteil</w:t>
      </w:r>
    </w:p>
    <w:p>
      <w:pPr>
        <w:pStyle w:val="Heading2"/>
        <w:bidi w:val="0"/>
        <w:spacing w:lineRule="auto" w:line="360"/>
        <w:ind w:hanging="0" w:start="0"/>
        <w:jc w:val="start"/>
        <w:rPr/>
      </w:pPr>
      <w:bookmarkStart w:id="6" w:name="__RefHeading___Toc459_1482845024"/>
      <w:bookmarkEnd w:id="6"/>
      <w:r>
        <w:rPr/>
        <w:t>3.1 Referenzarbeit</w:t>
      </w:r>
    </w:p>
    <w:p>
      <w:pPr>
        <w:pStyle w:val="BodyText"/>
        <w:bidi w:val="0"/>
        <w:spacing w:lineRule="auto" w:line="360"/>
        <w:jc w:val="start"/>
        <w:rPr/>
      </w:pPr>
      <w:r>
        <w:rPr/>
        <w:t>Im Rahmen der Studie (M. Dreier, 2017) wurde die sich entwickelnde Landschaft der Videospiele sowohl durch technische Innovationen als auch durch neue Spieldesigns und Monetarisierungsansätze untersucht. Insbesondere Elite-Gamer-Gruppen, die innerhalb des Spiels finanzielle Investitionen tätigen, tragen zur Mitfinanzierung von Nutzern kostenloser Online-Spiele bei. Neben den Diskussionen über Jugendschutz sind vermehrte Überlegungen zur Internet Gaming Disorder (</w:t>
      </w:r>
      <w:r>
        <w:fldChar w:fldCharType="begin"/>
      </w:r>
      <w:r>
        <w:rPr/>
        <w:instrText xml:space="preserve"> XE "IGD" </w:instrText>
      </w:r>
      <w:r>
        <w:rPr/>
        <w:fldChar w:fldCharType="separate"/>
      </w:r>
      <w:r>
        <w:rPr/>
        <w:t>IGD</w:t>
      </w:r>
      <w:r>
        <w:rPr/>
        <w:fldChar w:fldCharType="end"/>
      </w:r>
      <w:r>
        <w:rPr/>
        <w:t>) aufgekommen, insbesondere im Zusammenhang mit der wachsenden Beliebtheit von Free-to-Play-Spielen.</w:t>
      </w:r>
    </w:p>
    <w:p>
      <w:pPr>
        <w:pStyle w:val="BodyText"/>
        <w:bidi w:val="0"/>
        <w:spacing w:lineRule="auto" w:line="360"/>
        <w:ind w:hanging="0" w:start="0" w:end="0"/>
        <w:jc w:val="start"/>
        <w:rPr/>
      </w:pPr>
      <w:r>
        <w:rPr/>
        <w:t xml:space="preserve">Die Studie stellt dabei die These auf, dass Spieler, die mehr Kriterien zur Diagnose von </w:t>
      </w:r>
      <w:r>
        <w:fldChar w:fldCharType="begin"/>
      </w:r>
      <w:r>
        <w:rPr/>
        <w:instrText xml:space="preserve"> XE "IGD" </w:instrText>
      </w:r>
      <w:r>
        <w:rPr/>
        <w:fldChar w:fldCharType="separate"/>
      </w:r>
      <w:r>
        <w:rPr/>
        <w:t>IGD</w:t>
      </w:r>
      <w:r>
        <w:rPr/>
        <w:fldChar w:fldCharType="end"/>
      </w:r>
      <w:r>
        <w:rPr/>
        <w:t xml:space="preserve"> erfüllen, höhere Geldbeträge in </w:t>
      </w:r>
      <w:r>
        <w:fldChar w:fldCharType="begin"/>
      </w:r>
      <w:r>
        <w:rPr/>
        <w:instrText xml:space="preserve"> XE "Mikrotransaktionen" </w:instrText>
      </w:r>
      <w:r>
        <w:rPr/>
        <w:fldChar w:fldCharType="separate"/>
      </w:r>
      <w:r>
        <w:rPr/>
        <w:t>Mikrotransaktionen</w:t>
      </w:r>
      <w:r>
        <w:rPr/>
        <w:fldChar w:fldCharType="end"/>
      </w:r>
      <w:r>
        <w:rPr/>
        <w:t xml:space="preserve"> stecken als durchschnittliche gesunde Spieler.</w:t>
      </w:r>
    </w:p>
    <w:p>
      <w:pPr>
        <w:pStyle w:val="BodyText"/>
        <w:bidi w:val="0"/>
        <w:spacing w:lineRule="auto" w:line="360"/>
        <w:ind w:hanging="0" w:start="0" w:end="0"/>
        <w:jc w:val="start"/>
        <w:rPr/>
      </w:pPr>
      <w:r>
        <w:rPr/>
        <w:t>Die Studie, durchgeführt anhand einer repräsentativen Stichprobe von 3967 deutschen Schülern im Alter von 12 bis 18 Jahren, konzentrierte sich auf die Nutzung von Free-to-Play-Browser-Spielen. Anhand des klinischen Selbstberichts wurden die Schüler in „nichtproblematische“, „riskante“ und „</w:t>
      </w:r>
      <w:r>
        <w:fldChar w:fldCharType="begin"/>
      </w:r>
      <w:r>
        <w:rPr/>
        <w:instrText xml:space="preserve"> XE "süchtig" </w:instrText>
      </w:r>
      <w:r>
        <w:rPr/>
        <w:fldChar w:fldCharType="separate"/>
      </w:r>
      <w:r>
        <w:rPr/>
        <w:t>süchtig</w:t>
      </w:r>
      <w:r>
        <w:rPr/>
        <w:fldChar w:fldCharType="end"/>
      </w:r>
      <w:r>
        <w:rPr/>
        <w:t xml:space="preserve">e“ Nutzer kategorisiert. Als </w:t>
      </w:r>
      <w:r>
        <w:fldChar w:fldCharType="begin"/>
      </w:r>
      <w:r>
        <w:rPr/>
        <w:instrText xml:space="preserve"> XE "abhängig" </w:instrText>
      </w:r>
      <w:r>
        <w:rPr/>
        <w:fldChar w:fldCharType="separate"/>
      </w:r>
      <w:r>
        <w:rPr/>
        <w:t>abhängig</w:t>
      </w:r>
      <w:r>
        <w:rPr/>
        <w:fldChar w:fldCharType="end"/>
      </w:r>
      <w:r>
        <w:rPr/>
        <w:t>e Variablen wurden psychosoziale Probleme, wahrgenommener Stress, Bewältigungsstrategien und ARPU untersucht.</w:t>
      </w:r>
    </w:p>
    <w:p>
      <w:pPr>
        <w:pStyle w:val="BodyText"/>
        <w:bidi w:val="0"/>
        <w:spacing w:lineRule="auto" w:line="360"/>
        <w:ind w:hanging="0" w:start="0" w:end="0"/>
        <w:jc w:val="start"/>
        <w:rPr/>
      </w:pPr>
      <w:r>
        <w:rPr/>
        <w:t xml:space="preserve">Die Ergebnisse der Studie zeigten, dass die Prävalenz von </w:t>
      </w:r>
      <w:r>
        <w:fldChar w:fldCharType="begin"/>
      </w:r>
      <w:r>
        <w:rPr/>
        <w:instrText xml:space="preserve"> XE "IGD" </w:instrText>
      </w:r>
      <w:r>
        <w:rPr/>
        <w:fldChar w:fldCharType="separate"/>
      </w:r>
      <w:r>
        <w:rPr/>
        <w:t>IGD</w:t>
      </w:r>
      <w:r>
        <w:rPr/>
        <w:fldChar w:fldCharType="end"/>
      </w:r>
      <w:r>
        <w:rPr/>
        <w:t xml:space="preserve"> unter Free-to-Play-Gamern 5,2 % betrug. Personen mit </w:t>
      </w:r>
      <w:r>
        <w:fldChar w:fldCharType="begin"/>
      </w:r>
      <w:r>
        <w:rPr/>
        <w:instrText xml:space="preserve"> XE "IGD" </w:instrText>
      </w:r>
      <w:r>
        <w:rPr/>
        <w:fldChar w:fldCharType="separate"/>
      </w:r>
      <w:r>
        <w:rPr/>
        <w:t>IGD</w:t>
      </w:r>
      <w:r>
        <w:rPr/>
        <w:fldChar w:fldCharType="end"/>
      </w:r>
      <w:r>
        <w:rPr/>
        <w:t xml:space="preserve"> wiesen höhere psychosoziale Symptome auf, berichteten über einen gesteigerten wahrgenommenen Stress und griffen häufiger zu dysfunktionalen Bewältigungsstrategien. Interessanterweise wurde auch ein höherer ARPU bei Personen mit </w:t>
      </w:r>
      <w:r>
        <w:fldChar w:fldCharType="begin"/>
      </w:r>
      <w:r>
        <w:rPr/>
        <w:instrText xml:space="preserve"> XE "IGD" </w:instrText>
      </w:r>
      <w:r>
        <w:rPr/>
        <w:fldChar w:fldCharType="separate"/>
      </w:r>
      <w:r>
        <w:rPr/>
        <w:t>IGD</w:t>
      </w:r>
      <w:r>
        <w:rPr/>
        <w:fldChar w:fldCharType="end"/>
      </w:r>
      <w:r>
        <w:rPr/>
        <w:t xml:space="preserve"> festgestellt.</w:t>
      </w:r>
    </w:p>
    <w:p>
      <w:pPr>
        <w:pStyle w:val="Blockzitat"/>
        <w:bidi w:val="0"/>
        <w:spacing w:before="0" w:after="283"/>
        <w:ind w:hanging="0" w:start="567" w:end="567"/>
        <w:jc w:val="start"/>
        <w:rPr/>
      </w:pPr>
      <w:r>
        <w:rPr/>
        <w:t>„</w:t>
      </w:r>
      <w:r>
        <w:rPr/>
        <w:t xml:space="preserve">ARPU is significantly associated with </w:t>
      </w:r>
      <w:r>
        <w:fldChar w:fldCharType="begin"/>
      </w:r>
      <w:r>
        <w:rPr/>
        <w:instrText xml:space="preserve"> XE "IGD" </w:instrText>
      </w:r>
      <w:r>
        <w:rPr/>
        <w:fldChar w:fldCharType="separate"/>
      </w:r>
      <w:r>
        <w:rPr/>
        <w:t>IGD</w:t>
      </w:r>
      <w:r>
        <w:rPr/>
        <w:fldChar w:fldCharType="end"/>
      </w:r>
      <w:r>
        <w:rPr/>
        <w:t xml:space="preserve">. Whales share significant characteristics with addicted video gamers“ </w:t>
      </w:r>
      <w:r>
        <w:rPr>
          <w:i w:val="false"/>
          <w:iCs w:val="false"/>
        </w:rPr>
        <w:t>(M.Dreier,</w:t>
      </w:r>
      <w:r>
        <w:rPr>
          <w:i w:val="false"/>
          <w:iCs w:val="false"/>
        </w:rPr>
        <w:t>2017</w:t>
      </w:r>
      <w:r>
        <w:rPr>
          <w:i w:val="false"/>
          <w:iCs w:val="false"/>
        </w:rPr>
        <w:t>)</w:t>
      </w:r>
    </w:p>
    <w:p>
      <w:pPr>
        <w:pStyle w:val="BodyText"/>
        <w:bidi w:val="0"/>
        <w:spacing w:lineRule="auto" w:line="360"/>
        <w:jc w:val="start"/>
        <w:rPr/>
      </w:pPr>
      <w:r>
        <w:rPr/>
        <w:t xml:space="preserve">In der Schlussfolgerung der Studie wurde deutlich betont, dass ARPU signifikant mit </w:t>
      </w:r>
      <w:r>
        <w:fldChar w:fldCharType="begin"/>
      </w:r>
      <w:r>
        <w:rPr/>
        <w:instrText xml:space="preserve"> XE "IGD" </w:instrText>
      </w:r>
      <w:r>
        <w:rPr/>
        <w:fldChar w:fldCharType="separate"/>
      </w:r>
      <w:r>
        <w:rPr/>
        <w:t>IGD</w:t>
      </w:r>
      <w:r>
        <w:rPr/>
        <w:fldChar w:fldCharType="end"/>
      </w:r>
      <w:r>
        <w:rPr/>
        <w:t xml:space="preserve"> assoziiert ist. Whales, die höhere ARPU aufweisen, teilen signifikante Merkmale mit </w:t>
      </w:r>
      <w:r>
        <w:fldChar w:fldCharType="begin"/>
      </w:r>
      <w:r>
        <w:rPr/>
        <w:instrText xml:space="preserve"> XE "süchtig" </w:instrText>
      </w:r>
      <w:r>
        <w:rPr/>
        <w:fldChar w:fldCharType="separate"/>
      </w:r>
      <w:r>
        <w:rPr/>
        <w:t>süchtig</w:t>
      </w:r>
      <w:r>
        <w:rPr/>
        <w:fldChar w:fldCharType="end"/>
      </w:r>
      <w:r>
        <w:rPr/>
        <w:t xml:space="preserve">en Videospielern, während Dolphins als riskante Konsumenten betrachtet werden könnten. Minnows und Freeloaders hingegen neigen eher dazu, nicht-pathologische Spieler zu repräsentieren. Die Studie unterstreicht final die bedenkliche Kombination aus Stressanfälligkeit, dysfunktionalen Bewältigungsstrategien und der Nutzung von F2P-Spielen. </w:t>
      </w:r>
    </w:p>
    <w:p>
      <w:pPr>
        <w:pStyle w:val="Heading2"/>
        <w:bidi w:val="0"/>
        <w:spacing w:lineRule="auto" w:line="360"/>
        <w:ind w:hanging="0" w:start="0"/>
        <w:jc w:val="start"/>
        <w:rPr/>
      </w:pPr>
      <w:r>
        <w:rPr/>
      </w:r>
    </w:p>
    <w:p>
      <w:pPr>
        <w:pStyle w:val="Heading2"/>
        <w:bidi w:val="0"/>
        <w:spacing w:lineRule="auto" w:line="360"/>
        <w:ind w:hanging="0" w:start="0"/>
        <w:jc w:val="start"/>
        <w:rPr/>
      </w:pPr>
      <w:bookmarkStart w:id="7" w:name="__RefHeading___Toc461_1482845024"/>
      <w:bookmarkEnd w:id="7"/>
      <w:r>
        <w:rPr/>
        <w:t>3</w:t>
      </w:r>
      <w:r>
        <w:rPr/>
        <w:t>.</w:t>
      </w:r>
      <w:r>
        <w:rPr/>
        <w:t>2</w:t>
      </w:r>
      <w:r>
        <w:rPr/>
        <w:t xml:space="preserve"> </w:t>
      </w:r>
      <w:r>
        <w:rPr/>
        <w:t>Image von F2P in der Öffentlichkeit</w:t>
      </w:r>
    </w:p>
    <w:p>
      <w:pPr>
        <w:pStyle w:val="BodyText"/>
        <w:bidi w:val="0"/>
        <w:spacing w:lineRule="auto" w:line="360"/>
        <w:jc w:val="start"/>
        <w:rPr/>
      </w:pPr>
      <w:r>
        <w:rPr/>
        <w:t>Die F2P-Titel gehören mit zu den profitabelsten Videospielen der Welt (Top grossing games data, 2022). Innerhalb der Öffentlichkeit werden sie also von einer breiten Masse gespielt, und das auch gerne über einen größeren Zeitraum, da es Spiele gibt, die sich schon lange unter den Top-Plätzen halten. Trotzdem ist meiner Erfahrung nach es eine unausgesprochene Wahrheit, dass ein Großteil der F2P-Titel keine Meisterwerke sind. Sie sind ein Zeitvertreib und werden meist auch nur mit Freunden gespielt.</w:t>
      </w:r>
    </w:p>
    <w:p>
      <w:pPr>
        <w:pStyle w:val="BodyText"/>
        <w:bidi w:val="0"/>
        <w:spacing w:lineRule="auto" w:line="360"/>
        <w:jc w:val="start"/>
        <w:rPr/>
      </w:pPr>
      <w:r>
        <w:rPr/>
      </w:r>
    </w:p>
    <w:p>
      <w:pPr>
        <w:pStyle w:val="Heading2"/>
        <w:bidi w:val="0"/>
        <w:spacing w:lineRule="auto" w:line="360"/>
        <w:ind w:hanging="0" w:start="0"/>
        <w:jc w:val="start"/>
        <w:rPr/>
      </w:pPr>
      <w:bookmarkStart w:id="8" w:name="__RefHeading___Toc463_1482845024"/>
      <w:bookmarkEnd w:id="8"/>
      <w:r>
        <w:rPr/>
        <w:t>3.3</w:t>
      </w:r>
      <w:r>
        <w:rPr/>
        <w:t xml:space="preserve"> </w:t>
      </w:r>
      <w:r>
        <w:rPr/>
        <w:t>Nudges des Whaling</w:t>
      </w:r>
    </w:p>
    <w:p>
      <w:pPr>
        <w:pStyle w:val="BodyText"/>
        <w:bidi w:val="0"/>
        <w:spacing w:lineRule="auto" w:line="360"/>
        <w:jc w:val="start"/>
        <w:rPr/>
      </w:pPr>
      <w:r>
        <w:rPr/>
        <w:t xml:space="preserve">In diesem Kapitel will ich unterschiedlichste Techniken des Whalings und deren möglichen Zusammenhang mit </w:t>
      </w:r>
      <w:r>
        <w:fldChar w:fldCharType="begin"/>
      </w:r>
      <w:r>
        <w:rPr/>
        <w:instrText xml:space="preserve"> XE "IGD" </w:instrText>
      </w:r>
      <w:r>
        <w:rPr/>
        <w:fldChar w:fldCharType="separate"/>
      </w:r>
      <w:r>
        <w:rPr/>
        <w:t>IGD</w:t>
      </w:r>
      <w:r>
        <w:rPr/>
        <w:fldChar w:fldCharType="end"/>
      </w:r>
      <w:r>
        <w:rPr/>
        <w:t xml:space="preserve"> erklären. Viele dieser Techniken werden in diesem Vortrag erwähnt (Torulf Jernström, Lets go Whaling). Ich führe hier die genannten Techniken an und setzte sie in den Kontext mit den Ergebnissen meiner Primärquelle.</w:t>
      </w:r>
    </w:p>
    <w:p>
      <w:pPr>
        <w:pStyle w:val="Heading3"/>
        <w:bidi w:val="0"/>
        <w:spacing w:lineRule="auto" w:line="360"/>
        <w:ind w:hanging="0" w:start="0"/>
        <w:jc w:val="start"/>
        <w:rPr/>
      </w:pPr>
      <w:bookmarkStart w:id="9" w:name="__RefHeading___Toc581_1482845024"/>
      <w:bookmarkEnd w:id="9"/>
      <w:r>
        <w:rPr/>
        <w:t xml:space="preserve">3.3.1 </w:t>
      </w:r>
      <w:r>
        <w:rPr/>
        <w:t>$1000 USD</w:t>
      </w:r>
    </w:p>
    <w:p>
      <w:pPr>
        <w:pStyle w:val="BodyText"/>
        <w:bidi w:val="0"/>
        <w:spacing w:lineRule="auto" w:line="360"/>
        <w:jc w:val="start"/>
        <w:rPr/>
      </w:pPr>
      <w:r>
        <w:rPr/>
        <w:t xml:space="preserve">Das hier ist für eine erfolgreiche IGE eine vorausgesetzte Grundlage. Um alle zukünftigen </w:t>
      </w:r>
      <w:r>
        <w:fldChar w:fldCharType="begin"/>
      </w:r>
      <w:r>
        <w:rPr/>
        <w:instrText xml:space="preserve"> XE "Nudging" </w:instrText>
      </w:r>
      <w:r>
        <w:rPr/>
        <w:fldChar w:fldCharType="separate"/>
      </w:r>
      <w:r>
        <w:rPr/>
        <w:t>Nudging</w:t>
      </w:r>
      <w:r>
        <w:rPr/>
        <w:fldChar w:fldCharType="end"/>
      </w:r>
      <w:r>
        <w:rPr/>
        <w:t>techniken verwenden/verstärken zu können, braucht man eine IGE, die groß genug ist, um dem Spieler viel Raum zum Fortschritt bereitzustellen und zum Verkauf anbieten zu können.</w:t>
        <w:br/>
        <w:t>Ist die IGE nicht groß genug, wird die „Jagd“ nach Whales erschwert oder unmöglich gemacht, da potenzielle Whales sich dann bereits durch die gesamte IGE durchgekauft haben.</w:t>
      </w:r>
    </w:p>
    <w:p>
      <w:pPr>
        <w:pStyle w:val="BodyText"/>
        <w:bidi w:val="0"/>
        <w:spacing w:lineRule="auto" w:line="360"/>
        <w:ind w:hanging="0" w:start="0" w:end="0"/>
        <w:jc w:val="start"/>
        <w:rPr/>
      </w:pPr>
      <w:r>
        <w:rPr/>
        <w:t xml:space="preserve">Diese großen finanziellen Räume, die hier ermöglicht werden, sind der Grund, warum </w:t>
      </w:r>
      <w:r>
        <w:fldChar w:fldCharType="begin"/>
      </w:r>
      <w:r>
        <w:rPr/>
        <w:instrText xml:space="preserve"> XE "IGD" </w:instrText>
      </w:r>
      <w:r>
        <w:rPr/>
        <w:fldChar w:fldCharType="separate"/>
      </w:r>
      <w:r>
        <w:rPr/>
        <w:t>IGD</w:t>
      </w:r>
      <w:r>
        <w:rPr/>
        <w:fldChar w:fldCharType="end"/>
      </w:r>
      <w:r>
        <w:rPr/>
        <w:t xml:space="preserve"> vor allem finanziell so verheerend sein kann.</w:t>
      </w:r>
    </w:p>
    <w:p>
      <w:pPr>
        <w:pStyle w:val="Heading3"/>
        <w:bidi w:val="0"/>
        <w:spacing w:lineRule="auto" w:line="360"/>
        <w:ind w:hanging="0" w:start="0"/>
        <w:jc w:val="start"/>
        <w:rPr/>
      </w:pPr>
      <w:bookmarkStart w:id="10" w:name="__RefHeading___Toc583_1482845024"/>
      <w:bookmarkEnd w:id="10"/>
      <w:r>
        <w:rPr/>
        <w:t xml:space="preserve">3.3.2 </w:t>
      </w:r>
      <w:r>
        <w:rPr/>
        <w:t>Gachas</w:t>
      </w:r>
    </w:p>
    <w:p>
      <w:pPr>
        <w:pStyle w:val="BodyText"/>
        <w:bidi w:val="0"/>
        <w:spacing w:lineRule="auto" w:line="360"/>
        <w:jc w:val="start"/>
        <w:rPr>
          <w:rFonts w:ascii="Palatino Linotype" w:hAnsi="Palatino Linotype"/>
          <w:color w:val="252525"/>
        </w:rPr>
      </w:pPr>
      <w:r>
        <w:rPr>
          <w:rFonts w:ascii="Palatino Linotype" w:hAnsi="Palatino Linotype"/>
          <w:color w:val="252525"/>
        </w:rPr>
        <w:t>Gachas sind benannt nach den japanischen „gachapon“. Dieser beschreibt ein kleines sammelbares Plastikspielzeug, welches in vielen japanischen Städten in Automaten verkauft wird. Dabei wirft man 100 ¥-500 ¥ hinein und bekommt ein zufälliges Gachapon heraus.</w:t>
        <w:br/>
        <w:t>Nach genau demselben Prinzip agieren Lootboxen und Packs in Videospielen. Durch Gachas wird der Fortschritt von Spielern nicht zur Sicherheit, sondern zu einer Wahrscheinlichkeit. Gachas halten Spieler zurück, da sie nie gezielt das z. B. Item holen können, das sie brauchen, um weiterzukommen. Nein, sie müssen sich Packs kaufen und hoffen, dass das Richtige darin ist.</w:t>
        <w:br/>
        <w:t xml:space="preserve">Neben dem Aspekt des Monetarisierens der Spieler durch Gachas spielt hier auch ein starker psychologischer Aspekt mit hinein, der zu </w:t>
      </w:r>
      <w:r>
        <w:fldChar w:fldCharType="begin"/>
      </w:r>
      <w:r>
        <w:rPr>
          <w:rFonts w:ascii="Palatino Linotype" w:hAnsi="Palatino Linotype"/>
          <w:color w:val="252525"/>
        </w:rPr>
        <w:instrText xml:space="preserve"> XE "IGD" </w:instrText>
      </w:r>
      <w:r>
        <w:rPr>
          <w:rFonts w:ascii="Palatino Linotype" w:hAnsi="Palatino Linotype"/>
          <w:color w:val="252525"/>
        </w:rPr>
        <w:fldChar w:fldCharType="separate"/>
      </w:r>
      <w:r>
        <w:rPr>
          <w:rFonts w:ascii="Palatino Linotype" w:hAnsi="Palatino Linotype"/>
          <w:color w:val="252525"/>
        </w:rPr>
        <w:t>IGD</w:t>
      </w:r>
      <w:r>
        <w:rPr>
          <w:rFonts w:ascii="Palatino Linotype" w:hAnsi="Palatino Linotype"/>
          <w:color w:val="252525"/>
        </w:rPr>
        <w:fldChar w:fldCharType="end"/>
      </w:r>
      <w:r>
        <w:rPr>
          <w:rFonts w:ascii="Palatino Linotype" w:hAnsi="Palatino Linotype"/>
          <w:color w:val="252525"/>
        </w:rPr>
        <w:t xml:space="preserve"> beitragen könnte: Der Lotterieaspekt von Gachas ist ein weiterer Grund, warum Spieler sehr schwer davon loskommen können und Suchtverhalten entwickeln können.</w:t>
      </w:r>
    </w:p>
    <w:p>
      <w:pPr>
        <w:pStyle w:val="BodyText"/>
        <w:bidi w:val="0"/>
        <w:spacing w:lineRule="auto" w:line="360"/>
        <w:jc w:val="start"/>
        <w:rPr>
          <w:rFonts w:ascii="Liberation Serif" w:hAnsi="Liberation Serif"/>
          <w:color w:val="252525"/>
        </w:rPr>
      </w:pPr>
      <w:r>
        <w:rPr/>
      </w:r>
    </w:p>
    <w:p>
      <w:pPr>
        <w:pStyle w:val="Heading3"/>
        <w:numPr>
          <w:ilvl w:val="0"/>
          <w:numId w:val="0"/>
        </w:numPr>
        <w:bidi w:val="0"/>
        <w:spacing w:lineRule="auto" w:line="360"/>
        <w:ind w:hanging="0" w:start="0"/>
        <w:jc w:val="start"/>
        <w:rPr/>
      </w:pPr>
      <w:bookmarkStart w:id="11" w:name="__RefHeading___Toc585_1482845024"/>
      <w:bookmarkEnd w:id="11"/>
      <w:r>
        <w:rPr/>
        <w:t>3.3.</w:t>
      </w:r>
      <w:r>
        <w:rPr/>
        <w:t xml:space="preserve">3 </w:t>
      </w:r>
      <w:r>
        <w:fldChar w:fldCharType="begin"/>
      </w:r>
      <w:r>
        <w:rPr/>
        <w:instrText xml:space="preserve"> XE "Hot-State" </w:instrText>
      </w:r>
      <w:r>
        <w:rPr/>
        <w:fldChar w:fldCharType="separate"/>
      </w:r>
      <w:r>
        <w:rPr/>
        <w:t>Hot-State</w:t>
      </w:r>
      <w:r>
        <w:rPr/>
        <w:fldChar w:fldCharType="end"/>
      </w:r>
    </w:p>
    <w:p>
      <w:pPr>
        <w:pStyle w:val="BodyText"/>
        <w:bidi w:val="0"/>
        <w:spacing w:lineRule="auto" w:line="360"/>
        <w:jc w:val="start"/>
        <w:rPr/>
      </w:pPr>
      <w:r>
        <w:rPr/>
        <w:t>„</w:t>
      </w:r>
      <w:r>
        <w:fldChar w:fldCharType="begin"/>
      </w:r>
      <w:r>
        <w:rPr/>
        <w:instrText xml:space="preserve"> XE "Hot-State" </w:instrText>
      </w:r>
      <w:r>
        <w:rPr/>
        <w:fldChar w:fldCharType="separate"/>
      </w:r>
      <w:r>
        <w:rPr/>
        <w:t>Hot-State</w:t>
      </w:r>
      <w:r>
        <w:rPr/>
        <w:fldChar w:fldCharType="end"/>
      </w:r>
      <w:r>
        <w:rPr/>
        <w:t xml:space="preserve">“ beschreibt ein nützliches Angebot zu </w:t>
      </w:r>
      <w:r>
        <w:rPr/>
        <w:t xml:space="preserve">einem Zeitpunkt, wo der Spieler es am </w:t>
      </w:r>
      <w:r>
        <w:rPr/>
        <w:t>meisten braucht. z. B. kurz nachdem der Spieler verloren hat, eine zweite Chance anbieten, wofür man Geld oder IGC ausgibt. Der „</w:t>
      </w:r>
      <w:r>
        <w:fldChar w:fldCharType="begin"/>
      </w:r>
      <w:r>
        <w:rPr/>
        <w:instrText xml:space="preserve"> XE "Hot-State" </w:instrText>
      </w:r>
      <w:r>
        <w:rPr/>
        <w:fldChar w:fldCharType="separate"/>
      </w:r>
      <w:r>
        <w:rPr/>
        <w:t>Hot-State</w:t>
      </w:r>
      <w:r>
        <w:rPr/>
        <w:fldChar w:fldCharType="end"/>
      </w:r>
      <w:r>
        <w:rPr/>
        <w:t xml:space="preserve">“ hat seinen Namen auch daher, dass man den Spieler auf einer instinktiven Ebene ansprechen will, man will eine schnelle Reaktion aus ihm herausbekommen und man will auf keinen Fall, dass er länger über solche Angebote nachdenkt. Deswegen sind diese „Hot-States“ auch meistens mit einem </w:t>
      </w:r>
      <w:r>
        <w:fldChar w:fldCharType="begin"/>
      </w:r>
      <w:r>
        <w:rPr/>
        <w:instrText xml:space="preserve"> XE "Timer" </w:instrText>
      </w:r>
      <w:r>
        <w:rPr/>
        <w:fldChar w:fldCharType="separate"/>
      </w:r>
      <w:r>
        <w:rPr/>
        <w:t>Timer</w:t>
      </w:r>
      <w:r>
        <w:rPr/>
        <w:fldChar w:fldCharType="end"/>
      </w:r>
      <w:r>
        <w:rPr/>
        <w:t xml:space="preserve"> oder Ähnlichem versehen.</w:t>
      </w:r>
      <w:r>
        <mc:AlternateContent>
          <mc:Choice Requires="wps">
            <w:drawing>
              <wp:anchor behindDoc="0" distT="0" distB="0" distL="0" distR="0" simplePos="0" locked="0" layoutInCell="0" allowOverlap="1" relativeHeight="3">
                <wp:simplePos x="0" y="0"/>
                <wp:positionH relativeFrom="column">
                  <wp:posOffset>34290</wp:posOffset>
                </wp:positionH>
                <wp:positionV relativeFrom="paragraph">
                  <wp:posOffset>17145</wp:posOffset>
                </wp:positionV>
                <wp:extent cx="2955290" cy="3299460"/>
                <wp:effectExtent l="0" t="0" r="0" b="0"/>
                <wp:wrapSquare wrapText="largest"/>
                <wp:docPr id="2" name="Rahmen1"/>
                <a:graphic xmlns:a="http://schemas.openxmlformats.org/drawingml/2006/main">
                  <a:graphicData uri="http://schemas.microsoft.com/office/word/2010/wordprocessingShape">
                    <wps:wsp>
                      <wps:cNvSpPr txBox="1"/>
                      <wps:spPr>
                        <a:xfrm>
                          <a:off x="0" y="0"/>
                          <a:ext cx="2955290" cy="3299460"/>
                        </a:xfrm>
                        <a:prstGeom prst="rect"/>
                        <a:solidFill>
                          <a:srgbClr val="FFFFFF"/>
                        </a:solidFill>
                      </wps:spPr>
                      <wps:txbx>
                        <w:txbxContent>
                          <w:p>
                            <w:pPr>
                              <w:pStyle w:val="Abbildung"/>
                              <w:bidi w:val="0"/>
                              <w:spacing w:before="120" w:after="120"/>
                              <w:jc w:val="start"/>
                              <w:rPr/>
                            </w:pPr>
                            <w:r>
                              <w:rPr/>
                              <w:drawing>
                                <wp:inline distT="0" distB="0" distL="0" distR="0">
                                  <wp:extent cx="2955290" cy="2820035"/>
                                  <wp:effectExtent l="0" t="0" r="0" b="0"/>
                                  <wp:docPr id="3" name="Bild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 descr="" title=""/>
                                          <pic:cNvPicPr>
                                            <a:picLocks noChangeAspect="1" noChangeArrowheads="1"/>
                                          </pic:cNvPicPr>
                                        </pic:nvPicPr>
                                        <pic:blipFill>
                                          <a:blip r:embed="rId4"/>
                                          <a:srcRect l="18647" t="0" r="22438" b="0"/>
                                          <a:stretch>
                                            <a:fillRect/>
                                          </a:stretch>
                                        </pic:blipFill>
                                        <pic:spPr bwMode="auto">
                                          <a:xfrm>
                                            <a:off x="0" y="0"/>
                                            <a:ext cx="2955290" cy="2820035"/>
                                          </a:xfrm>
                                          <a:prstGeom prst="rect">
                                            <a:avLst/>
                                          </a:prstGeom>
                                        </pic:spPr>
                                      </pic:pic>
                                    </a:graphicData>
                                  </a:graphic>
                                </wp:inline>
                              </w:drawing>
                              <w:t xml:space="preserve">Abbildung </w:t>
                            </w:r>
                            <w:r>
                              <w:rPr/>
                              <w:fldChar w:fldCharType="begin"/>
                            </w:r>
                            <w:r>
                              <w:rPr/>
                              <w:instrText xml:space="preserve"> SEQ Abbildung \* ARABIC </w:instrText>
                            </w:r>
                            <w:r>
                              <w:rPr/>
                              <w:fldChar w:fldCharType="separate"/>
                            </w:r>
                            <w:r>
                              <w:rPr/>
                              <w:t>1</w:t>
                            </w:r>
                            <w:r>
                              <w:rPr/>
                              <w:fldChar w:fldCharType="end"/>
                            </w:r>
                            <w:r>
                              <w:rPr/>
                              <w:t>: Jetpack Joyride Hot State Angebot nach Tot,</w:t>
                            </w:r>
                            <w:r>
                              <w:rPr/>
                              <w:t>(Halfbrick Studios,2021)</w:t>
                            </w:r>
                          </w:p>
                        </w:txbxContent>
                      </wps:txbx>
                      <wps:bodyPr anchor="t" lIns="0" tIns="0" rIns="0" bIns="0">
                        <a:noAutofit/>
                      </wps:bodyPr>
                    </wps:wsp>
                  </a:graphicData>
                </a:graphic>
              </wp:anchor>
            </w:drawing>
          </mc:Choice>
          <mc:Fallback>
            <w:pict>
              <v:rect style="position:absolute;rotation:-0;width:232.7pt;height:259.8pt;mso-wrap-distance-left:0pt;mso-wrap-distance-right:0pt;mso-wrap-distance-top:0pt;mso-wrap-distance-bottom:0pt;margin-top:1.35pt;mso-position-vertical-relative:text;margin-left:2.7pt;mso-position-horizontal-relative:text">
                <v:textbox inset="0in,0in,0in,0in">
                  <w:txbxContent>
                    <w:p>
                      <w:pPr>
                        <w:pStyle w:val="Abbildung"/>
                        <w:bidi w:val="0"/>
                        <w:spacing w:before="120" w:after="120"/>
                        <w:jc w:val="start"/>
                        <w:rPr/>
                      </w:pPr>
                      <w:r>
                        <w:rPr/>
                        <w:drawing>
                          <wp:inline distT="0" distB="0" distL="0" distR="0">
                            <wp:extent cx="2955290" cy="2820035"/>
                            <wp:effectExtent l="0" t="0" r="0" b="0"/>
                            <wp:docPr id="4" name="Bild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1" descr="" title=""/>
                                    <pic:cNvPicPr>
                                      <a:picLocks noChangeAspect="1" noChangeArrowheads="1"/>
                                    </pic:cNvPicPr>
                                  </pic:nvPicPr>
                                  <pic:blipFill>
                                    <a:blip r:embed="rId5"/>
                                    <a:srcRect l="18647" t="0" r="22438" b="0"/>
                                    <a:stretch>
                                      <a:fillRect/>
                                    </a:stretch>
                                  </pic:blipFill>
                                  <pic:spPr bwMode="auto">
                                    <a:xfrm>
                                      <a:off x="0" y="0"/>
                                      <a:ext cx="2955290" cy="2820035"/>
                                    </a:xfrm>
                                    <a:prstGeom prst="rect">
                                      <a:avLst/>
                                    </a:prstGeom>
                                  </pic:spPr>
                                </pic:pic>
                              </a:graphicData>
                            </a:graphic>
                          </wp:inline>
                        </w:drawing>
                        <w:t xml:space="preserve">Abbildung </w:t>
                      </w:r>
                      <w:r>
                        <w:rPr/>
                        <w:fldChar w:fldCharType="begin"/>
                      </w:r>
                      <w:r>
                        <w:rPr/>
                        <w:instrText xml:space="preserve"> SEQ Abbildung \* ARABIC </w:instrText>
                      </w:r>
                      <w:r>
                        <w:rPr/>
                        <w:fldChar w:fldCharType="separate"/>
                      </w:r>
                      <w:r>
                        <w:rPr/>
                        <w:t>1</w:t>
                      </w:r>
                      <w:r>
                        <w:rPr/>
                        <w:fldChar w:fldCharType="end"/>
                      </w:r>
                      <w:r>
                        <w:rPr/>
                        <w:t>: Jetpack Joyride Hot State Angebot nach Tot,</w:t>
                      </w:r>
                      <w:r>
                        <w:rPr/>
                        <w:t>(Halfbrick Studios,2021)</w:t>
                      </w:r>
                    </w:p>
                  </w:txbxContent>
                </v:textbox>
                <w10:wrap type="square" side="largest"/>
              </v:rect>
            </w:pict>
          </mc:Fallback>
        </mc:AlternateContent>
      </w:r>
    </w:p>
    <w:p>
      <w:pPr>
        <w:pStyle w:val="BodyText"/>
        <w:bidi w:val="0"/>
        <w:spacing w:lineRule="auto" w:line="360"/>
        <w:ind w:hanging="0" w:start="0" w:end="0"/>
        <w:jc w:val="start"/>
        <w:rPr/>
      </w:pPr>
      <w:r>
        <w:rPr/>
        <w:t xml:space="preserve">In dem Handyspiel Jetpack Joyride möchte man in jedem Fall Stillstand vermeiden. Das generelle Ziel hierbei ist nämlich, soweit wie möglich zu kommen. Wenn der Spieler nun einen Fehler zu viel macht und der Charakter stirbt, fängt der </w:t>
        <w:br/>
        <w:t>„</w:t>
      </w:r>
      <w:r>
        <w:fldChar w:fldCharType="begin"/>
      </w:r>
      <w:r>
        <w:rPr/>
        <w:instrText xml:space="preserve"> XE "Hot-State" </w:instrText>
      </w:r>
      <w:r>
        <w:rPr/>
        <w:fldChar w:fldCharType="separate"/>
      </w:r>
      <w:r>
        <w:rPr/>
        <w:t>Hot-State</w:t>
      </w:r>
      <w:r>
        <w:rPr/>
        <w:fldChar w:fldCharType="end"/>
      </w:r>
      <w:r>
        <w:rPr/>
        <w:t xml:space="preserve">“ an (Abb.1). Noch während der </w:t>
      </w:r>
      <w:r>
        <w:rPr/>
        <w:t>Char</w:t>
      </w:r>
      <w:r>
        <w:rPr/>
        <w:t xml:space="preserve">akter fällt und sich noch bewegt kann man auf eine Bombe drücken die den Charakter noch ein paar Meter weiter befördert. </w:t>
      </w:r>
      <w:r>
        <w:rPr/>
        <w:t>Dabei ist zu beachten das die Bombe den Charakter nicht wiederbelebt.</w:t>
      </w:r>
      <w:r>
        <mc:AlternateContent>
          <mc:Choice Requires="wps">
            <w:drawing>
              <wp:anchor behindDoc="0" distT="0" distB="0" distL="0" distR="0" simplePos="0" locked="0" layoutInCell="0" allowOverlap="1" relativeHeight="5">
                <wp:simplePos x="0" y="0"/>
                <wp:positionH relativeFrom="column">
                  <wp:posOffset>3024505</wp:posOffset>
                </wp:positionH>
                <wp:positionV relativeFrom="paragraph">
                  <wp:posOffset>1114425</wp:posOffset>
                </wp:positionV>
                <wp:extent cx="3096260" cy="3897630"/>
                <wp:effectExtent l="0" t="0" r="0" b="0"/>
                <wp:wrapSquare wrapText="largest"/>
                <wp:docPr id="5" name="Rahmen2"/>
                <a:graphic xmlns:a="http://schemas.openxmlformats.org/drawingml/2006/main">
                  <a:graphicData uri="http://schemas.microsoft.com/office/word/2010/wordprocessingShape">
                    <wps:wsp>
                      <wps:cNvSpPr txBox="1"/>
                      <wps:spPr>
                        <a:xfrm>
                          <a:off x="0" y="0"/>
                          <a:ext cx="3096260" cy="3897630"/>
                        </a:xfrm>
                        <a:prstGeom prst="rect"/>
                        <a:solidFill>
                          <a:srgbClr val="FFFFFF"/>
                        </a:solidFill>
                      </wps:spPr>
                      <wps:txbx>
                        <w:txbxContent>
                          <w:p>
                            <w:pPr>
                              <w:pStyle w:val="Abbildung"/>
                              <w:bidi w:val="0"/>
                              <w:spacing w:before="120" w:after="120"/>
                              <w:jc w:val="start"/>
                              <w:rPr/>
                            </w:pPr>
                            <w:r>
                              <w:rPr/>
                              <w:drawing>
                                <wp:inline distT="0" distB="0" distL="0" distR="0">
                                  <wp:extent cx="3096260" cy="2917825"/>
                                  <wp:effectExtent l="0" t="0" r="0" b="0"/>
                                  <wp:docPr id="6" name="Bild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2" descr="" title=""/>
                                          <pic:cNvPicPr>
                                            <a:picLocks noChangeAspect="1" noChangeArrowheads="1"/>
                                          </pic:cNvPicPr>
                                        </pic:nvPicPr>
                                        <pic:blipFill>
                                          <a:blip r:embed="rId6"/>
                                          <a:srcRect l="18235" t="0" r="22097" b="0"/>
                                          <a:stretch>
                                            <a:fillRect/>
                                          </a:stretch>
                                        </pic:blipFill>
                                        <pic:spPr bwMode="auto">
                                          <a:xfrm>
                                            <a:off x="0" y="0"/>
                                            <a:ext cx="3096260" cy="2917825"/>
                                          </a:xfrm>
                                          <a:prstGeom prst="rect">
                                            <a:avLst/>
                                          </a:prstGeom>
                                        </pic:spPr>
                                      </pic:pic>
                                    </a:graphicData>
                                  </a:graphic>
                                </wp:inline>
                              </w:drawing>
                              <w:t xml:space="preserve">Abbildung </w:t>
                            </w:r>
                            <w:r>
                              <w:rPr/>
                              <w:fldChar w:fldCharType="begin"/>
                            </w:r>
                            <w:r>
                              <w:rPr/>
                              <w:instrText xml:space="preserve"> SEQ Abbildung \* ARABIC </w:instrText>
                            </w:r>
                            <w:r>
                              <w:rPr/>
                              <w:fldChar w:fldCharType="separate"/>
                            </w:r>
                            <w:r>
                              <w:rPr/>
                              <w:t>2</w:t>
                            </w:r>
                            <w:r>
                              <w:rPr/>
                              <w:fldChar w:fldCharType="end"/>
                            </w:r>
                            <w:r>
                              <w:rPr/>
                              <w:t xml:space="preserve">: Jetpack Joyride Hot State Angebot nach Start </w:t>
                            </w:r>
                            <w:r>
                              <w:rPr/>
                              <w:t>(Halfbrick Studios,2021)</w:t>
                            </w:r>
                          </w:p>
                        </w:txbxContent>
                      </wps:txbx>
                      <wps:bodyPr anchor="t" lIns="0" tIns="0" rIns="0" bIns="0">
                        <a:noAutofit/>
                      </wps:bodyPr>
                    </wps:wsp>
                  </a:graphicData>
                </a:graphic>
              </wp:anchor>
            </w:drawing>
          </mc:Choice>
          <mc:Fallback>
            <w:pict>
              <v:rect style="position:absolute;rotation:-0;width:243.8pt;height:306.9pt;mso-wrap-distance-left:0pt;mso-wrap-distance-right:0pt;mso-wrap-distance-top:0pt;mso-wrap-distance-bottom:0pt;margin-top:87.75pt;mso-position-vertical-relative:text;margin-left:238.15pt;mso-position-horizontal-relative:text">
                <v:textbox inset="0in,0in,0in,0in">
                  <w:txbxContent>
                    <w:p>
                      <w:pPr>
                        <w:pStyle w:val="Abbildung"/>
                        <w:bidi w:val="0"/>
                        <w:spacing w:before="120" w:after="120"/>
                        <w:jc w:val="start"/>
                        <w:rPr/>
                      </w:pPr>
                      <w:r>
                        <w:rPr/>
                        <w:drawing>
                          <wp:inline distT="0" distB="0" distL="0" distR="0">
                            <wp:extent cx="3096260" cy="2917825"/>
                            <wp:effectExtent l="0" t="0" r="0" b="0"/>
                            <wp:docPr id="7" name="Bild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2" descr="" title=""/>
                                    <pic:cNvPicPr>
                                      <a:picLocks noChangeAspect="1" noChangeArrowheads="1"/>
                                    </pic:cNvPicPr>
                                  </pic:nvPicPr>
                                  <pic:blipFill>
                                    <a:blip r:embed="rId7"/>
                                    <a:srcRect l="18235" t="0" r="22097" b="0"/>
                                    <a:stretch>
                                      <a:fillRect/>
                                    </a:stretch>
                                  </pic:blipFill>
                                  <pic:spPr bwMode="auto">
                                    <a:xfrm>
                                      <a:off x="0" y="0"/>
                                      <a:ext cx="3096260" cy="2917825"/>
                                    </a:xfrm>
                                    <a:prstGeom prst="rect">
                                      <a:avLst/>
                                    </a:prstGeom>
                                  </pic:spPr>
                                </pic:pic>
                              </a:graphicData>
                            </a:graphic>
                          </wp:inline>
                        </w:drawing>
                        <w:t xml:space="preserve">Abbildung </w:t>
                      </w:r>
                      <w:r>
                        <w:rPr/>
                        <w:fldChar w:fldCharType="begin"/>
                      </w:r>
                      <w:r>
                        <w:rPr/>
                        <w:instrText xml:space="preserve"> SEQ Abbildung \* ARABIC </w:instrText>
                      </w:r>
                      <w:r>
                        <w:rPr/>
                        <w:fldChar w:fldCharType="separate"/>
                      </w:r>
                      <w:r>
                        <w:rPr/>
                        <w:t>2</w:t>
                      </w:r>
                      <w:r>
                        <w:rPr/>
                        <w:fldChar w:fldCharType="end"/>
                      </w:r>
                      <w:r>
                        <w:rPr/>
                        <w:t xml:space="preserve">: Jetpack Joyride Hot State Angebot nach Start </w:t>
                      </w:r>
                      <w:r>
                        <w:rPr/>
                        <w:t>(Halfbrick Studios,2021)</w:t>
                      </w:r>
                    </w:p>
                  </w:txbxContent>
                </v:textbox>
                <w10:wrap type="square" side="largest"/>
              </v:rect>
            </w:pict>
          </mc:Fallback>
        </mc:AlternateContent>
      </w:r>
    </w:p>
    <w:p>
      <w:pPr>
        <w:pStyle w:val="BodyText"/>
        <w:bidi w:val="0"/>
        <w:spacing w:lineRule="auto" w:line="360"/>
        <w:jc w:val="start"/>
        <w:rPr/>
      </w:pPr>
      <w:r>
        <w:rPr/>
        <w:t>Der „</w:t>
      </w:r>
      <w:r>
        <w:fldChar w:fldCharType="begin"/>
      </w:r>
      <w:r>
        <w:rPr/>
        <w:instrText xml:space="preserve"> XE "Hot-State" </w:instrText>
      </w:r>
      <w:r>
        <w:rPr/>
        <w:fldChar w:fldCharType="separate"/>
      </w:r>
      <w:r>
        <w:rPr/>
        <w:t>Hot-State</w:t>
      </w:r>
      <w:r>
        <w:rPr/>
        <w:fldChar w:fldCharType="end"/>
      </w:r>
      <w:r>
        <w:rPr/>
        <w:t>“ spielt hierbei sehr gut zusammen mit der Verlustaversion. Der eigentliche Verlust ist schon passiert, aber man will hier den Spielern einen subtilen Nudge geben, einfach ohne viel nachzudenken auf die Bombe zu drücken, die (hier einen Vorrat von 5 hat) auch IGC kostet und somit auch indirekt mit Echtgeld kaufbar ist.</w:t>
      </w:r>
    </w:p>
    <w:p>
      <w:pPr>
        <w:pStyle w:val="BodyText"/>
        <w:bidi w:val="0"/>
        <w:spacing w:lineRule="auto" w:line="360"/>
        <w:ind w:hanging="0" w:start="0" w:end="0"/>
        <w:jc w:val="start"/>
        <w:rPr/>
      </w:pPr>
      <w:r>
        <w:rPr/>
        <w:t>Um bei demselben Beispiel zu bleiben: Ein ähnlicher „</w:t>
      </w:r>
      <w:r>
        <w:fldChar w:fldCharType="begin"/>
      </w:r>
      <w:r>
        <w:rPr/>
        <w:instrText xml:space="preserve"> XE "Hot-State" </w:instrText>
      </w:r>
      <w:r>
        <w:rPr/>
        <w:fldChar w:fldCharType="separate"/>
      </w:r>
      <w:r>
        <w:rPr/>
        <w:t>Hot-State</w:t>
      </w:r>
      <w:r>
        <w:rPr/>
        <w:fldChar w:fldCharType="end"/>
      </w:r>
      <w:r>
        <w:rPr/>
        <w:t>“ existiert auch beim Start eines Laufs. Um einen kleinen Boost zu bekommen.</w:t>
      </w:r>
    </w:p>
    <w:p>
      <w:pPr>
        <w:pStyle w:val="BodyText"/>
        <w:bidi w:val="0"/>
        <w:spacing w:lineRule="auto" w:line="360"/>
        <w:ind w:hanging="0" w:start="0" w:end="0"/>
        <w:jc w:val="start"/>
        <w:rPr/>
      </w:pPr>
      <w:r>
        <w:rPr/>
        <w:t xml:space="preserve">Der „Hot State“ ist sehr gut darin, die Impulskontrolle der Spieler immer wieder auf die Probe zu stellen. Dabei ist Impulskontrolle eine der wichtigsten emotionalen Kompetenzen, die man haben kann, um eine </w:t>
      </w:r>
      <w:r>
        <w:fldChar w:fldCharType="begin"/>
      </w:r>
      <w:r>
        <w:rPr/>
        <w:instrText xml:space="preserve"> XE "IGD" </w:instrText>
      </w:r>
      <w:r>
        <w:rPr/>
        <w:fldChar w:fldCharType="separate"/>
      </w:r>
      <w:r>
        <w:rPr/>
        <w:t>IGD</w:t>
      </w:r>
      <w:r>
        <w:rPr/>
        <w:fldChar w:fldCharType="end"/>
      </w:r>
      <w:r>
        <w:rPr/>
        <w:t xml:space="preserve"> zu vermeiden.</w:t>
      </w:r>
    </w:p>
    <w:p>
      <w:pPr>
        <w:pStyle w:val="BodyText"/>
        <w:bidi w:val="0"/>
        <w:spacing w:lineRule="auto" w:line="360"/>
        <w:jc w:val="start"/>
        <w:rPr/>
      </w:pPr>
      <w:r>
        <w:rPr/>
      </w:r>
    </w:p>
    <w:p>
      <w:pPr>
        <w:pStyle w:val="Blockzitat"/>
        <w:bidi w:val="0"/>
        <w:jc w:val="start"/>
        <w:rPr/>
      </w:pPr>
      <w:r>
        <w:rPr/>
        <w:t>„</w:t>
      </w:r>
      <w:r>
        <w:rPr/>
        <w:t xml:space="preserve">The highest effect sizes were found for Behavioral Problems (difficulties regarding impulse control and interpersonal conflicts“ </w:t>
      </w:r>
      <w:r>
        <w:rPr>
          <w:i w:val="false"/>
          <w:iCs w:val="false"/>
        </w:rPr>
        <w:t>(M.Dreier,</w:t>
      </w:r>
      <w:r>
        <w:rPr>
          <w:i w:val="false"/>
          <w:iCs w:val="false"/>
        </w:rPr>
        <w:t>2017</w:t>
      </w:r>
      <w:r>
        <w:rPr>
          <w:i w:val="false"/>
          <w:iCs w:val="false"/>
        </w:rPr>
        <w:t>)</w:t>
      </w:r>
    </w:p>
    <w:p>
      <w:pPr>
        <w:pStyle w:val="BodyText"/>
        <w:bidi w:val="0"/>
        <w:jc w:val="start"/>
        <w:rPr/>
      </w:pPr>
      <w:r>
        <w:rPr/>
        <w:t xml:space="preserve">Aus einer guten Impulskontrolle folgt also auch eine gute Resistenz gegen </w:t>
      </w:r>
      <w:r>
        <w:fldChar w:fldCharType="begin"/>
      </w:r>
      <w:r>
        <w:rPr/>
        <w:instrText xml:space="preserve"> XE "IGD" </w:instrText>
      </w:r>
      <w:r>
        <w:rPr/>
        <w:fldChar w:fldCharType="separate"/>
      </w:r>
      <w:r>
        <w:rPr/>
        <w:t>IGD</w:t>
      </w:r>
      <w:r>
        <w:rPr/>
        <w:fldChar w:fldCharType="end"/>
      </w:r>
      <w:r>
        <w:rPr/>
        <w:t>.</w:t>
      </w:r>
    </w:p>
    <w:p>
      <w:pPr>
        <w:pStyle w:val="Heading3"/>
        <w:numPr>
          <w:ilvl w:val="0"/>
          <w:numId w:val="0"/>
        </w:numPr>
        <w:bidi w:val="0"/>
        <w:spacing w:lineRule="auto" w:line="360"/>
        <w:ind w:hanging="0" w:start="0"/>
        <w:jc w:val="start"/>
        <w:rPr/>
      </w:pPr>
      <w:bookmarkStart w:id="12" w:name="__RefHeading___Toc587_1482845024"/>
      <w:bookmarkEnd w:id="12"/>
      <w:r>
        <w:rPr/>
        <w:t xml:space="preserve">3.3.4 </w:t>
      </w:r>
      <w:r>
        <w:rPr/>
        <w:t>Verlustaversion</w:t>
      </w:r>
    </w:p>
    <w:p>
      <w:pPr>
        <w:pStyle w:val="BodyText"/>
        <w:bidi w:val="0"/>
        <w:spacing w:lineRule="auto" w:line="360"/>
        <w:jc w:val="start"/>
        <w:rPr/>
      </w:pPr>
      <w:r>
        <w:rPr/>
        <w:t xml:space="preserve">Verlustaversion beschreibt einen Begriff der </w:t>
      </w:r>
      <w:r>
        <w:fldChar w:fldCharType="begin"/>
      </w:r>
      <w:r>
        <w:rPr/>
        <w:instrText xml:space="preserve"> XE "Psychologie" </w:instrText>
      </w:r>
      <w:r>
        <w:rPr/>
        <w:fldChar w:fldCharType="separate"/>
      </w:r>
      <w:r>
        <w:rPr/>
        <w:t>Psychologie</w:t>
      </w:r>
      <w:r>
        <w:rPr/>
        <w:fldChar w:fldCharType="end"/>
      </w:r>
      <w:r>
        <w:rPr/>
        <w:t xml:space="preserve"> und die Tendenz, Verluste stets schwerer zu gewichten als Gewinne. Es gibt auch hierfür </w:t>
      </w:r>
      <w:r>
        <w:fldChar w:fldCharType="begin"/>
      </w:r>
      <w:r>
        <w:rPr/>
        <w:instrText xml:space="preserve"> XE "Nudging" </w:instrText>
      </w:r>
      <w:r>
        <w:rPr/>
        <w:fldChar w:fldCharType="separate"/>
      </w:r>
      <w:r>
        <w:rPr/>
        <w:t>Nudging</w:t>
      </w:r>
      <w:r>
        <w:rPr/>
        <w:fldChar w:fldCharType="end"/>
      </w:r>
      <w:r>
        <w:rPr/>
        <w:t>techniken, die sich diese Tendenz zu Nutze machen. Aber die Verlustaversion scheint nach neueren.</w:t>
      </w:r>
      <w:r>
        <w:rPr/>
        <w:t xml:space="preserve"> </w:t>
      </w:r>
      <w:r>
        <w:rPr/>
        <w:t>Untersuchungen sehr situations</w:t>
      </w:r>
      <w:r>
        <w:fldChar w:fldCharType="begin"/>
      </w:r>
      <w:r>
        <w:rPr/>
        <w:instrText xml:space="preserve"> XE "abhängig" </w:instrText>
      </w:r>
      <w:r>
        <w:rPr/>
        <w:fldChar w:fldCharType="separate"/>
      </w:r>
      <w:r>
        <w:rPr/>
        <w:t>abhängig</w:t>
      </w:r>
      <w:r>
        <w:rPr/>
        <w:fldChar w:fldCharType="end"/>
      </w:r>
      <w:r>
        <w:rPr/>
        <w:t xml:space="preserve"> zu sein.</w:t>
      </w:r>
    </w:p>
    <w:p>
      <w:pPr>
        <w:pStyle w:val="BodyText"/>
        <w:bidi w:val="0"/>
        <w:spacing w:lineRule="auto" w:line="360"/>
        <w:ind w:hanging="0" w:start="0" w:end="0"/>
        <w:jc w:val="start"/>
        <w:rPr/>
      </w:pPr>
      <w:r>
        <w:rPr/>
        <w:t>In diesem Beispiel dachte der Spieler, er hätte schon ein Upgrade erspielt. Jedoch wird bei einem Gameover-Screen angedroht, dieses Upgrade wieder wegzunehmen.</w:t>
      </w:r>
      <w:r>
        <mc:AlternateContent>
          <mc:Choice Requires="wps">
            <w:drawing>
              <wp:anchor behindDoc="0" distT="0" distB="0" distL="0" distR="0" simplePos="0" locked="0" layoutInCell="0" allowOverlap="1" relativeHeight="9">
                <wp:simplePos x="0" y="0"/>
                <wp:positionH relativeFrom="column">
                  <wp:posOffset>14605</wp:posOffset>
                </wp:positionH>
                <wp:positionV relativeFrom="paragraph">
                  <wp:posOffset>-59055</wp:posOffset>
                </wp:positionV>
                <wp:extent cx="3122930" cy="4483735"/>
                <wp:effectExtent l="0" t="0" r="0" b="0"/>
                <wp:wrapSquare wrapText="largest"/>
                <wp:docPr id="8" name="Rahmen4"/>
                <a:graphic xmlns:a="http://schemas.openxmlformats.org/drawingml/2006/main">
                  <a:graphicData uri="http://schemas.microsoft.com/office/word/2010/wordprocessingShape">
                    <wps:wsp>
                      <wps:cNvSpPr txBox="1"/>
                      <wps:spPr>
                        <a:xfrm>
                          <a:off x="0" y="0"/>
                          <a:ext cx="3122930" cy="4483735"/>
                        </a:xfrm>
                        <a:prstGeom prst="rect"/>
                        <a:solidFill>
                          <a:srgbClr val="FFFFFF"/>
                        </a:solidFill>
                      </wps:spPr>
                      <wps:txbx>
                        <w:txbxContent>
                          <w:p>
                            <w:pPr>
                              <w:pStyle w:val="Abbildung"/>
                              <w:bidi w:val="0"/>
                              <w:spacing w:before="120" w:after="120"/>
                              <w:jc w:val="start"/>
                              <w:rPr/>
                            </w:pPr>
                            <w:r>
                              <w:rPr/>
                              <w:drawing>
                                <wp:inline distT="0" distB="0" distL="0" distR="0">
                                  <wp:extent cx="3122930" cy="3769360"/>
                                  <wp:effectExtent l="0" t="0" r="0" b="0"/>
                                  <wp:docPr id="9" name="Bild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4" descr="" title=""/>
                                          <pic:cNvPicPr>
                                            <a:picLocks noChangeAspect="1" noChangeArrowheads="1"/>
                                          </pic:cNvPicPr>
                                        </pic:nvPicPr>
                                        <pic:blipFill>
                                          <a:blip r:embed="rId8"/>
                                          <a:srcRect l="30431" t="0" r="22969" b="0"/>
                                          <a:stretch>
                                            <a:fillRect/>
                                          </a:stretch>
                                        </pic:blipFill>
                                        <pic:spPr bwMode="auto">
                                          <a:xfrm>
                                            <a:off x="0" y="0"/>
                                            <a:ext cx="3122930" cy="3769360"/>
                                          </a:xfrm>
                                          <a:prstGeom prst="rect">
                                            <a:avLst/>
                                          </a:prstGeom>
                                        </pic:spPr>
                                      </pic:pic>
                                    </a:graphicData>
                                  </a:graphic>
                                </wp:inline>
                              </w:drawing>
                              <w:t xml:space="preserve">Abbildung </w:t>
                            </w:r>
                            <w:r>
                              <w:rPr/>
                              <w:fldChar w:fldCharType="begin"/>
                            </w:r>
                            <w:r>
                              <w:rPr/>
                              <w:instrText xml:space="preserve"> SEQ Abbildung \* ARABIC </w:instrText>
                            </w:r>
                            <w:r>
                              <w:rPr/>
                              <w:fldChar w:fldCharType="separate"/>
                            </w:r>
                            <w:r>
                              <w:rPr/>
                              <w:t>3</w:t>
                            </w:r>
                            <w:r>
                              <w:rPr/>
                              <w:fldChar w:fldCharType="end"/>
                            </w:r>
                            <w:r>
                              <w:rPr/>
                              <w:t>: Verlust von Gegenständen bei Abbruch in Candy Crush Saga (King Digital Entertainment,2012)</w:t>
                            </w:r>
                          </w:p>
                        </w:txbxContent>
                      </wps:txbx>
                      <wps:bodyPr anchor="t" lIns="0" tIns="0" rIns="0" bIns="0">
                        <a:noAutofit/>
                      </wps:bodyPr>
                    </wps:wsp>
                  </a:graphicData>
                </a:graphic>
              </wp:anchor>
            </w:drawing>
          </mc:Choice>
          <mc:Fallback>
            <w:pict>
              <v:rect style="position:absolute;rotation:-0;width:245.9pt;height:353.05pt;mso-wrap-distance-left:0pt;mso-wrap-distance-right:0pt;mso-wrap-distance-top:0pt;mso-wrap-distance-bottom:0pt;margin-top:-4.65pt;mso-position-vertical-relative:text;margin-left:1.15pt;mso-position-horizontal-relative:text">
                <v:textbox inset="0in,0in,0in,0in">
                  <w:txbxContent>
                    <w:p>
                      <w:pPr>
                        <w:pStyle w:val="Abbildung"/>
                        <w:bidi w:val="0"/>
                        <w:spacing w:before="120" w:after="120"/>
                        <w:jc w:val="start"/>
                        <w:rPr/>
                      </w:pPr>
                      <w:r>
                        <w:rPr/>
                        <w:drawing>
                          <wp:inline distT="0" distB="0" distL="0" distR="0">
                            <wp:extent cx="3122930" cy="3769360"/>
                            <wp:effectExtent l="0" t="0" r="0" b="0"/>
                            <wp:docPr id="10" name="Bild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4" descr="" title=""/>
                                    <pic:cNvPicPr>
                                      <a:picLocks noChangeAspect="1" noChangeArrowheads="1"/>
                                    </pic:cNvPicPr>
                                  </pic:nvPicPr>
                                  <pic:blipFill>
                                    <a:blip r:embed="rId9"/>
                                    <a:srcRect l="30431" t="0" r="22969" b="0"/>
                                    <a:stretch>
                                      <a:fillRect/>
                                    </a:stretch>
                                  </pic:blipFill>
                                  <pic:spPr bwMode="auto">
                                    <a:xfrm>
                                      <a:off x="0" y="0"/>
                                      <a:ext cx="3122930" cy="3769360"/>
                                    </a:xfrm>
                                    <a:prstGeom prst="rect">
                                      <a:avLst/>
                                    </a:prstGeom>
                                  </pic:spPr>
                                </pic:pic>
                              </a:graphicData>
                            </a:graphic>
                          </wp:inline>
                        </w:drawing>
                        <w:t xml:space="preserve">Abbildung </w:t>
                      </w:r>
                      <w:r>
                        <w:rPr/>
                        <w:fldChar w:fldCharType="begin"/>
                      </w:r>
                      <w:r>
                        <w:rPr/>
                        <w:instrText xml:space="preserve"> SEQ Abbildung \* ARABIC </w:instrText>
                      </w:r>
                      <w:r>
                        <w:rPr/>
                        <w:fldChar w:fldCharType="separate"/>
                      </w:r>
                      <w:r>
                        <w:rPr/>
                        <w:t>3</w:t>
                      </w:r>
                      <w:r>
                        <w:rPr/>
                        <w:fldChar w:fldCharType="end"/>
                      </w:r>
                      <w:r>
                        <w:rPr/>
                        <w:t>: Verlust von Gegenständen bei Abbruch in Candy Crush Saga (King Digital Entertainment,2012)</w:t>
                      </w:r>
                    </w:p>
                  </w:txbxContent>
                </v:textbox>
                <w10:wrap type="square" side="largest"/>
              </v:rect>
            </w:pict>
          </mc:Fallback>
        </mc:AlternateContent>
      </w:r>
    </w:p>
    <w:p>
      <w:pPr>
        <w:pStyle w:val="BodyText"/>
        <w:bidi w:val="0"/>
        <w:spacing w:lineRule="auto" w:line="360"/>
        <w:ind w:hanging="0" w:start="0" w:end="0"/>
        <w:jc w:val="start"/>
        <w:rPr/>
      </w:pPr>
      <w:r>
        <w:rPr/>
        <w:t>Nun ist ein Spieler aufgrund der Verlustaversion eher dazu geneigt, 10 Gold zu investieren, um 1. das Level noch zu schaffen und 2. den eigentlich bereits erspielten Booster nicht zu verlieren.</w:t>
      </w:r>
    </w:p>
    <w:p>
      <w:pPr>
        <w:pStyle w:val="BodyText"/>
        <w:bidi w:val="0"/>
        <w:spacing w:lineRule="auto" w:line="360"/>
        <w:ind w:hanging="0" w:start="0" w:end="0"/>
        <w:jc w:val="start"/>
        <w:rPr/>
      </w:pPr>
      <w:r>
        <w:rPr/>
        <w:t xml:space="preserve">Hier handelt es sich erneut um einen weiteren subtilen Anstoß in Richtung </w:t>
      </w:r>
      <w:r>
        <w:fldChar w:fldCharType="begin"/>
      </w:r>
      <w:r>
        <w:rPr/>
        <w:instrText xml:space="preserve"> XE "Abhängig" </w:instrText>
      </w:r>
      <w:r>
        <w:rPr/>
        <w:fldChar w:fldCharType="separate"/>
      </w:r>
      <w:r>
        <w:rPr/>
        <w:t>Abhängig</w:t>
      </w:r>
      <w:r>
        <w:rPr/>
        <w:fldChar w:fldCharType="end"/>
      </w:r>
      <w:r>
        <w:rPr/>
        <w:t>keit von der App.</w:t>
      </w:r>
    </w:p>
    <w:p>
      <w:pPr>
        <w:pStyle w:val="BodyText"/>
        <w:bidi w:val="0"/>
        <w:spacing w:lineRule="auto" w:line="360"/>
        <w:ind w:hanging="0" w:start="0" w:end="0"/>
        <w:jc w:val="start"/>
        <w:rPr/>
      </w:pPr>
      <w:r>
        <w:rPr/>
        <w:t>Diese Tendenz wird natürlich verstärkt bei Personen, die eine ausgeprägte Verlustaversion aufweisen. Spieler mit einer starken Neigung dazu, Verluste stärker zu betonen als Gewinne, könnten in dieser App besonders anfällig für wiederholte Spielhandlungen sein, um mögliche Verluste auszugleichen oder zu verhindern.</w:t>
      </w:r>
    </w:p>
    <w:p>
      <w:pPr>
        <w:pStyle w:val="BodyText"/>
        <w:bidi w:val="0"/>
        <w:spacing w:lineRule="auto" w:line="360"/>
        <w:jc w:val="start"/>
        <w:rPr/>
      </w:pPr>
      <w:r>
        <w:rPr/>
      </w:r>
    </w:p>
    <w:p>
      <w:pPr>
        <w:pStyle w:val="Heading3"/>
        <w:bidi w:val="0"/>
        <w:spacing w:lineRule="auto" w:line="360"/>
        <w:ind w:hanging="0" w:start="0"/>
        <w:jc w:val="start"/>
        <w:rPr/>
      </w:pPr>
      <w:bookmarkStart w:id="13" w:name="__RefHeading___Toc589_1482845024"/>
      <w:bookmarkEnd w:id="13"/>
      <w:r>
        <w:rPr/>
        <w:t xml:space="preserve">3.3.5 </w:t>
      </w:r>
      <w:r>
        <w:rPr/>
        <w:t>Angebote und Verknappung</w:t>
      </w:r>
    </w:p>
    <w:p>
      <w:pPr>
        <w:pStyle w:val="BodyText"/>
        <w:bidi w:val="0"/>
        <w:spacing w:lineRule="auto" w:line="360" w:before="57" w:after="197"/>
        <w:jc w:val="start"/>
        <w:rPr/>
      </w:pPr>
      <w:r>
        <w:rPr/>
        <w:t xml:space="preserve">In meinem Beispiel von Clash Royale (Supercell, 2016) gibt es innerhalb des Spiels einen Kartenshop. In diesem Kartenshop gibt es ein Angebot, das künstlich verknappt wird, indem es auf einen </w:t>
      </w:r>
      <w:r>
        <w:fldChar w:fldCharType="begin"/>
      </w:r>
      <w:r>
        <w:rPr/>
        <w:instrText xml:space="preserve"> XE "Timer" </w:instrText>
      </w:r>
      <w:r>
        <w:rPr/>
        <w:fldChar w:fldCharType="separate"/>
      </w:r>
      <w:r>
        <w:rPr/>
        <w:t>Timer</w:t>
      </w:r>
      <w:r>
        <w:rPr/>
        <w:fldChar w:fldCharType="end"/>
      </w:r>
      <w:r>
        <w:rPr/>
        <w:t xml:space="preserve"> von 10 Minuten gesetzt wird. Dies drängt Spieler dazu, auch wenn dieses Angebot auch dauerhaft bestehen könnte, dazu IGC auszugeben. </w:t>
      </w:r>
    </w:p>
    <w:p>
      <w:pPr>
        <w:pStyle w:val="BodyText"/>
        <w:bidi w:val="0"/>
        <w:spacing w:lineRule="auto" w:line="360" w:before="57" w:after="197"/>
        <w:jc w:val="start"/>
        <w:rPr/>
      </w:pPr>
      <w:r>
        <w:rPr/>
        <w:t>Wir sehen auch hier eine Implementierung der Verlustaversion durch gute Angebote, die zeitlich begrenzt sind. Spieler, die vor allem eine niedrige Impulskontrolle haben, werden dazu verleitet, hier schnell Kartenupgrades zu kaufen, bevor sie wieder weg sind.</w:t>
      </w:r>
      <w:r>
        <mc:AlternateContent>
          <mc:Choice Requires="wps">
            <w:drawing>
              <wp:anchor behindDoc="0" distT="0" distB="0" distL="0" distR="0" simplePos="0" locked="0" layoutInCell="0" allowOverlap="1" relativeHeight="7">
                <wp:simplePos x="0" y="0"/>
                <wp:positionH relativeFrom="column">
                  <wp:posOffset>6985</wp:posOffset>
                </wp:positionH>
                <wp:positionV relativeFrom="paragraph">
                  <wp:posOffset>13970</wp:posOffset>
                </wp:positionV>
                <wp:extent cx="2997200" cy="4353560"/>
                <wp:effectExtent l="0" t="0" r="0" b="0"/>
                <wp:wrapSquare wrapText="largest"/>
                <wp:docPr id="11" name="Rahmen3"/>
                <a:graphic xmlns:a="http://schemas.openxmlformats.org/drawingml/2006/main">
                  <a:graphicData uri="http://schemas.microsoft.com/office/word/2010/wordprocessingShape">
                    <wps:wsp>
                      <wps:cNvSpPr txBox="1"/>
                      <wps:spPr>
                        <a:xfrm>
                          <a:off x="0" y="0"/>
                          <a:ext cx="2997200" cy="4353560"/>
                        </a:xfrm>
                        <a:prstGeom prst="rect"/>
                        <a:solidFill>
                          <a:srgbClr val="FFFFFF"/>
                        </a:solidFill>
                      </wps:spPr>
                      <wps:txbx>
                        <w:txbxContent>
                          <w:p>
                            <w:pPr>
                              <w:pStyle w:val="Abbildung"/>
                              <w:bidi w:val="0"/>
                              <w:spacing w:before="120" w:after="120"/>
                              <w:jc w:val="start"/>
                              <w:rPr/>
                            </w:pPr>
                            <w:r>
                              <w:rPr/>
                              <w:drawing>
                                <wp:inline distT="0" distB="0" distL="0" distR="0">
                                  <wp:extent cx="2997200" cy="3956685"/>
                                  <wp:effectExtent l="0" t="0" r="0" b="0"/>
                                  <wp:docPr id="12" name="Bild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3" descr="" title=""/>
                                          <pic:cNvPicPr>
                                            <a:picLocks noChangeAspect="1" noChangeArrowheads="1"/>
                                          </pic:cNvPicPr>
                                        </pic:nvPicPr>
                                        <pic:blipFill>
                                          <a:blip r:embed="rId10"/>
                                          <a:srcRect l="0" t="12258" r="0" b="13476"/>
                                          <a:stretch>
                                            <a:fillRect/>
                                          </a:stretch>
                                        </pic:blipFill>
                                        <pic:spPr bwMode="auto">
                                          <a:xfrm>
                                            <a:off x="0" y="0"/>
                                            <a:ext cx="2997200" cy="3956685"/>
                                          </a:xfrm>
                                          <a:prstGeom prst="rect">
                                            <a:avLst/>
                                          </a:prstGeom>
                                        </pic:spPr>
                                      </pic:pic>
                                    </a:graphicData>
                                  </a:graphic>
                                </wp:inline>
                              </w:drawing>
                              <w:t xml:space="preserve">Abbildung </w:t>
                            </w:r>
                            <w:r>
                              <w:rPr/>
                              <w:fldChar w:fldCharType="begin"/>
                            </w:r>
                            <w:r>
                              <w:rPr/>
                              <w:instrText xml:space="preserve"> SEQ Abbildung \* ARABIC </w:instrText>
                            </w:r>
                            <w:r>
                              <w:rPr/>
                              <w:fldChar w:fldCharType="separate"/>
                            </w:r>
                            <w:r>
                              <w:rPr/>
                              <w:t>4</w:t>
                            </w:r>
                            <w:r>
                              <w:rPr/>
                              <w:fldChar w:fldCharType="end"/>
                            </w:r>
                            <w:r>
                              <w:rPr/>
                              <w:t>: Clash Royale Verknappung im Kartenshop (Supercell,2016)</w:t>
                            </w:r>
                          </w:p>
                        </w:txbxContent>
                      </wps:txbx>
                      <wps:bodyPr anchor="t" lIns="0" tIns="0" rIns="0" bIns="0">
                        <a:noAutofit/>
                      </wps:bodyPr>
                    </wps:wsp>
                  </a:graphicData>
                </a:graphic>
              </wp:anchor>
            </w:drawing>
          </mc:Choice>
          <mc:Fallback>
            <w:pict>
              <v:rect style="position:absolute;rotation:-0;width:236pt;height:342.8pt;mso-wrap-distance-left:0pt;mso-wrap-distance-right:0pt;mso-wrap-distance-top:0pt;mso-wrap-distance-bottom:0pt;margin-top:1.1pt;mso-position-vertical-relative:text;margin-left:0.55pt;mso-position-horizontal-relative:text">
                <v:textbox inset="0in,0in,0in,0in">
                  <w:txbxContent>
                    <w:p>
                      <w:pPr>
                        <w:pStyle w:val="Abbildung"/>
                        <w:bidi w:val="0"/>
                        <w:spacing w:before="120" w:after="120"/>
                        <w:jc w:val="start"/>
                        <w:rPr/>
                      </w:pPr>
                      <w:r>
                        <w:rPr/>
                        <w:drawing>
                          <wp:inline distT="0" distB="0" distL="0" distR="0">
                            <wp:extent cx="2997200" cy="3956685"/>
                            <wp:effectExtent l="0" t="0" r="0" b="0"/>
                            <wp:docPr id="13" name="Bild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3" descr="" title=""/>
                                    <pic:cNvPicPr>
                                      <a:picLocks noChangeAspect="1" noChangeArrowheads="1"/>
                                    </pic:cNvPicPr>
                                  </pic:nvPicPr>
                                  <pic:blipFill>
                                    <a:blip r:embed="rId11"/>
                                    <a:srcRect l="0" t="12258" r="0" b="13476"/>
                                    <a:stretch>
                                      <a:fillRect/>
                                    </a:stretch>
                                  </pic:blipFill>
                                  <pic:spPr bwMode="auto">
                                    <a:xfrm>
                                      <a:off x="0" y="0"/>
                                      <a:ext cx="2997200" cy="3956685"/>
                                    </a:xfrm>
                                    <a:prstGeom prst="rect">
                                      <a:avLst/>
                                    </a:prstGeom>
                                  </pic:spPr>
                                </pic:pic>
                              </a:graphicData>
                            </a:graphic>
                          </wp:inline>
                        </w:drawing>
                        <w:t xml:space="preserve">Abbildung </w:t>
                      </w:r>
                      <w:r>
                        <w:rPr/>
                        <w:fldChar w:fldCharType="begin"/>
                      </w:r>
                      <w:r>
                        <w:rPr/>
                        <w:instrText xml:space="preserve"> SEQ Abbildung \* ARABIC </w:instrText>
                      </w:r>
                      <w:r>
                        <w:rPr/>
                        <w:fldChar w:fldCharType="separate"/>
                      </w:r>
                      <w:r>
                        <w:rPr/>
                        <w:t>4</w:t>
                      </w:r>
                      <w:r>
                        <w:rPr/>
                        <w:fldChar w:fldCharType="end"/>
                      </w:r>
                      <w:r>
                        <w:rPr/>
                        <w:t>: Clash Royale Verknappung im Kartenshop (Supercell,2016)</w:t>
                      </w:r>
                    </w:p>
                  </w:txbxContent>
                </v:textbox>
                <w10:wrap type="square" side="largest"/>
              </v:rect>
            </w:pict>
          </mc:Fallback>
        </mc:AlternateContent>
      </w:r>
    </w:p>
    <w:p>
      <w:pPr>
        <w:pStyle w:val="BodyText"/>
        <w:bidi w:val="0"/>
        <w:spacing w:lineRule="auto" w:line="360" w:before="57" w:after="197"/>
        <w:jc w:val="start"/>
        <w:rPr/>
      </w:pPr>
      <w:r>
        <w:rPr/>
      </w:r>
    </w:p>
    <w:p>
      <w:pPr>
        <w:pStyle w:val="BodyText"/>
        <w:bidi w:val="0"/>
        <w:spacing w:lineRule="auto" w:line="360" w:before="57" w:after="197"/>
        <w:jc w:val="start"/>
        <w:rPr/>
      </w:pPr>
      <w:r>
        <w:rPr/>
        <w:t xml:space="preserve">Dazu kommt auch noch, dass diese regelmäßige Änderung der Karten dem Spieler einen Grund gibt, alle 10 Minuten die App zu öffnen, um nach neuen Angeboten zu schauen. Alle Verhaltensweisen, die hier „Vorteile im Spiel“ bringen, sind klassische Symptome von </w:t>
      </w:r>
      <w:r>
        <w:fldChar w:fldCharType="begin"/>
      </w:r>
      <w:r>
        <w:rPr/>
        <w:instrText xml:space="preserve"> XE "IGD" </w:instrText>
      </w:r>
      <w:r>
        <w:rPr/>
        <w:fldChar w:fldCharType="separate"/>
      </w:r>
      <w:r>
        <w:rPr/>
        <w:t>IGD</w:t>
      </w:r>
      <w:r>
        <w:rPr/>
        <w:fldChar w:fldCharType="end"/>
      </w:r>
    </w:p>
    <w:p>
      <w:pPr>
        <w:pStyle w:val="BodyText"/>
        <w:bidi w:val="0"/>
        <w:spacing w:lineRule="auto" w:line="360" w:before="57" w:after="197"/>
        <w:jc w:val="start"/>
        <w:rPr/>
      </w:pPr>
      <w:r>
        <w:rPr/>
      </w:r>
    </w:p>
    <w:p>
      <w:pPr>
        <w:pStyle w:val="Heading3"/>
        <w:bidi w:val="0"/>
        <w:spacing w:lineRule="auto" w:line="360"/>
        <w:ind w:hanging="0" w:start="0"/>
        <w:jc w:val="start"/>
        <w:rPr/>
      </w:pPr>
      <w:bookmarkStart w:id="14" w:name="__RefHeading___Toc593_1482845024"/>
      <w:bookmarkEnd w:id="14"/>
      <w:r>
        <w:rPr/>
        <w:t xml:space="preserve">3.3.6 </w:t>
      </w:r>
      <w:r>
        <w:rPr/>
        <w:t>Verankerungen</w:t>
      </w:r>
    </w:p>
    <w:p>
      <w:pPr>
        <w:pStyle w:val="BodyText"/>
        <w:bidi w:val="0"/>
        <w:spacing w:lineRule="auto" w:line="360"/>
        <w:jc w:val="start"/>
        <w:rPr/>
      </w:pPr>
      <w:r>
        <w:rPr/>
        <w:t>Verankerungen ist eine weitere Taktik, um Spieler dazu zu bringen, Geld für Dinge auszugeben, die sie normalerweise nicht gekauft hätten.</w:t>
      </w:r>
    </w:p>
    <w:p>
      <w:pPr>
        <w:pStyle w:val="BodyText"/>
        <w:bidi w:val="0"/>
        <w:spacing w:lineRule="auto" w:line="360"/>
        <w:ind w:hanging="0" w:start="0" w:end="0"/>
        <w:jc w:val="start"/>
        <w:rPr/>
      </w:pPr>
      <w:r>
        <w:rPr/>
        <w:t>Folgendes Szenario: In einem Spiel gibt es für 50 € 20.000 Edelsteine zu kaufen. Das erste Mal, wenn dieses Angebot wahrgenommen wird, denkt sicher der Spieler nie, dass er das kaufen wird. Es ist aktuell viel zu teuer.</w:t>
      </w:r>
    </w:p>
    <w:p>
      <w:pPr>
        <w:pStyle w:val="BodyText"/>
        <w:bidi w:val="0"/>
        <w:spacing w:lineRule="auto" w:line="360"/>
        <w:ind w:hanging="0" w:start="0" w:end="0"/>
        <w:jc w:val="start"/>
        <w:rPr/>
      </w:pPr>
      <w:r>
        <w:rPr/>
        <w:t>Jedoch wurde dem Spieler etwas Wichtiges vermittelt. Er hat jetzt einen ungefähren Wert im Kopf, den 20.000 Edelsteine wert sind, nämlich 50€. Ein paar Tage später also macht man dasselbe Angebot erneut, jetzt geht man aber drastisch mit dem Preis runter, z. B. 15 €. Jetzt vergleicht der Spieler diesen Preis mit seinem „Anker“, der bei 50€ liegt.</w:t>
      </w:r>
    </w:p>
    <w:p>
      <w:pPr>
        <w:pStyle w:val="BodyText"/>
        <w:bidi w:val="0"/>
        <w:spacing w:lineRule="auto" w:line="360"/>
        <w:jc w:val="start"/>
        <w:rPr/>
      </w:pPr>
      <w:r>
        <w:rPr/>
      </w:r>
    </w:p>
    <w:p>
      <w:pPr>
        <w:pStyle w:val="Heading1"/>
        <w:bidi w:val="0"/>
        <w:ind w:hanging="0" w:start="0"/>
        <w:jc w:val="start"/>
        <w:rPr/>
      </w:pPr>
      <w:bookmarkStart w:id="15" w:name="__RefHeading___Toc1240_3912987273"/>
      <w:bookmarkEnd w:id="15"/>
      <w:r>
        <w:rPr/>
        <w:t>4.</w:t>
      </w:r>
      <w:r>
        <w:fldChar w:fldCharType="begin"/>
      </w:r>
      <w:r>
        <w:rPr/>
        <w:instrText xml:space="preserve"> XE "Glücksspiel" </w:instrText>
      </w:r>
      <w:r>
        <w:rPr/>
        <w:fldChar w:fldCharType="separate"/>
      </w:r>
      <w:r>
        <w:rPr/>
        <w:t>Glücksspiel</w:t>
      </w:r>
      <w:r>
        <w:rPr/>
        <w:fldChar w:fldCharType="end"/>
      </w:r>
      <w:r>
        <w:rPr/>
        <w:t xml:space="preserve"> &amp; F2P</w:t>
      </w:r>
    </w:p>
    <w:p>
      <w:pPr>
        <w:pStyle w:val="BodyText"/>
        <w:bidi w:val="0"/>
        <w:spacing w:lineRule="auto" w:line="360"/>
        <w:jc w:val="start"/>
        <w:rPr/>
      </w:pPr>
      <w:r>
        <w:rPr/>
        <w:t xml:space="preserve">Mit all den psychologischen Nudges, die versuchen die Entscheidungen der Spieler zu beeinflussen, stellt sich die Frage, ob man diese Mechaniken mit </w:t>
      </w:r>
      <w:r>
        <w:fldChar w:fldCharType="begin"/>
      </w:r>
      <w:r>
        <w:rPr/>
        <w:instrText xml:space="preserve"> XE "Glücksspiel" </w:instrText>
      </w:r>
      <w:r>
        <w:rPr/>
        <w:fldChar w:fldCharType="separate"/>
      </w:r>
      <w:r>
        <w:rPr/>
        <w:t>Glücksspiel</w:t>
      </w:r>
      <w:r>
        <w:rPr/>
        <w:fldChar w:fldCharType="end"/>
      </w:r>
      <w:r>
        <w:rPr/>
        <w:t xml:space="preserve"> vergleichen kann. In einer Studie aus dem Jahr 2022 wird Folgendes über die Prävalenz von Spiel</w:t>
      </w:r>
      <w:r>
        <w:fldChar w:fldCharType="begin"/>
      </w:r>
      <w:r>
        <w:rPr/>
        <w:instrText xml:space="preserve"> XE "süchtig" </w:instrText>
      </w:r>
      <w:r>
        <w:rPr/>
        <w:fldChar w:fldCharType="separate"/>
      </w:r>
      <w:r>
        <w:rPr/>
        <w:t>süchtig</w:t>
      </w:r>
      <w:r>
        <w:rPr/>
        <w:fldChar w:fldCharType="end"/>
      </w:r>
      <w:r>
        <w:rPr/>
        <w:t xml:space="preserve">en innerhalb von P2W-Communitys gesagt: </w:t>
      </w:r>
    </w:p>
    <w:p>
      <w:pPr>
        <w:pStyle w:val="BodyText"/>
        <w:bidi w:val="0"/>
        <w:spacing w:lineRule="auto" w:line="360"/>
        <w:jc w:val="start"/>
        <w:rPr/>
      </w:pPr>
      <w:r>
        <w:rPr/>
      </w:r>
    </w:p>
    <w:p>
      <w:pPr>
        <w:pStyle w:val="Blockzitat"/>
        <w:bidi w:val="0"/>
        <w:spacing w:lineRule="auto" w:line="360"/>
        <w:jc w:val="start"/>
        <w:rPr/>
      </w:pPr>
      <w:r>
        <w:rPr>
          <w:i/>
          <w:iCs/>
        </w:rPr>
        <w:t>„</w:t>
      </w:r>
      <w:r>
        <w:rPr>
          <w:i/>
          <w:iCs/>
        </w:rPr>
        <w:t xml:space="preserve">The share of gamblers is significantly higher among the daily buyers (Δ = 13.6%) compared to occasional buyers.“ </w:t>
      </w:r>
      <w:r>
        <w:rPr>
          <w:i w:val="false"/>
          <w:iCs w:val="false"/>
        </w:rPr>
        <w:t>(F.Steinmetz,</w:t>
      </w:r>
      <w:r>
        <w:rPr>
          <w:i w:val="false"/>
          <w:iCs w:val="false"/>
        </w:rPr>
        <w:t>2022</w:t>
      </w:r>
      <w:r>
        <w:rPr>
          <w:i w:val="false"/>
          <w:iCs w:val="false"/>
        </w:rPr>
        <w:t xml:space="preserve">). </w:t>
      </w:r>
    </w:p>
    <w:p>
      <w:pPr>
        <w:pStyle w:val="BodyText"/>
        <w:bidi w:val="0"/>
        <w:spacing w:lineRule="auto" w:line="360"/>
        <w:jc w:val="start"/>
        <w:rPr>
          <w:i w:val="false"/>
          <w:i w:val="false"/>
          <w:iCs w:val="false"/>
        </w:rPr>
      </w:pPr>
      <w:r>
        <w:rPr/>
      </w:r>
    </w:p>
    <w:p>
      <w:pPr>
        <w:pStyle w:val="BodyText"/>
        <w:bidi w:val="0"/>
        <w:spacing w:lineRule="auto" w:line="360"/>
        <w:jc w:val="start"/>
        <w:rPr>
          <w:i w:val="false"/>
          <w:i w:val="false"/>
          <w:iCs w:val="false"/>
        </w:rPr>
      </w:pPr>
      <w:r>
        <w:rPr>
          <w:i w:val="false"/>
          <w:iCs w:val="false"/>
        </w:rPr>
        <w:t xml:space="preserve">→ </w:t>
      </w:r>
      <w:r>
        <w:rPr>
          <w:i w:val="false"/>
          <w:iCs w:val="false"/>
        </w:rPr>
        <w:t>Je frequentierter ein Spieler in einen F2P- oder P2P-Titel Echtgeld ausgibt, desto höher ist die Chance, dass er auch ein Glücksspieler ist. Innerhalb der Gruppen von Spielern, die hier untersucht wurden, sind unter den Spielern, die täglich einen Kauf in einem F2P-Titel tätigen, 13 % mehr Glücksspiel</w:t>
      </w:r>
      <w:r>
        <w:fldChar w:fldCharType="begin"/>
      </w:r>
      <w:r>
        <w:rPr>
          <w:i w:val="false"/>
          <w:iCs w:val="false"/>
        </w:rPr>
        <w:instrText xml:space="preserve"> XE "süchtig" </w:instrText>
      </w:r>
      <w:r>
        <w:rPr>
          <w:i w:val="false"/>
          <w:iCs w:val="false"/>
        </w:rPr>
        <w:fldChar w:fldCharType="separate"/>
      </w:r>
      <w:r>
        <w:rPr>
          <w:i w:val="false"/>
          <w:iCs w:val="false"/>
        </w:rPr>
        <w:t>süchtig</w:t>
      </w:r>
      <w:r>
        <w:rPr>
          <w:i w:val="false"/>
          <w:iCs w:val="false"/>
        </w:rPr>
        <w:fldChar w:fldCharType="end"/>
      </w:r>
      <w:r>
        <w:rPr>
          <w:i w:val="false"/>
          <w:iCs w:val="false"/>
        </w:rPr>
        <w:t>e als unter der Gruppe der Spieler, die nur jährlich ein paar Käufe tätigen.</w:t>
      </w:r>
    </w:p>
    <w:p>
      <w:pPr>
        <w:pStyle w:val="BodyText"/>
        <w:bidi w:val="0"/>
        <w:spacing w:lineRule="auto" w:line="360"/>
        <w:ind w:hanging="0" w:start="0" w:end="0"/>
        <w:jc w:val="start"/>
        <w:rPr/>
      </w:pPr>
      <w:r>
        <w:rPr/>
        <w:t>Aber heißt das auch, dass es die Chance gibt, dass aus einem Durchschnittsspieler ein Glücksspiel</w:t>
      </w:r>
      <w:r>
        <w:fldChar w:fldCharType="begin"/>
      </w:r>
      <w:r>
        <w:rPr/>
        <w:instrText xml:space="preserve"> XE "süchtig" </w:instrText>
      </w:r>
      <w:r>
        <w:rPr/>
        <w:fldChar w:fldCharType="separate"/>
      </w:r>
      <w:r>
        <w:rPr/>
        <w:t>süchtig</w:t>
      </w:r>
      <w:r>
        <w:rPr/>
        <w:fldChar w:fldCharType="end"/>
      </w:r>
      <w:r>
        <w:rPr/>
        <w:t>er werden kann? In derselben Studie heißt es, dass es dafür eine gewisse Chance gibt, vor allem bei ungesundem Verhalten beim Spielen.</w:t>
      </w:r>
    </w:p>
    <w:p>
      <w:pPr>
        <w:pStyle w:val="BodyText"/>
        <w:bidi w:val="0"/>
        <w:spacing w:lineRule="auto" w:line="360"/>
        <w:jc w:val="start"/>
        <w:rPr>
          <w:i w:val="false"/>
          <w:i w:val="false"/>
          <w:iCs w:val="false"/>
        </w:rPr>
      </w:pPr>
      <w:r>
        <w:rPr/>
      </w:r>
    </w:p>
    <w:p>
      <w:pPr>
        <w:pStyle w:val="Blockzitat"/>
        <w:bidi w:val="0"/>
        <w:spacing w:lineRule="auto" w:line="360"/>
        <w:jc w:val="start"/>
        <w:rPr/>
      </w:pPr>
      <w:r>
        <w:rPr>
          <w:i/>
          <w:iCs/>
        </w:rPr>
        <w:t>„</w:t>
      </w:r>
      <w:r>
        <w:rPr>
          <w:i/>
          <w:iCs/>
        </w:rPr>
        <w:t>based on our adapted PGSI for Pay-to-Win gaming, we identify a great share that faces a high risk for developing problematic behavioral gaming patterns. This implies that Pay-to-Win games exhibit risks for over-involvement.“</w:t>
      </w:r>
      <w:r>
        <w:rPr>
          <w:i w:val="false"/>
          <w:iCs w:val="false"/>
        </w:rPr>
        <w:t>(F.Steinmetz,</w:t>
      </w:r>
      <w:r>
        <w:rPr>
          <w:i w:val="false"/>
          <w:iCs w:val="false"/>
        </w:rPr>
        <w:t>2022</w:t>
      </w:r>
      <w:r>
        <w:rPr>
          <w:i w:val="false"/>
          <w:iCs w:val="false"/>
        </w:rPr>
        <w:t>).</w:t>
      </w:r>
    </w:p>
    <w:p>
      <w:pPr>
        <w:pStyle w:val="BodyText"/>
        <w:bidi w:val="0"/>
        <w:spacing w:lineRule="auto" w:line="360"/>
        <w:jc w:val="start"/>
        <w:rPr/>
      </w:pPr>
      <w:r>
        <w:rPr/>
        <w:t>Es lässt dich also die Schlussfolgerung ziehen, dass die Anpassung des PGSI auf Pay-to-Win-Spiele darauf hindeutet, dass eine erhebliche Anzahl von Menschen einem hohen Risiko ausgesetzt ist, problematische Verhaltensmuster im Zusammenhang mit Videospielen zu entwickeln.</w:t>
      </w:r>
    </w:p>
    <w:p>
      <w:pPr>
        <w:pStyle w:val="BodyText"/>
        <w:bidi w:val="0"/>
        <w:spacing w:lineRule="auto" w:line="360"/>
        <w:ind w:hanging="0" w:start="0" w:end="0"/>
        <w:jc w:val="start"/>
        <w:rPr/>
      </w:pPr>
      <w:r>
        <w:rPr/>
        <w:t>Dies legt nahe, dass P2W-Spiele Risiken für eine überdurchschnittliche Beteiligung und möglicherweise auch für problematisches Spielverhalten beinhalten. dass bestimmte Merkmale oder Mechanismen in diesen Spielen dazu neigen, Spieler stärker zu binden und potenziell problematische Verhaltensweisen zu fördern.</w:t>
      </w:r>
    </w:p>
    <w:p>
      <w:pPr>
        <w:pStyle w:val="BodyText"/>
        <w:bidi w:val="0"/>
        <w:spacing w:lineRule="auto" w:line="360"/>
        <w:ind w:hanging="0" w:start="0" w:end="0"/>
        <w:jc w:val="start"/>
        <w:rPr/>
      </w:pPr>
      <w:r>
        <w:rPr/>
        <w:t xml:space="preserve">Daher könnte </w:t>
      </w:r>
      <w:r>
        <w:rPr/>
        <w:t>eine</w:t>
      </w:r>
      <w:r>
        <w:rPr/>
        <w:t xml:space="preserve"> Schlussfolgerung lauten, dass spezielle Vorsichtsmaßnahmen oder Interventionen erforderlich sind, um die potenziellen negativen Auswirkungen von P2W-Spielen zu minimieren und die Spieler zu schützen.</w:t>
      </w:r>
    </w:p>
    <w:p>
      <w:pPr>
        <w:pStyle w:val="BodyText"/>
        <w:bidi w:val="0"/>
        <w:spacing w:lineRule="auto" w:line="360"/>
        <w:ind w:hanging="0" w:start="0" w:end="0"/>
        <w:jc w:val="start"/>
        <w:rPr/>
      </w:pPr>
      <w:r>
        <w:rPr/>
        <w:t>Spieler zu schützen, ist aber auch die Aufgabe der USK und des Staates</w:t>
      </w:r>
    </w:p>
    <w:p>
      <w:pPr>
        <w:pStyle w:val="BodyText"/>
        <w:bidi w:val="0"/>
        <w:spacing w:lineRule="auto" w:line="360"/>
        <w:ind w:hanging="0" w:start="0" w:end="0"/>
        <w:jc w:val="start"/>
        <w:rPr/>
      </w:pPr>
      <w:r>
        <w:rPr/>
        <w:t xml:space="preserve">Die USK verweist bei dieser Frage auf die Gesetzgebung und diese sagt, dass </w:t>
      </w:r>
      <w:r>
        <w:fldChar w:fldCharType="begin"/>
      </w:r>
      <w:r>
        <w:rPr/>
        <w:instrText xml:space="preserve"> XE "Glücksspiel" </w:instrText>
      </w:r>
      <w:r>
        <w:rPr/>
        <w:fldChar w:fldCharType="separate"/>
      </w:r>
      <w:r>
        <w:rPr/>
        <w:t>Glücksspiel</w:t>
      </w:r>
      <w:r>
        <w:rPr/>
        <w:fldChar w:fldCharType="end"/>
      </w:r>
      <w:r>
        <w:rPr/>
        <w:t xml:space="preserve"> folgendes ist:</w:t>
      </w:r>
    </w:p>
    <w:p>
      <w:pPr>
        <w:pStyle w:val="Blockzitat"/>
        <w:bidi w:val="0"/>
        <w:spacing w:lineRule="auto" w:line="360"/>
        <w:jc w:val="start"/>
        <w:rPr/>
      </w:pPr>
      <w:r>
        <w:rPr/>
        <w:t>„</w:t>
      </w:r>
      <w:r>
        <w:rPr/>
        <w:t>§ 3</w:t>
      </w:r>
    </w:p>
    <w:p>
      <w:pPr>
        <w:pStyle w:val="Blockzitat"/>
        <w:bidi w:val="0"/>
        <w:spacing w:lineRule="auto" w:line="360"/>
        <w:jc w:val="start"/>
        <w:rPr/>
      </w:pPr>
      <w:r>
        <w:rPr/>
        <w:t>Begriffsbestimmungen</w:t>
      </w:r>
    </w:p>
    <w:p>
      <w:pPr>
        <w:pStyle w:val="Blockzitat"/>
        <w:bidi w:val="0"/>
        <w:spacing w:lineRule="auto" w:line="360"/>
        <w:jc w:val="start"/>
        <w:rPr/>
      </w:pPr>
      <w:r>
        <w:rPr/>
        <w:t xml:space="preserve">(1) Ein </w:t>
      </w:r>
      <w:r>
        <w:fldChar w:fldCharType="begin"/>
      </w:r>
      <w:r>
        <w:rPr/>
        <w:instrText xml:space="preserve"> XE "Glücksspiel" </w:instrText>
      </w:r>
      <w:r>
        <w:rPr/>
        <w:fldChar w:fldCharType="separate"/>
      </w:r>
      <w:r>
        <w:rPr/>
        <w:t>Glücksspiel</w:t>
      </w:r>
      <w:r>
        <w:rPr/>
        <w:fldChar w:fldCharType="end"/>
      </w:r>
      <w:r>
        <w:rPr/>
        <w:t xml:space="preserve"> liegt vor, wenn im Rahmen eines Spiels für den Erwerb einer Gewinnchance ein Entgelt verlangt wird und die Entscheidung über den Gewinn ganz oder überwiegend vom Zufall abhängt. Die Entscheidung über den Gewinn hängt in jedem Fall vom Zufall ab, wenn dafür der ungewisse Eintritt oder Ausgang zukünftiger Ereignisse maßgeblich ist. Auch Wetten gegen Entgelt auf den Eintritt oder Ausgang eines zukünftigen Ereignisses sind Glücksspiele.“ </w:t>
      </w:r>
      <w:r>
        <w:rPr>
          <w:i w:val="false"/>
          <w:iCs w:val="false"/>
        </w:rPr>
        <w:t>(Glücksspielstaatsvertrag – GlüStV)</w:t>
      </w:r>
    </w:p>
    <w:p>
      <w:pPr>
        <w:pStyle w:val="BodyText"/>
        <w:bidi w:val="0"/>
        <w:spacing w:lineRule="auto" w:line="360"/>
        <w:jc w:val="start"/>
        <w:rPr/>
      </w:pPr>
      <w:r>
        <w:rPr/>
        <w:t xml:space="preserve">Spiele wie „Coin Master“ oder „Jetpack Joyride“ vermeiden aktuell die Klassifizierung als </w:t>
      </w:r>
      <w:r>
        <w:fldChar w:fldCharType="begin"/>
      </w:r>
      <w:r>
        <w:rPr/>
        <w:instrText xml:space="preserve"> XE "Glücksspiel" </w:instrText>
      </w:r>
      <w:r>
        <w:rPr/>
        <w:fldChar w:fldCharType="separate"/>
      </w:r>
      <w:r>
        <w:rPr/>
        <w:t>Glücksspiel</w:t>
      </w:r>
      <w:r>
        <w:rPr/>
        <w:fldChar w:fldCharType="end"/>
      </w:r>
      <w:r>
        <w:rPr/>
        <w:t xml:space="preserve">, indem sie keine Gewinne in Entgelt ausschütten. Heißt: Man kann Geld zwar in diese Apps hineinstecken, aber da man kein Geld herausbekommt, sondern nur digitale Güter oder IGC, wird es nicht als </w:t>
      </w:r>
      <w:r>
        <w:fldChar w:fldCharType="begin"/>
      </w:r>
      <w:r>
        <w:rPr/>
        <w:instrText xml:space="preserve"> XE "Glücksspiel" </w:instrText>
      </w:r>
      <w:r>
        <w:rPr/>
        <w:fldChar w:fldCharType="separate"/>
      </w:r>
      <w:r>
        <w:rPr/>
        <w:t>Glücksspiel</w:t>
      </w:r>
      <w:r>
        <w:rPr/>
        <w:fldChar w:fldCharType="end"/>
      </w:r>
      <w:r>
        <w:rPr/>
        <w:t xml:space="preserve"> klassifiziert und darf mit einem Rating von USK 6 oder 0 in einem App-Store o. ä. Anbieter veröffentlicht werden. </w:t>
      </w:r>
    </w:p>
    <w:p>
      <w:pPr>
        <w:pStyle w:val="BodyText"/>
        <w:bidi w:val="0"/>
        <w:spacing w:lineRule="auto" w:line="360"/>
        <w:jc w:val="start"/>
        <w:rPr/>
      </w:pPr>
      <w:r>
        <w:rPr/>
      </w:r>
    </w:p>
    <w:p>
      <w:pPr>
        <w:pStyle w:val="Heading1"/>
        <w:numPr>
          <w:ilvl w:val="0"/>
          <w:numId w:val="0"/>
        </w:numPr>
        <w:bidi w:val="0"/>
        <w:spacing w:lineRule="auto" w:line="360"/>
        <w:ind w:hanging="0" w:start="0"/>
        <w:jc w:val="start"/>
        <w:rPr/>
      </w:pPr>
      <w:bookmarkStart w:id="16" w:name="__RefHeading___Toc1242_3912987273"/>
      <w:bookmarkEnd w:id="16"/>
      <w:r>
        <w:rPr/>
        <w:t>5.Zusammenfassung</w:t>
      </w:r>
    </w:p>
    <w:p>
      <w:pPr>
        <w:pStyle w:val="BodyText"/>
        <w:bidi w:val="0"/>
        <w:spacing w:lineRule="auto" w:line="360"/>
        <w:jc w:val="start"/>
        <w:rPr/>
      </w:pPr>
      <w:r>
        <w:rPr/>
        <w:t xml:space="preserve">Anschließend kann man sagen, dass </w:t>
      </w:r>
      <w:r>
        <w:fldChar w:fldCharType="begin"/>
      </w:r>
      <w:r>
        <w:rPr/>
        <w:instrText xml:space="preserve"> XE "IGD" </w:instrText>
      </w:r>
      <w:r>
        <w:rPr/>
        <w:fldChar w:fldCharType="separate"/>
      </w:r>
      <w:r>
        <w:rPr/>
        <w:t>IGD</w:t>
      </w:r>
      <w:r>
        <w:rPr/>
        <w:fldChar w:fldCharType="end"/>
      </w:r>
      <w:r>
        <w:rPr/>
        <w:t xml:space="preserve"> etwas ist, auf das wir in Zukunft ein Auge drauf haben sollten. Die psychologischen Nudges und Manipulationstechniken der Entwickler von F2P-Apps haben in Anzahl zugenommen und sie sind auch inzwischen sehr kompetent im Ausnutzten dieser Schwächen. Verbraucher sind den Techniken auch größtenteils schutzlos ausgesetzt, da es keine Warnungen o. ä. an diesen Apps gibt.</w:t>
      </w:r>
    </w:p>
    <w:p>
      <w:pPr>
        <w:pStyle w:val="BodyText"/>
        <w:bidi w:val="0"/>
        <w:spacing w:lineRule="auto" w:line="360"/>
        <w:ind w:hanging="0" w:start="0" w:end="0"/>
        <w:jc w:val="start"/>
        <w:rPr/>
      </w:pPr>
      <w:r>
        <w:rPr/>
        <w:t>Die Debatte ist aber nicht nur eine aus Konsumersicht. Ich empfehle hierbei für jeden, der sich für die Entwicklerseite dieser Debatte interessiert, sich den Vortrag von Torulf Jernström anzuschauen.</w:t>
      </w:r>
    </w:p>
    <w:p>
      <w:pPr>
        <w:pStyle w:val="BodyText"/>
        <w:bidi w:val="0"/>
        <w:spacing w:lineRule="auto" w:line="360"/>
        <w:ind w:hanging="0" w:start="0" w:end="0"/>
        <w:jc w:val="start"/>
        <w:rPr/>
      </w:pPr>
      <w:r>
        <w:rPr/>
        <w:t xml:space="preserve">Während auf der Entwicklerseite Veränderungen und Anpassungen sehr schnell passieren, scheint hierbei der Gesetzesgeber etwas hinterher zu hinken. Meiner Meinung nach ist es eine komische Dissonanz zwischen den strengen Regeln von </w:t>
      </w:r>
      <w:r>
        <w:fldChar w:fldCharType="begin"/>
      </w:r>
      <w:r>
        <w:rPr/>
        <w:instrText xml:space="preserve"> XE "Glücksspiel" </w:instrText>
      </w:r>
      <w:r>
        <w:rPr/>
        <w:fldChar w:fldCharType="separate"/>
      </w:r>
      <w:r>
        <w:rPr/>
        <w:t>Glücksspiel</w:t>
      </w:r>
      <w:r>
        <w:rPr/>
        <w:fldChar w:fldCharType="end"/>
      </w:r>
      <w:r>
        <w:rPr/>
        <w:t xml:space="preserve"> und dass jene einfach fallengelassen werden, wenn etwas nicht genau in die Definition passt. Da gibt es aus meiner Sicht Verbesserungsbedarf auf der Seite des Staats. Denn bisher sind </w:t>
      </w:r>
      <w:r>
        <w:fldChar w:fldCharType="begin"/>
      </w:r>
      <w:r>
        <w:rPr/>
        <w:instrText xml:space="preserve"> XE "Nudging" </w:instrText>
      </w:r>
      <w:r>
        <w:rPr/>
        <w:fldChar w:fldCharType="separate"/>
      </w:r>
      <w:r>
        <w:rPr/>
        <w:t>Nudging</w:t>
      </w:r>
      <w:r>
        <w:rPr/>
        <w:fldChar w:fldCharType="end"/>
      </w:r>
      <w:r>
        <w:rPr/>
        <w:t>techniken innerhalb dieser Spiele sehr übersehen worden, sowohl von den Konsumenten wie vom Staat, und die Auswirkungen sind größtenteils negativ.</w:t>
      </w:r>
    </w:p>
    <w:p>
      <w:pPr>
        <w:pStyle w:val="BodyText"/>
        <w:bidi w:val="0"/>
        <w:spacing w:lineRule="auto" w:line="360"/>
        <w:jc w:val="start"/>
        <w:rPr/>
      </w:pPr>
      <w:r>
        <w:rPr/>
      </w:r>
    </w:p>
    <w:p>
      <w:pPr>
        <w:pStyle w:val="Heading1"/>
        <w:numPr>
          <w:ilvl w:val="0"/>
          <w:numId w:val="0"/>
        </w:numPr>
        <w:bidi w:val="0"/>
        <w:ind w:hanging="0" w:start="0"/>
        <w:jc w:val="start"/>
        <w:rPr/>
      </w:pPr>
      <w:bookmarkStart w:id="17" w:name="__RefHeading___Toc1299_1435983510"/>
      <w:bookmarkEnd w:id="17"/>
      <w:r>
        <w:rPr/>
        <w:t>6</w:t>
      </w:r>
      <w:r>
        <w:rPr/>
        <w:t>.</w:t>
      </w:r>
      <w:r>
        <w:rPr/>
        <w:t>Quellen</w:t>
      </w:r>
    </w:p>
    <w:p>
      <w:pPr>
        <w:pStyle w:val="BodyText"/>
        <w:bidi w:val="0"/>
        <w:spacing w:lineRule="auto" w:line="240"/>
        <w:jc w:val="start"/>
        <w:rPr/>
      </w:pPr>
      <w:r>
        <w:rPr/>
        <w:t xml:space="preserve">Elena Petrovskaya, Sebastian Deterding and David I Zendle </w:t>
      </w:r>
      <w:r>
        <w:rPr/>
        <w:t>(</w:t>
      </w:r>
      <w:r>
        <w:rPr/>
        <w:t>2022</w:t>
      </w:r>
      <w:r>
        <w:rPr/>
        <w:t>):</w:t>
      </w:r>
      <w:r>
        <w:rPr/>
        <w:t xml:space="preserve"> Prevalence and Salience of Problematic Microtransactions in Top-Grossing Mobile and PC Games: A Content Analysis of User Reviews. In Proceedings of the 2022 CHI Conference on Human Factors in Computing Systems (CHI '22). Association for Computing Machinery, New York, NY, USA, Article 560. </w:t>
      </w:r>
      <w:hyperlink r:id="rId12">
        <w:r>
          <w:rPr>
            <w:rStyle w:val="Hyperlink"/>
          </w:rPr>
          <w:t>https://doi.org/10.1145/3491102.3502056</w:t>
        </w:r>
      </w:hyperlink>
    </w:p>
    <w:p>
      <w:pPr>
        <w:pStyle w:val="BodyText"/>
        <w:bidi w:val="0"/>
        <w:spacing w:lineRule="auto" w:line="240"/>
        <w:jc w:val="start"/>
        <w:rPr/>
      </w:pPr>
      <w:r>
        <w:rPr/>
        <w:t xml:space="preserve">M. Dreier, K. Wölfling, E. Duven, S. Giralt, M.E. Beutel, K.W. Müller, </w:t>
      </w:r>
      <w:r>
        <w:rPr/>
        <w:t>(</w:t>
      </w:r>
      <w:r>
        <w:rPr/>
        <w:t>2017</w:t>
      </w:r>
      <w:r>
        <w:rPr/>
        <w:t xml:space="preserve">): </w:t>
      </w:r>
      <w:r>
        <w:rPr/>
        <w:t>Free-to-play: About addicted Whales, at risk Dolphins and healthy Minnows. Monetarization design and Internet Gaming Disorder,Addictive Behaviors</w:t>
      </w:r>
      <w:r>
        <w:rPr/>
        <w:br/>
      </w:r>
      <w:hyperlink r:id="rId13">
        <w:r>
          <w:rPr>
            <w:rStyle w:val="Hyperlink"/>
          </w:rPr>
          <w:t>https://www.sciencedirect.com/science/article/pii/S0306460316301101</w:t>
        </w:r>
      </w:hyperlink>
    </w:p>
    <w:p>
      <w:pPr>
        <w:pStyle w:val="BodyText"/>
        <w:bidi w:val="0"/>
        <w:spacing w:lineRule="auto" w:line="240"/>
        <w:jc w:val="start"/>
        <w:rPr/>
      </w:pPr>
      <w:r>
        <w:rPr/>
        <w:t>Dreier, M., Wölfling, K., Duven, E., Beutel, M. E., Müller, K. W., &amp; Giralt, S.</w:t>
        <w:br/>
        <w:t>(2013). Eine detaillierte Charakterisierung von Browsergamern unter be-</w:t>
        <w:br/>
        <w:t>sonderer Berücksichtigung der Monetarisierung dieses Spielegen-</w:t>
        <w:br/>
        <w:t>res. Suchttherapie</w:t>
      </w:r>
    </w:p>
    <w:p>
      <w:pPr>
        <w:pStyle w:val="BodyText"/>
        <w:bidi w:val="0"/>
        <w:spacing w:lineRule="auto" w:line="240"/>
        <w:jc w:val="start"/>
        <w:rPr/>
      </w:pPr>
      <w:r>
        <w:rPr/>
        <w:t xml:space="preserve">Steinmetz, F., Fiedler, I., von Meduna, M. </w:t>
      </w:r>
      <w:r>
        <w:rPr>
          <w:i/>
        </w:rPr>
        <w:t>et al.</w:t>
      </w:r>
      <w:r>
        <w:rPr/>
        <w:t xml:space="preserve"> Pay-to-Win Gaming and its Interrelation with Gambling: Findings from a Representative Population Sample. </w:t>
      </w:r>
      <w:r>
        <w:rPr>
          <w:i/>
        </w:rPr>
        <w:t>J Gambl Stud</w:t>
      </w:r>
      <w:r>
        <w:rPr/>
        <w:t xml:space="preserve"> </w:t>
      </w:r>
      <w:r>
        <w:rPr>
          <w:b/>
        </w:rPr>
        <w:t>38</w:t>
      </w:r>
      <w:r>
        <w:rPr/>
        <w:t xml:space="preserve">, 785–816 (2022). https://doi.org/10.1007/s10899-021-10042-1 </w:t>
        <w:br/>
      </w:r>
      <w:hyperlink r:id="rId14">
        <w:bookmarkStart w:id="18" w:name="share-url"/>
        <w:bookmarkEnd w:id="18"/>
        <w:r>
          <w:rPr>
            <w:rStyle w:val="Hyperlink"/>
          </w:rPr>
          <w:t>https://rdcu.be/dw1se</w:t>
        </w:r>
      </w:hyperlink>
    </w:p>
    <w:p>
      <w:pPr>
        <w:pStyle w:val="BodyText"/>
        <w:bidi w:val="0"/>
        <w:spacing w:lineRule="auto" w:line="240"/>
        <w:jc w:val="start"/>
        <w:rPr/>
      </w:pPr>
      <w:r>
        <w:rPr/>
        <w:t>Glücksspielstaatsvertrag – GlüStV</w:t>
        <w:br/>
      </w:r>
      <w:hyperlink r:id="rId15">
        <w:r>
          <w:rPr>
            <w:rStyle w:val="Hyperlink"/>
          </w:rPr>
          <w:t>https://recht.nrw.de/lmi/owa/br_vbl_show_pdf?p_id=10742</w:t>
        </w:r>
      </w:hyperlink>
    </w:p>
    <w:p>
      <w:pPr>
        <w:pStyle w:val="BodyText"/>
        <w:bidi w:val="0"/>
        <w:jc w:val="start"/>
        <w:rPr/>
      </w:pPr>
      <w:r>
        <w:rPr/>
        <w:t>Halfbrick Studios (2021): Jetpack Joyride</w:t>
      </w:r>
    </w:p>
    <w:p>
      <w:pPr>
        <w:pStyle w:val="BodyText"/>
        <w:bidi w:val="0"/>
        <w:jc w:val="start"/>
        <w:rPr/>
      </w:pPr>
      <w:r>
        <w:rPr/>
        <w:t>Supercell (2016): Clash Royale</w:t>
      </w:r>
    </w:p>
    <w:p>
      <w:pPr>
        <w:pStyle w:val="BodyText"/>
        <w:bidi w:val="0"/>
        <w:jc w:val="start"/>
        <w:rPr/>
      </w:pPr>
      <w:r>
        <w:rPr/>
        <w:t>Kommasetzung mithilfe von Scribbr überprüft</w:t>
        <w:br/>
      </w:r>
      <w:hyperlink r:id="rId16">
        <w:r>
          <w:rPr>
            <w:rStyle w:val="Hyperlink"/>
          </w:rPr>
          <w:t>https://www.scribbr.de/kommasetzung-pruefen/</w:t>
        </w:r>
      </w:hyperlink>
    </w:p>
    <w:p>
      <w:pPr>
        <w:pStyle w:val="BodyText"/>
        <w:bidi w:val="0"/>
        <w:jc w:val="start"/>
        <w:rPr/>
      </w:pPr>
      <w:r>
        <w:rPr/>
        <w:t>Rechtschreibung mithilfe von Libre Office überprüft</w:t>
      </w:r>
    </w:p>
    <w:p>
      <w:pPr>
        <w:pStyle w:val="BodyText"/>
        <w:bidi w:val="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Heading2"/>
        <w:bidi w:val="0"/>
        <w:ind w:hanging="0" w:start="0"/>
        <w:jc w:val="start"/>
        <w:rPr/>
      </w:pPr>
      <w:bookmarkStart w:id="19" w:name="__RefHeading___Toc951_2428992503"/>
      <w:bookmarkEnd w:id="19"/>
      <w:r>
        <w:rPr/>
        <w:t>6</w:t>
      </w:r>
      <w:r>
        <w:rPr/>
        <w:t>.1</w:t>
      </w:r>
      <w:r>
        <w:rPr/>
        <w:t>Online Quelle</w:t>
      </w:r>
      <w:r>
        <w:rPr/>
        <w:t>n</w:t>
      </w:r>
    </w:p>
    <w:p>
      <w:pPr>
        <w:pStyle w:val="BodyText"/>
        <w:bidi w:val="0"/>
        <w:jc w:val="start"/>
        <w:rPr/>
      </w:pPr>
      <w:hyperlink r:id="rId17">
        <w:r>
          <w:rPr>
            <w:rStyle w:val="Hyperlink"/>
          </w:rPr>
          <w:t>https://www.game.de/free-to-play-games-vom-smartphone-in-die-esports-arenen/</w:t>
        </w:r>
      </w:hyperlink>
    </w:p>
    <w:p>
      <w:pPr>
        <w:pStyle w:val="BodyText"/>
        <w:bidi w:val="0"/>
        <w:jc w:val="start"/>
        <w:rPr/>
      </w:pPr>
      <w:r>
        <w:rPr/>
        <w:t>Torulf Jernström, Lets go Whaling</w:t>
        <w:br/>
      </w:r>
      <w:hyperlink r:id="rId18">
        <w:r>
          <w:rPr>
            <w:rStyle w:val="Hyperlink"/>
          </w:rPr>
          <w:t>https://www.youtube.com/watch?v=xNjI03CGkb4</w:t>
        </w:r>
      </w:hyperlink>
    </w:p>
    <w:p>
      <w:pPr>
        <w:pStyle w:val="BodyText"/>
        <w:bidi w:val="0"/>
        <w:jc w:val="start"/>
        <w:rPr/>
      </w:pPr>
      <w:r>
        <w:rPr/>
        <w:t>Dreier, M., Gohlke, A., Wirtz, M.,Teske, A., Knothe, M., Scholz, D. &amp; Müller, K.W.</w:t>
        <w:br/>
      </w:r>
      <w:hyperlink r:id="rId19">
        <w:r>
          <w:rPr>
            <w:rStyle w:val="Hyperlink"/>
          </w:rPr>
          <w:t>https://www.fv-medienabhaengigkeit.de/fileadmin/images/Dateien/Handlungsempfehlungen_Free-to-Play-Games_02-2015.pdf</w:t>
        </w:r>
      </w:hyperlink>
    </w:p>
    <w:p>
      <w:pPr>
        <w:pStyle w:val="BodyText"/>
        <w:bidi w:val="0"/>
        <w:spacing w:lineRule="auto" w:line="240"/>
        <w:jc w:val="start"/>
        <w:rPr/>
      </w:pPr>
      <w:r>
        <w:rPr/>
        <w:t>Top grossing Games data,</w:t>
      </w:r>
      <w:r>
        <w:rPr/>
        <w:t>2022</w:t>
      </w:r>
      <w:r>
        <w:rPr/>
        <w:br/>
      </w:r>
      <w:hyperlink r:id="rId20">
        <w:r>
          <w:rPr>
            <w:rStyle w:val="Hyperlink"/>
          </w:rPr>
          <w:t>https://www.similarweb.com/top-apps/google/games/top-grossing/</w:t>
        </w:r>
      </w:hyperlink>
    </w:p>
    <w:p>
      <w:pPr>
        <w:pStyle w:val="BodyText"/>
        <w:bidi w:val="0"/>
        <w:spacing w:lineRule="auto" w:line="240"/>
        <w:jc w:val="start"/>
        <w:rPr/>
      </w:pPr>
      <w:r>
        <w:rPr/>
        <w:t>Dr. Sebastian Horn,</w:t>
        <w:br/>
      </w:r>
      <w:hyperlink r:id="rId21">
        <w:r>
          <w:rPr>
            <w:rStyle w:val="Hyperlink"/>
          </w:rPr>
          <w:t>https://www.</w:t>
        </w:r>
        <w:r>
          <w:fldChar w:fldCharType="begin"/>
        </w:r>
        <w:r>
          <w:rPr>
            <w:rStyle w:val="Hyperlink"/>
          </w:rPr>
          <w:instrText xml:space="preserve"> XE "psychologie" </w:instrText>
        </w:r>
        <w:r>
          <w:rPr>
            <w:rStyle w:val="Hyperlink"/>
          </w:rPr>
          <w:fldChar w:fldCharType="separate"/>
        </w:r>
        <w:r>
          <w:rPr>
            <w:rStyle w:val="Hyperlink"/>
          </w:rPr>
          <w:t>psychologie</w:t>
        </w:r>
        <w:r>
          <w:rPr>
            <w:rStyle w:val="Hyperlink"/>
          </w:rPr>
          <w:fldChar w:fldCharType="end"/>
        </w:r>
        <w:r>
          <w:rPr>
            <w:rStyle w:val="Hyperlink"/>
          </w:rPr>
          <w:t>.uzh.ch/de/bereiche/dev/lifespan/erleben/berichte/verlustaversion.html</w:t>
        </w:r>
      </w:hyperlink>
    </w:p>
    <w:p>
      <w:pPr>
        <w:pStyle w:val="BodyText"/>
        <w:bidi w:val="0"/>
        <w:spacing w:lineRule="auto" w:line="240"/>
        <w:jc w:val="start"/>
        <w:rPr/>
      </w:pPr>
      <w:r>
        <w:rPr/>
        <w:t>USK-</w:t>
      </w:r>
      <w:r>
        <w:fldChar w:fldCharType="begin"/>
      </w:r>
      <w:r>
        <w:rPr/>
        <w:instrText xml:space="preserve"> XE "Glücksspiel" </w:instrText>
      </w:r>
      <w:r>
        <w:rPr/>
        <w:fldChar w:fldCharType="separate"/>
      </w:r>
      <w:r>
        <w:rPr/>
        <w:t>Glücksspiel</w:t>
      </w:r>
      <w:r>
        <w:rPr/>
        <w:fldChar w:fldCharType="end"/>
      </w:r>
      <w:r>
        <w:rPr/>
        <w:t xml:space="preserve"> vs. simuliertes </w:t>
      </w:r>
      <w:r>
        <w:fldChar w:fldCharType="begin"/>
      </w:r>
      <w:r>
        <w:rPr/>
        <w:instrText xml:space="preserve"> XE "Glücksspiel" </w:instrText>
      </w:r>
      <w:r>
        <w:rPr/>
        <w:fldChar w:fldCharType="separate"/>
      </w:r>
      <w:r>
        <w:rPr/>
        <w:t>Glücksspiel</w:t>
      </w:r>
      <w:r>
        <w:rPr/>
        <w:fldChar w:fldCharType="end"/>
      </w:r>
      <w:r>
        <w:rPr/>
        <w:t>,</w:t>
      </w:r>
      <w:r>
        <w:rPr/>
        <w:t>2019</w:t>
      </w:r>
      <w:r>
        <w:rPr/>
        <w:br/>
      </w:r>
      <w:hyperlink r:id="rId22">
        <w:r>
          <w:rPr>
            <w:rStyle w:val="Hyperlink"/>
          </w:rPr>
          <w:t>https://usk.de/simuliertes-gluecksspiel-und-jugendschutz/</w:t>
        </w:r>
      </w:hyperlink>
    </w:p>
    <w:p>
      <w:pPr>
        <w:pStyle w:val="BodyText"/>
        <w:bidi w:val="0"/>
        <w:spacing w:lineRule="auto" w:line="240"/>
        <w:jc w:val="start"/>
        <w:rPr/>
      </w:pPr>
      <w:r>
        <w:rPr/>
      </w:r>
    </w:p>
    <w:p>
      <w:pPr>
        <w:pStyle w:val="BodyText"/>
        <w:bidi w:val="0"/>
        <w:spacing w:lineRule="auto" w:line="240"/>
        <w:jc w:val="start"/>
        <w:rPr/>
      </w:pPr>
      <w:r>
        <w:rPr/>
      </w:r>
    </w:p>
    <w:p>
      <w:pPr>
        <w:pStyle w:val="BodyText"/>
        <w:bidi w:val="0"/>
        <w:spacing w:lineRule="auto" w:line="240"/>
        <w:jc w:val="start"/>
        <w:rPr/>
      </w:pPr>
      <w:r>
        <w:rPr/>
      </w:r>
    </w:p>
    <w:p>
      <w:pPr>
        <w:pStyle w:val="BodyText"/>
        <w:bidi w:val="0"/>
        <w:spacing w:lineRule="auto" w:line="240"/>
        <w:jc w:val="start"/>
        <w:rPr/>
      </w:pPr>
      <w:r>
        <w:rPr/>
      </w:r>
    </w:p>
    <w:p>
      <w:pPr>
        <w:pStyle w:val="BodyText"/>
        <w:bidi w:val="0"/>
        <w:spacing w:lineRule="auto" w:line="240"/>
        <w:jc w:val="start"/>
        <w:rPr/>
      </w:pPr>
      <w:r>
        <w:rPr/>
      </w:r>
    </w:p>
    <w:p>
      <w:pPr>
        <w:pStyle w:val="BodyText"/>
        <w:bidi w:val="0"/>
        <w:spacing w:lineRule="auto" w:line="240"/>
        <w:jc w:val="start"/>
        <w:rPr/>
      </w:pPr>
      <w:r>
        <w:rPr/>
      </w:r>
    </w:p>
    <w:p>
      <w:pPr>
        <w:pStyle w:val="BodyText"/>
        <w:bidi w:val="0"/>
        <w:spacing w:lineRule="auto" w:line="240"/>
        <w:jc w:val="start"/>
        <w:rPr/>
      </w:pPr>
      <w:r>
        <w:rPr/>
      </w:r>
    </w:p>
    <w:p>
      <w:pPr>
        <w:pStyle w:val="BodyText"/>
        <w:bidi w:val="0"/>
        <w:spacing w:lineRule="auto" w:line="240"/>
        <w:jc w:val="start"/>
        <w:rPr/>
      </w:pPr>
      <w:r>
        <w:rPr/>
      </w:r>
    </w:p>
    <w:p>
      <w:pPr>
        <w:pStyle w:val="BodyText"/>
        <w:bidi w:val="0"/>
        <w:spacing w:lineRule="auto" w:line="240"/>
        <w:jc w:val="start"/>
        <w:rPr/>
      </w:pPr>
      <w:r>
        <w:rPr/>
      </w:r>
    </w:p>
    <w:p>
      <w:pPr>
        <w:pStyle w:val="BodyText"/>
        <w:bidi w:val="0"/>
        <w:spacing w:lineRule="auto" w:line="240"/>
        <w:jc w:val="start"/>
        <w:rPr/>
      </w:pPr>
      <w:r>
        <w:rPr/>
      </w:r>
    </w:p>
    <w:p>
      <w:pPr>
        <w:pStyle w:val="BodyText"/>
        <w:bidi w:val="0"/>
        <w:spacing w:lineRule="auto" w:line="240"/>
        <w:jc w:val="start"/>
        <w:rPr/>
      </w:pPr>
      <w:r>
        <w:rPr/>
      </w:r>
    </w:p>
    <w:p>
      <w:pPr>
        <w:pStyle w:val="BodyText"/>
        <w:bidi w:val="0"/>
        <w:spacing w:lineRule="auto" w:line="240"/>
        <w:jc w:val="start"/>
        <w:rPr/>
      </w:pPr>
      <w:r>
        <w:rPr/>
      </w:r>
    </w:p>
    <w:p>
      <w:pPr>
        <w:pStyle w:val="BodyText"/>
        <w:bidi w:val="0"/>
        <w:spacing w:lineRule="auto" w:line="240"/>
        <w:jc w:val="start"/>
        <w:rPr/>
      </w:pPr>
      <w:r>
        <w:rPr/>
      </w:r>
    </w:p>
    <w:p>
      <w:pPr>
        <w:pStyle w:val="BodyText"/>
        <w:bidi w:val="0"/>
        <w:spacing w:lineRule="auto" w:line="240"/>
        <w:jc w:val="start"/>
        <w:rPr/>
      </w:pPr>
      <w:r>
        <w:rPr/>
      </w:r>
    </w:p>
    <w:p>
      <w:pPr>
        <w:pStyle w:val="BodyText"/>
        <w:bidi w:val="0"/>
        <w:spacing w:lineRule="auto" w:line="240"/>
        <w:jc w:val="start"/>
        <w:rPr/>
      </w:pPr>
      <w:r>
        <w:rPr/>
      </w:r>
    </w:p>
    <w:p>
      <w:pPr>
        <w:pStyle w:val="BodyText"/>
        <w:bidi w:val="0"/>
        <w:spacing w:lineRule="auto" w:line="240"/>
        <w:jc w:val="start"/>
        <w:rPr/>
      </w:pPr>
      <w:r>
        <w:rPr/>
      </w:r>
    </w:p>
    <w:p>
      <w:pPr>
        <w:pStyle w:val="BodyText"/>
        <w:bidi w:val="0"/>
        <w:spacing w:lineRule="auto" w:line="240"/>
        <w:jc w:val="start"/>
        <w:rPr/>
      </w:pPr>
      <w:r>
        <w:rPr/>
      </w:r>
    </w:p>
    <w:p>
      <w:pPr>
        <w:pStyle w:val="IndexHeading"/>
        <w:suppressLineNumbers/>
        <w:bidi w:val="0"/>
        <w:ind w:hanging="0" w:start="0"/>
        <w:jc w:val="start"/>
        <w:rPr/>
      </w:pPr>
      <w:r>
        <w:rPr/>
        <w:t>Stichwortverzeichnis</w:t>
      </w:r>
    </w:p>
    <w:p>
      <w:pPr>
        <w:pStyle w:val="Index1"/>
        <w:tabs>
          <w:tab w:val="clear" w:pos="709"/>
          <w:tab w:val="right" w:pos="9638" w:leader="dot"/>
        </w:tabs>
        <w:bidi w:val="0"/>
        <w:jc w:val="start"/>
        <w:rPr/>
      </w:pPr>
      <w:r>
        <w:fldChar w:fldCharType="begin"/>
      </w:r>
      <w:r>
        <w:rPr/>
        <w:instrText xml:space="preserve"> INDEX \e "</w:instrText>
        <w:tab/>
        <w:instrText xml:space="preserve">" </w:instrText>
      </w:r>
      <w:r>
        <w:rPr/>
        <w:fldChar w:fldCharType="separate"/>
      </w:r>
      <w:r>
        <w:rPr/>
        <w:t>abhängig</w:t>
        <w:tab/>
        <w:t>5, 9</w:t>
      </w:r>
    </w:p>
    <w:p>
      <w:pPr>
        <w:pStyle w:val="Index1"/>
        <w:tabs>
          <w:tab w:val="clear" w:pos="709"/>
          <w:tab w:val="right" w:pos="9638" w:leader="dot"/>
        </w:tabs>
        <w:bidi w:val="0"/>
        <w:jc w:val="start"/>
        <w:rPr/>
      </w:pPr>
      <w:r>
        <w:rPr/>
        <w:t>Abhängig</w:t>
        <w:tab/>
        <w:t>9</w:t>
      </w:r>
    </w:p>
    <w:p>
      <w:pPr>
        <w:pStyle w:val="Index1"/>
        <w:tabs>
          <w:tab w:val="clear" w:pos="709"/>
          <w:tab w:val="right" w:pos="9638" w:leader="dot"/>
        </w:tabs>
        <w:bidi w:val="0"/>
        <w:jc w:val="start"/>
        <w:rPr/>
      </w:pPr>
      <w:r>
        <w:rPr/>
        <w:t>Glücksspiel</w:t>
        <w:tab/>
        <w:t>2, 11ff., 16</w:t>
      </w:r>
    </w:p>
    <w:p>
      <w:pPr>
        <w:pStyle w:val="Index1"/>
        <w:tabs>
          <w:tab w:val="clear" w:pos="709"/>
          <w:tab w:val="right" w:pos="9638" w:leader="dot"/>
        </w:tabs>
        <w:bidi w:val="0"/>
        <w:jc w:val="start"/>
        <w:rPr/>
      </w:pPr>
      <w:r>
        <w:rPr/>
        <w:t>Hot-State</w:t>
        <w:tab/>
        <w:t>7f.</w:t>
      </w:r>
    </w:p>
    <w:p>
      <w:pPr>
        <w:pStyle w:val="Index1"/>
        <w:tabs>
          <w:tab w:val="clear" w:pos="709"/>
          <w:tab w:val="right" w:pos="9638" w:leader="dot"/>
        </w:tabs>
        <w:bidi w:val="0"/>
        <w:jc w:val="start"/>
        <w:rPr/>
      </w:pPr>
      <w:r>
        <w:rPr/>
        <w:t>IGD</w:t>
        <w:tab/>
        <w:t>3ff., 14</w:t>
      </w:r>
    </w:p>
    <w:p>
      <w:pPr>
        <w:pStyle w:val="Index1"/>
        <w:tabs>
          <w:tab w:val="clear" w:pos="709"/>
          <w:tab w:val="right" w:pos="9638" w:leader="dot"/>
        </w:tabs>
        <w:bidi w:val="0"/>
        <w:jc w:val="start"/>
        <w:rPr/>
      </w:pPr>
      <w:r>
        <w:rPr/>
        <w:t>Mikrotransaktionen</w:t>
        <w:tab/>
        <w:t>4f.</w:t>
      </w:r>
    </w:p>
    <w:p>
      <w:pPr>
        <w:pStyle w:val="Index1"/>
        <w:tabs>
          <w:tab w:val="clear" w:pos="709"/>
          <w:tab w:val="right" w:pos="9638" w:leader="dot"/>
        </w:tabs>
        <w:bidi w:val="0"/>
        <w:jc w:val="start"/>
        <w:rPr/>
      </w:pPr>
      <w:r>
        <w:rPr/>
        <w:t>nudging</w:t>
        <w:tab/>
        <w:t>1</w:t>
      </w:r>
    </w:p>
    <w:p>
      <w:pPr>
        <w:pStyle w:val="Index1"/>
        <w:tabs>
          <w:tab w:val="clear" w:pos="709"/>
          <w:tab w:val="right" w:pos="9638" w:leader="dot"/>
        </w:tabs>
        <w:bidi w:val="0"/>
        <w:jc w:val="start"/>
        <w:rPr/>
      </w:pPr>
      <w:r>
        <w:rPr/>
        <w:t>Nudging</w:t>
        <w:tab/>
        <w:t>4, 6, 9, 14</w:t>
      </w:r>
    </w:p>
    <w:p>
      <w:pPr>
        <w:pStyle w:val="Index1"/>
        <w:tabs>
          <w:tab w:val="clear" w:pos="709"/>
          <w:tab w:val="right" w:pos="9638" w:leader="dot"/>
        </w:tabs>
        <w:bidi w:val="0"/>
        <w:jc w:val="start"/>
        <w:rPr/>
      </w:pPr>
      <w:r>
        <w:rPr/>
        <w:t>psychologie</w:t>
        <w:tab/>
        <w:t>16</w:t>
      </w:r>
    </w:p>
    <w:p>
      <w:pPr>
        <w:pStyle w:val="Index1"/>
        <w:tabs>
          <w:tab w:val="clear" w:pos="709"/>
          <w:tab w:val="right" w:pos="9638" w:leader="dot"/>
        </w:tabs>
        <w:bidi w:val="0"/>
        <w:jc w:val="start"/>
        <w:rPr/>
      </w:pPr>
      <w:r>
        <w:rPr/>
        <w:t>Psychologie</w:t>
        <w:tab/>
        <w:t>9</w:t>
      </w:r>
    </w:p>
    <w:p>
      <w:pPr>
        <w:pStyle w:val="Index1"/>
        <w:tabs>
          <w:tab w:val="clear" w:pos="709"/>
          <w:tab w:val="right" w:pos="9638" w:leader="dot"/>
        </w:tabs>
        <w:bidi w:val="0"/>
        <w:jc w:val="start"/>
        <w:rPr/>
      </w:pPr>
      <w:r>
        <w:rPr/>
        <w:t>süchtig</w:t>
        <w:tab/>
        <w:t>5, 11</w:t>
      </w:r>
    </w:p>
    <w:p>
      <w:pPr>
        <w:pStyle w:val="Index1"/>
        <w:tabs>
          <w:tab w:val="clear" w:pos="709"/>
          <w:tab w:val="right" w:pos="9638" w:leader="dot"/>
        </w:tabs>
        <w:bidi w:val="0"/>
        <w:jc w:val="start"/>
        <w:rPr/>
      </w:pPr>
      <w:r>
        <w:rPr/>
        <w:t>Timer</w:t>
        <w:tab/>
        <w:t>8, 10</w:t>
      </w:r>
      <w:r>
        <w:rPr/>
        <w:fldChar w:fldCharType="end"/>
      </w:r>
    </w:p>
    <w:p>
      <w:pPr>
        <w:pStyle w:val="BodyText"/>
        <w:bidi w:val="0"/>
        <w:spacing w:before="0" w:after="140"/>
        <w:jc w:val="start"/>
        <w:rPr/>
      </w:pPr>
      <w:r>
        <w:rPr/>
      </w:r>
    </w:p>
    <w:sectPr>
      <w:footerReference w:type="default" r:id="rId23"/>
      <w:type w:val="nextPage"/>
      <w:pgSz w:w="11906" w:h="16838"/>
      <w:pgMar w:left="1134" w:right="1134" w:gutter="0" w:header="0" w:top="1134" w:footer="1134" w:bottom="1693"/>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2"/>
    <w:family w:val="auto"/>
    <w:pitch w:val="default"/>
  </w:font>
  <w:font w:name="Liberation Sans">
    <w:altName w:val="Arial"/>
    <w:charset w:val="00" w:characterSet="windows-1252"/>
    <w:family w:val="swiss"/>
    <w:pitch w:val="variable"/>
  </w:font>
  <w:font w:name="Palatino Linotype">
    <w:charset w:val="00" w:characterSet="windows-1252"/>
    <w:family w:val="roman"/>
    <w:pitch w:val="variable"/>
  </w:font>
  <w:font w:name="Liberation Mono">
    <w:altName w:val="Courier New"/>
    <w:charset w:val="00" w:characterSet="windows-1252"/>
    <w:family w:val="modern"/>
    <w:pitch w:val="fixed"/>
  </w:font>
  <w:font w:name="Liberation Serif">
    <w:altName w:val="Times New Roman"/>
    <w:charset w:val="00" w:characterSet="windows-125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end"/>
      <w:rPr/>
    </w:pPr>
    <w:bookmarkStart w:id="20" w:name="PageNumWizard_FOOTER_Standard4"/>
    <w:r>
      <w:rPr/>
      <w:fldChar w:fldCharType="begin"/>
    </w:r>
    <w:r>
      <w:rPr/>
      <w:instrText xml:space="preserve"> PAGE </w:instrText>
    </w:r>
    <w:r>
      <w:rPr/>
      <w:fldChar w:fldCharType="separate"/>
    </w:r>
    <w:r>
      <w:rPr/>
      <w:t>16</w:t>
    </w:r>
    <w:r>
      <w:rPr/>
      <w:fldChar w:fldCharType="end"/>
    </w:r>
    <w:bookmarkEnd w:id="20"/>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start"/>
      <w:pPr>
        <w:tabs>
          <w:tab w:val="num" w:pos="0"/>
        </w:tabs>
        <w:ind w:start="0" w:hanging="0"/>
      </w:pPr>
    </w:lvl>
    <w:lvl w:ilvl="1">
      <w:start w:val="1"/>
      <w:pStyle w:val="Heading2"/>
      <w:numFmt w:val="none"/>
      <w:suff w:val="nothing"/>
      <w:lvlText w:val="%2"/>
      <w:lvlJc w:val="start"/>
      <w:pPr>
        <w:tabs>
          <w:tab w:val="num" w:pos="0"/>
        </w:tabs>
        <w:ind w:start="0" w:hanging="0"/>
      </w:pPr>
    </w:lvl>
    <w:lvl w:ilvl="2">
      <w:start w:val="1"/>
      <w:pStyle w:val="Heading3"/>
      <w:numFmt w:val="none"/>
      <w:suff w:val="nothing"/>
      <w:lvlText w:val="%3"/>
      <w:lvlJc w:val="start"/>
      <w:pPr>
        <w:tabs>
          <w:tab w:val="num" w:pos="0"/>
        </w:tabs>
        <w:ind w:start="0" w:hanging="0"/>
      </w:pPr>
    </w:lvl>
    <w:lvl w:ilvl="3">
      <w:start w:val="1"/>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numFmt w:val="none"/>
      <w:suff w:val="nothing"/>
      <w:lvlText w:val="%7"/>
      <w:lvlJc w:val="start"/>
      <w:pPr>
        <w:tabs>
          <w:tab w:val="num" w:pos="0"/>
        </w:tabs>
        <w:ind w:start="0" w:hanging="0"/>
      </w:pPr>
    </w:lvl>
    <w:lvl w:ilvl="7">
      <w:start w:val="1"/>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num w:numId="1">
    <w:abstractNumId w:val="1"/>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Unicode MS"/>
        <w:kern w:val="2"/>
        <w:sz w:val="24"/>
        <w:szCs w:val="24"/>
        <w:lang w:val="de-DE"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SimSun" w:cs="Arial Unicode MS"/>
      <w:color w:val="auto"/>
      <w:kern w:val="2"/>
      <w:sz w:val="24"/>
      <w:szCs w:val="24"/>
      <w:lang w:val="de-DE" w:eastAsia="zh-CN" w:bidi="hi-IN"/>
    </w:rPr>
  </w:style>
  <w:style w:type="paragraph" w:styleId="Heading1">
    <w:name w:val="Heading 1"/>
    <w:basedOn w:val="Berschrift"/>
    <w:next w:val="BodyText"/>
    <w:qFormat/>
    <w:pPr>
      <w:numPr>
        <w:ilvl w:val="0"/>
        <w:numId w:val="1"/>
      </w:numPr>
      <w:spacing w:before="240" w:after="120"/>
      <w:outlineLvl w:val="0"/>
    </w:pPr>
    <w:rPr>
      <w:b/>
      <w:bCs/>
      <w:sz w:val="36"/>
      <w:szCs w:val="36"/>
    </w:rPr>
  </w:style>
  <w:style w:type="paragraph" w:styleId="Heading2">
    <w:name w:val="Heading 2"/>
    <w:basedOn w:val="Berschrift"/>
    <w:next w:val="BodyText"/>
    <w:qFormat/>
    <w:pPr>
      <w:numPr>
        <w:ilvl w:val="1"/>
        <w:numId w:val="1"/>
      </w:numPr>
      <w:spacing w:before="200" w:after="120"/>
      <w:outlineLvl w:val="1"/>
    </w:pPr>
    <w:rPr>
      <w:b/>
      <w:bCs/>
      <w:sz w:val="32"/>
      <w:szCs w:val="32"/>
    </w:rPr>
  </w:style>
  <w:style w:type="paragraph" w:styleId="Heading3">
    <w:name w:val="Heading 3"/>
    <w:basedOn w:val="Berschrift"/>
    <w:next w:val="BodyText"/>
    <w:qFormat/>
    <w:pPr>
      <w:numPr>
        <w:ilvl w:val="2"/>
        <w:numId w:val="1"/>
      </w:numPr>
      <w:spacing w:before="140" w:after="120"/>
      <w:outlineLvl w:val="2"/>
    </w:pPr>
    <w:rPr>
      <w:b/>
      <w:bCs/>
      <w:sz w:val="28"/>
      <w:szCs w:val="28"/>
    </w:rPr>
  </w:style>
  <w:style w:type="paragraph" w:styleId="Heading4">
    <w:name w:val="Heading 4"/>
    <w:basedOn w:val="Berschrift"/>
    <w:next w:val="BodyText"/>
    <w:qFormat/>
    <w:pPr>
      <w:numPr>
        <w:ilvl w:val="0"/>
        <w:numId w:val="0"/>
      </w:numPr>
      <w:spacing w:before="120" w:after="120"/>
      <w:outlineLvl w:val="3"/>
    </w:pPr>
    <w:rPr>
      <w:rFonts w:ascii="Liberation Serif" w:hAnsi="Liberation Serif" w:eastAsia="NSimSun" w:cs="Arial Unicode MS"/>
      <w:b/>
      <w:bCs/>
      <w:sz w:val="24"/>
      <w:szCs w:val="24"/>
    </w:rPr>
  </w:style>
  <w:style w:type="character" w:styleId="Hyperlink">
    <w:name w:val="Hyperlink"/>
    <w:rPr>
      <w:color w:val="000080"/>
      <w:u w:val="single"/>
    </w:rPr>
  </w:style>
  <w:style w:type="character" w:styleId="Verzeichnissprung">
    <w:name w:val="Verzeichnissprung"/>
    <w:qFormat/>
    <w:rPr/>
  </w:style>
  <w:style w:type="character" w:styleId="FollowedHyperlink">
    <w:name w:val="FollowedHyperlink"/>
    <w:rPr>
      <w:color w:val="800000"/>
      <w:u w:val="single"/>
    </w:rPr>
  </w:style>
  <w:style w:type="character" w:styleId="Aufzhlungszeichen">
    <w:name w:val="Aufzählungszeichen"/>
    <w:qFormat/>
    <w:rPr>
      <w:rFonts w:ascii="OpenSymbol" w:hAnsi="OpenSymbol" w:eastAsia="OpenSymbol" w:cs="OpenSymbol"/>
    </w:rPr>
  </w:style>
  <w:style w:type="character" w:styleId="Nummerierungszeichen">
    <w:name w:val="Nummerierungszeichen"/>
    <w:qFormat/>
    <w:rPr/>
  </w:style>
  <w:style w:type="paragraph" w:styleId="Berschrift">
    <w:name w:val="Überschrift"/>
    <w:basedOn w:val="Normal"/>
    <w:next w:val="BodyText"/>
    <w:qFormat/>
    <w:pPr>
      <w:keepNext w:val="true"/>
      <w:spacing w:before="240" w:after="120"/>
    </w:pPr>
    <w:rPr>
      <w:rFonts w:ascii="Liberation Sans" w:hAnsi="Liberation Sans" w:eastAsia="Microsoft YaHei" w:cs="Arial Unicode MS"/>
      <w:sz w:val="28"/>
      <w:szCs w:val="28"/>
    </w:rPr>
  </w:style>
  <w:style w:type="paragraph" w:styleId="BodyText">
    <w:name w:val="Body Text"/>
    <w:basedOn w:val="Normal"/>
    <w:pPr>
      <w:spacing w:lineRule="auto" w:line="276" w:before="0" w:after="140"/>
    </w:pPr>
    <w:rPr>
      <w:rFonts w:ascii="Palatino Linotype" w:hAnsi="Palatino Linotype"/>
      <w:i w:val="false"/>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Verzeichnis">
    <w:name w:val="Verzeichnis"/>
    <w:basedOn w:val="Normal"/>
    <w:qFormat/>
    <w:pPr>
      <w:suppressLineNumbers/>
    </w:pPr>
    <w:rPr>
      <w:rFonts w:cs="Arial Unicode MS"/>
    </w:rPr>
  </w:style>
  <w:style w:type="paragraph" w:styleId="Title">
    <w:name w:val="Title"/>
    <w:basedOn w:val="Berschrift"/>
    <w:next w:val="BodyText"/>
    <w:qFormat/>
    <w:pPr>
      <w:jc w:val="center"/>
    </w:pPr>
    <w:rPr>
      <w:b/>
      <w:bCs/>
      <w:sz w:val="56"/>
      <w:szCs w:val="56"/>
    </w:rPr>
  </w:style>
  <w:style w:type="paragraph" w:styleId="Subtitle">
    <w:name w:val="Subtitle"/>
    <w:basedOn w:val="Berschrift"/>
    <w:next w:val="BodyText"/>
    <w:qFormat/>
    <w:pPr>
      <w:spacing w:before="60" w:after="120"/>
      <w:jc w:val="center"/>
    </w:pPr>
    <w:rPr>
      <w:sz w:val="36"/>
      <w:szCs w:val="36"/>
    </w:rPr>
  </w:style>
  <w:style w:type="paragraph" w:styleId="Kopf-undFuzeile">
    <w:name w:val="Kopf- und Fußzeile"/>
    <w:basedOn w:val="Normal"/>
    <w:qFormat/>
    <w:pPr>
      <w:suppressLineNumbers/>
      <w:tabs>
        <w:tab w:val="clear" w:pos="709"/>
        <w:tab w:val="center" w:pos="4819" w:leader="none"/>
        <w:tab w:val="right" w:pos="9638" w:leader="none"/>
      </w:tabs>
    </w:pPr>
    <w:rPr/>
  </w:style>
  <w:style w:type="paragraph" w:styleId="Header">
    <w:name w:val="Header"/>
    <w:basedOn w:val="Kopf-undFuzeile"/>
    <w:pPr>
      <w:suppressLineNumbers/>
    </w:pPr>
    <w:rPr/>
  </w:style>
  <w:style w:type="paragraph" w:styleId="IndexHeading">
    <w:name w:val="Index Heading"/>
    <w:basedOn w:val="Berschrift"/>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Verzeichnis"/>
    <w:pPr>
      <w:tabs>
        <w:tab w:val="clear" w:pos="709"/>
        <w:tab w:val="right" w:pos="9638" w:leader="dot"/>
      </w:tabs>
      <w:ind w:hanging="0" w:start="0"/>
    </w:pPr>
    <w:rPr/>
  </w:style>
  <w:style w:type="paragraph" w:styleId="VorformatierterText">
    <w:name w:val="Vorformatierter Text"/>
    <w:basedOn w:val="Normal"/>
    <w:qFormat/>
    <w:pPr>
      <w:spacing w:before="0" w:after="0"/>
    </w:pPr>
    <w:rPr>
      <w:rFonts w:ascii="Liberation Mono" w:hAnsi="Liberation Mono" w:eastAsia="NSimSun" w:cs="Liberation Mono"/>
      <w:sz w:val="20"/>
      <w:szCs w:val="20"/>
    </w:rPr>
  </w:style>
  <w:style w:type="paragraph" w:styleId="TOC2">
    <w:name w:val="TOC 2"/>
    <w:basedOn w:val="Verzeichnis"/>
    <w:pPr>
      <w:tabs>
        <w:tab w:val="clear" w:pos="709"/>
        <w:tab w:val="right" w:pos="9638" w:leader="dot"/>
      </w:tabs>
      <w:ind w:hanging="0" w:start="283"/>
    </w:pPr>
    <w:rPr/>
  </w:style>
  <w:style w:type="paragraph" w:styleId="Abbildung">
    <w:name w:val="Abbildung"/>
    <w:basedOn w:val="Caption"/>
    <w:qFormat/>
    <w:pPr/>
    <w:rPr/>
  </w:style>
  <w:style w:type="paragraph" w:styleId="TOC3">
    <w:name w:val="TOC 3"/>
    <w:basedOn w:val="Verzeichnis"/>
    <w:pPr>
      <w:tabs>
        <w:tab w:val="clear" w:pos="709"/>
        <w:tab w:val="right" w:pos="9638" w:leader="dot"/>
      </w:tabs>
      <w:ind w:hanging="0" w:start="567"/>
    </w:pPr>
    <w:rPr/>
  </w:style>
  <w:style w:type="paragraph" w:styleId="Rahmeninhalt">
    <w:name w:val="Rahmeninhalt"/>
    <w:basedOn w:val="Normal"/>
    <w:qFormat/>
    <w:pPr/>
    <w:rPr/>
  </w:style>
  <w:style w:type="paragraph" w:styleId="Blockzitat">
    <w:name w:val="Blockzitat"/>
    <w:basedOn w:val="Normal"/>
    <w:qFormat/>
    <w:pPr>
      <w:spacing w:before="0" w:after="283"/>
      <w:ind w:hanging="0" w:start="567" w:end="567"/>
    </w:pPr>
    <w:rPr>
      <w:rFonts w:ascii="Palatino Linotype" w:hAnsi="Palatino Linotype"/>
      <w:i/>
    </w:rPr>
  </w:style>
  <w:style w:type="paragraph" w:styleId="Footer">
    <w:name w:val="Footer"/>
    <w:basedOn w:val="Kopf-undFuzeile"/>
    <w:pPr>
      <w:suppressLineNumbers/>
    </w:pPr>
    <w:rPr/>
  </w:style>
  <w:style w:type="paragraph" w:styleId="Index1">
    <w:name w:val="Index 1"/>
    <w:basedOn w:val="Verzeichnis"/>
    <w:pPr>
      <w:ind w:hanging="0" w:start="0"/>
    </w:pPr>
    <w:rPr/>
  </w:style>
  <w:style w:type="numbering" w:styleId="Aufzhlungszeichen1">
    <w:name w:val="Aufzählungszeichen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similarweb.com/top-apps/google/games/top-grossing/" TargetMode="External"/><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hyperlink" Target="https://doi.org/10.1145/3491102.3502056" TargetMode="External"/><Relationship Id="rId13" Type="http://schemas.openxmlformats.org/officeDocument/2006/relationships/hyperlink" Target="https://www.sciencedirect.com/science/article/pii/S0306460316301101" TargetMode="External"/><Relationship Id="rId14" Type="http://schemas.openxmlformats.org/officeDocument/2006/relationships/hyperlink" Target="https://rdcu.be/dw1se" TargetMode="External"/><Relationship Id="rId15" Type="http://schemas.openxmlformats.org/officeDocument/2006/relationships/hyperlink" Target="https://recht.nrw.de/lmi/owa/br_vbl_show_pdf?p_id=10742" TargetMode="External"/><Relationship Id="rId16" Type="http://schemas.openxmlformats.org/officeDocument/2006/relationships/hyperlink" Target="https://www.scribbr.de/kommasetzung-pruefen/" TargetMode="External"/><Relationship Id="rId17" Type="http://schemas.openxmlformats.org/officeDocument/2006/relationships/hyperlink" Target="https://www.game.de/free-to-play-games-vom-smartphone-in-die-esports-arenen/" TargetMode="External"/><Relationship Id="rId18" Type="http://schemas.openxmlformats.org/officeDocument/2006/relationships/hyperlink" Target="https://www.youtube.com/watch?v=xNjI03CGkb4" TargetMode="External"/><Relationship Id="rId19" Type="http://schemas.openxmlformats.org/officeDocument/2006/relationships/hyperlink" Target="https://www.fv-medienabhaengigkeit.de/fileadmin/images/Dateien/Handlungsempfehlungen_Free-to-Play-Games_02-2015.pdf" TargetMode="External"/><Relationship Id="rId20" Type="http://schemas.openxmlformats.org/officeDocument/2006/relationships/hyperlink" Target="https://www.similarweb.com/top-apps/google/games/top-grossing/" TargetMode="External"/><Relationship Id="rId21" Type="http://schemas.openxmlformats.org/officeDocument/2006/relationships/hyperlink" Target="https://www.psychologie.uzh.ch/de/bereiche/dev/lifespan/erleben/berichte/verlustaversion.html" TargetMode="External"/><Relationship Id="rId22" Type="http://schemas.openxmlformats.org/officeDocument/2006/relationships/hyperlink" Target="https://usk.de/simuliertes-gluecksspiel-und-jugendschutz/" TargetMode="External"/><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400</TotalTime>
  <Application>LibreOffice/7.6.2.1$Windows_X86_64 LibreOffice_project/56f7684011345957bbf33a7ee678afaf4d2ba333</Application>
  <AppVersion>15.0000</AppVersion>
  <Pages>18</Pages>
  <Words>2629</Words>
  <Characters>16818</Characters>
  <CharactersWithSpaces>19316</CharactersWithSpaces>
  <Paragraphs>142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2024-01-22T11:13:42Z</dcterms:created>
  <dc:creator/>
  <dc:description/>
  <dc:language>de-DE</dc:language>
  <cp:lastModifiedBy/>
  <cp:lastPrinted>2024-01-27T16:22:31Z</cp:lastPrinted>
  <dcterms:modified xsi:type="dcterms:W3CDTF">2024-01-27T16:22:25Z</dcterms:modified>
  <cp:revision>22</cp:revision>
  <dc:subject/>
  <dc:title/>
</cp:coreProperties>
</file>