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E0B6CC" w14:textId="561AAD73" w:rsidR="00140E3D" w:rsidRPr="00140E3D" w:rsidRDefault="00140E3D" w:rsidP="00720F6B">
      <w:pPr>
        <w:spacing w:line="240" w:lineRule="auto"/>
        <w:jc w:val="center"/>
        <w:outlineLvl w:val="0"/>
        <w:rPr>
          <w:rFonts w:ascii="Arial" w:eastAsia="Times New Roman" w:hAnsi="Arial" w:cs="Times New Roman"/>
          <w:b/>
          <w:bCs/>
          <w:color w:val="1F1F1F"/>
          <w:kern w:val="36"/>
          <w:sz w:val="28"/>
          <w:szCs w:val="28"/>
          <w14:ligatures w14:val="none"/>
        </w:rPr>
      </w:pPr>
      <w:r w:rsidRPr="00140E3D">
        <w:rPr>
          <w:rFonts w:ascii="Arial" w:eastAsia="Times New Roman" w:hAnsi="Arial" w:cs="Times New Roman"/>
          <w:b/>
          <w:bCs/>
          <w:color w:val="1F1F1F"/>
          <w:kern w:val="36"/>
          <w:sz w:val="28"/>
          <w:szCs w:val="28"/>
          <w14:ligatures w14:val="none"/>
        </w:rPr>
        <w:t>SCIENTIFIC METHODOLOGY — LIGHT MICROSCOPY</w:t>
      </w:r>
      <w:r w:rsidRPr="00B03809"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.</w:t>
      </w:r>
    </w:p>
    <w:p w14:paraId="2FD17652" w14:textId="4BC9B499" w:rsidR="00140E3D" w:rsidRPr="00140E3D" w:rsidRDefault="00140E3D" w:rsidP="00720F6B">
      <w:pPr>
        <w:spacing w:line="240" w:lineRule="auto"/>
        <w:jc w:val="both"/>
        <w:rPr>
          <w:rFonts w:ascii="Arial" w:eastAsia="Times New Roman" w:hAnsi="Arial" w:cs="Times New Roman"/>
          <w:color w:val="1F1F1F"/>
          <w:kern w:val="0"/>
          <w:lang w:val="en-US"/>
          <w14:ligatures w14:val="none"/>
        </w:rPr>
      </w:pPr>
    </w:p>
    <w:p w14:paraId="11B4E2D6" w14:textId="7FA743F2" w:rsidR="00140E3D" w:rsidRPr="002821EB" w:rsidRDefault="00140E3D" w:rsidP="002821EB">
      <w:pPr>
        <w:pStyle w:val="ListParagraph"/>
        <w:numPr>
          <w:ilvl w:val="0"/>
          <w:numId w:val="6"/>
        </w:numPr>
        <w:spacing w:line="240" w:lineRule="auto"/>
        <w:jc w:val="both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2821EB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14:ligatures w14:val="none"/>
        </w:rPr>
        <w:t>Optical Micrograph Acquisition and Spatial Calibration</w:t>
      </w:r>
    </w:p>
    <w:p w14:paraId="78466BA4" w14:textId="77777777" w:rsidR="002821EB" w:rsidRPr="002821EB" w:rsidRDefault="002821EB" w:rsidP="002821EB">
      <w:pPr>
        <w:pStyle w:val="ListParagraph"/>
        <w:spacing w:line="240" w:lineRule="auto"/>
        <w:jc w:val="both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14:ligatures w14:val="none"/>
        </w:rPr>
      </w:pPr>
    </w:p>
    <w:p w14:paraId="4ABAE9C7" w14:textId="3C4ECE29" w:rsidR="002821EB" w:rsidRPr="002821EB" w:rsidRDefault="002821EB" w:rsidP="002821EB">
      <w:pPr>
        <w:spacing w:line="240" w:lineRule="auto"/>
        <w:jc w:val="both"/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</w:pPr>
      <w:r w:rsidRPr="002821EB"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  <w:t>1.1. Optical Micrograph Acquisition and Spatial Calibration</w:t>
      </w:r>
    </w:p>
    <w:p w14:paraId="636EE450" w14:textId="77777777" w:rsidR="00140E3D" w:rsidRDefault="00140E3D" w:rsidP="00720F6B">
      <w:pPr>
        <w:spacing w:line="240" w:lineRule="auto"/>
        <w:jc w:val="both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Brightfield transmitted-light micrographs of the emulsions were analyzed using </w:t>
      </w:r>
      <w:proofErr w:type="spellStart"/>
      <w:r w:rsidRPr="00B03809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PhasePix</w:t>
      </w:r>
      <w:proofErr w:type="spellEnd"/>
      <w:r w:rsidRPr="00B03809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(Quantitative Light Microscopy Emulsion Analyzer)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, a custom Python-based computer vision and colloidal morphometry platform. Spatial calibration (</w:t>
      </w:r>
      <m:oMath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μ</m:t>
        </m:r>
        <m:r>
          <m:rPr>
            <m:nor/>
          </m:rPr>
          <w:rPr>
            <w:rFonts w:ascii="Arial" w:eastAsia="Times New Roman" w:hAnsi="Arial" w:cs="Times New Roman"/>
            <w:color w:val="1F1F1F"/>
            <w:kern w:val="0"/>
            <w14:ligatures w14:val="none"/>
          </w:rPr>
          <m:t>m</m:t>
        </m:r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⋅</m:t>
        </m:r>
        <m:sSup>
          <m:sSupPr>
            <m:ctrlP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m:t>px</m:t>
            </m:r>
          </m:e>
          <m:sup>
            <m: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  <m:t>-1</m:t>
            </m:r>
          </m:sup>
        </m:sSup>
      </m:oMath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) was established using stage-micrometer-validated objective presets spanning </w:t>
      </w:r>
      <m:oMath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10×</m:t>
        </m:r>
      </m:oMath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to </w:t>
      </w:r>
      <m:oMath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100×</m:t>
        </m:r>
      </m:oMath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magnification (with and without </w:t>
      </w:r>
      <m:oMath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1.6×</m:t>
        </m:r>
      </m:oMath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Optovar magnification, corresponding to spatial resolutions from </w:t>
      </w:r>
      <m:oMath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0.7210 μ</m:t>
        </m:r>
        <m:r>
          <m:rPr>
            <m:nor/>
          </m:rPr>
          <w:rPr>
            <w:rFonts w:ascii="Arial" w:eastAsia="Times New Roman" w:hAnsi="Arial" w:cs="Times New Roman"/>
            <w:color w:val="1F1F1F"/>
            <w:kern w:val="0"/>
            <w14:ligatures w14:val="none"/>
          </w:rPr>
          <m:t>m</m:t>
        </m:r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⋅</m:t>
        </m:r>
        <m:sSup>
          <m:sSupPr>
            <m:ctrlP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m:t>px</m:t>
            </m:r>
          </m:e>
          <m:sup>
            <m: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  <m:t>-1</m:t>
            </m:r>
          </m:sup>
        </m:sSup>
      </m:oMath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at </w:t>
      </w:r>
      <m:oMath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10×</m:t>
        </m:r>
      </m:oMath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to </w:t>
      </w:r>
      <m:oMath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0.0467 μ</m:t>
        </m:r>
        <m:r>
          <m:rPr>
            <m:nor/>
          </m:rPr>
          <w:rPr>
            <w:rFonts w:ascii="Arial" w:eastAsia="Times New Roman" w:hAnsi="Arial" w:cs="Times New Roman"/>
            <w:color w:val="1F1F1F"/>
            <w:kern w:val="0"/>
            <w14:ligatures w14:val="none"/>
          </w:rPr>
          <m:t>m</m:t>
        </m:r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⋅</m:t>
        </m:r>
        <m:sSup>
          <m:sSupPr>
            <m:ctrlP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m:t>px</m:t>
            </m:r>
          </m:e>
          <m:sup>
            <m: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  <m:t>-1</m:t>
            </m:r>
          </m:sup>
        </m:sSup>
      </m:oMath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at </w:t>
      </w:r>
      <m:oMath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100×+1.6×</m:t>
        </m:r>
      </m:oMath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). Raw 8-bit and 16-bit TIFF micrographs were normalized to linear luminance space 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[0, 255]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for photometric evaluation, while calibrated scale bars were rendered directly onto exported micrographs according to the active objective coefficient.</w:t>
      </w: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</w:t>
      </w:r>
    </w:p>
    <w:p w14:paraId="3B14884C" w14:textId="77777777" w:rsidR="002821EB" w:rsidRDefault="002821EB" w:rsidP="00720F6B">
      <w:pPr>
        <w:spacing w:line="240" w:lineRule="auto"/>
        <w:jc w:val="both"/>
        <w:rPr>
          <w:rFonts w:ascii="Arial" w:eastAsia="Times New Roman" w:hAnsi="Arial" w:cs="Times New Roman"/>
          <w:color w:val="1F1F1F"/>
          <w:kern w:val="0"/>
          <w14:ligatures w14:val="none"/>
        </w:rPr>
      </w:pPr>
    </w:p>
    <w:p w14:paraId="002936BB" w14:textId="14F945AF" w:rsidR="002821EB" w:rsidRDefault="002821EB" w:rsidP="002821EB">
      <w:pPr>
        <w:spacing w:line="240" w:lineRule="auto"/>
        <w:jc w:val="both"/>
        <w:rPr>
          <w:rFonts w:ascii="Arial" w:eastAsia="Times New Roman" w:hAnsi="Arial" w:cs="Times New Roman"/>
          <w:b/>
          <w:bCs/>
          <w:color w:val="1F1F1F"/>
          <w:kern w:val="0"/>
          <w:lang w:val="uk-UA"/>
          <w14:ligatures w14:val="none"/>
        </w:rPr>
      </w:pPr>
      <w:r w:rsidRPr="002821EB"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  <w:t>1.2. Edge-Preserving Crystal Smoothing and Hierarchical Segmentation</w:t>
      </w:r>
    </w:p>
    <w:p w14:paraId="3C5928E8" w14:textId="3F03643C" w:rsidR="002821EB" w:rsidRPr="002821EB" w:rsidRDefault="002821EB" w:rsidP="002821EB">
      <w:pPr>
        <w:numPr>
          <w:ilvl w:val="0"/>
          <w:numId w:val="4"/>
        </w:numPr>
        <w:spacing w:line="240" w:lineRule="auto"/>
        <w:jc w:val="both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2821EB"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  <w:t xml:space="preserve"> </w:t>
      </w:r>
      <w:r w:rsidRPr="002821EB">
        <w:rPr>
          <w:rFonts w:ascii="Arial" w:eastAsia="Times New Roman" w:hAnsi="Arial" w:cs="Times New Roman"/>
          <w:color w:val="1F1F1F"/>
          <w:kern w:val="0"/>
          <w14:ligatures w14:val="none"/>
        </w:rPr>
        <w:t>In transmitted-light micrographs of crystallized emulsions, internal fat crystal needles create dark refractive striations that can cause neural networks to erroneously split single globules into fragments.</w:t>
      </w:r>
    </w:p>
    <w:p w14:paraId="43832EF6" w14:textId="77777777" w:rsidR="002821EB" w:rsidRPr="002821EB" w:rsidRDefault="002821EB" w:rsidP="002821EB">
      <w:pPr>
        <w:numPr>
          <w:ilvl w:val="0"/>
          <w:numId w:val="4"/>
        </w:numPr>
        <w:spacing w:line="240" w:lineRule="auto"/>
        <w:jc w:val="both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2821EB"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  <w:t>Pre-processing:</w:t>
      </w:r>
      <w:r w:rsidRPr="002821EB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If the crystallized profile is selected, the image undergoes edge-preserving smoothing (median filtering followed by bilateral filtering). This homogenizes the internal droplet texture while preserving the sharp outer refractive rims.</w:t>
      </w:r>
    </w:p>
    <w:p w14:paraId="1AAD75AD" w14:textId="77777777" w:rsidR="002821EB" w:rsidRPr="002821EB" w:rsidRDefault="002821EB" w:rsidP="002821EB">
      <w:pPr>
        <w:numPr>
          <w:ilvl w:val="0"/>
          <w:numId w:val="4"/>
        </w:numPr>
        <w:spacing w:line="240" w:lineRule="auto"/>
        <w:jc w:val="both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2821EB"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  <w:t>Multi-Scale Segmentation:</w:t>
      </w:r>
      <w:r w:rsidRPr="002821EB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A two-pass hierarchical strategy is applied. The first pass evaluates the image at a large target diameter with strong smoothing to capture large macro-globules intact. The second pass evaluates the remaining matrix at a smaller diameter. Small candidate masks that significantly overlap with already-captured large globules are rejected as internal crystal shards.</w:t>
      </w:r>
    </w:p>
    <w:p w14:paraId="7CF2FADA" w14:textId="77777777" w:rsidR="002821EB" w:rsidRDefault="002821EB" w:rsidP="002821EB">
      <w:pPr>
        <w:spacing w:line="240" w:lineRule="auto"/>
        <w:jc w:val="both"/>
        <w:rPr>
          <w:rFonts w:ascii="Arial" w:eastAsia="Times New Roman" w:hAnsi="Arial" w:cs="Times New Roman"/>
          <w:b/>
          <w:bCs/>
          <w:color w:val="1F1F1F"/>
          <w:kern w:val="0"/>
          <w:lang w:val="uk-UA"/>
          <w14:ligatures w14:val="none"/>
        </w:rPr>
      </w:pPr>
      <w:r w:rsidRPr="002821EB"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  <w:t>1.3. Automated Brightfield Diagnostics (AI Parameter Advisor)</w:t>
      </w:r>
    </w:p>
    <w:p w14:paraId="0B882D51" w14:textId="3BCE85E2" w:rsidR="002821EB" w:rsidRPr="002821EB" w:rsidRDefault="002821EB" w:rsidP="002821EB">
      <w:pPr>
        <w:spacing w:line="240" w:lineRule="auto"/>
        <w:jc w:val="both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2821EB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The brightfield diagnostic engine independently evaluates the structural geometry and the internal texture of the droplets:</w:t>
      </w:r>
    </w:p>
    <w:p w14:paraId="023F2A23" w14:textId="77777777" w:rsidR="002821EB" w:rsidRPr="002821EB" w:rsidRDefault="002821EB" w:rsidP="002821EB">
      <w:pPr>
        <w:numPr>
          <w:ilvl w:val="0"/>
          <w:numId w:val="5"/>
        </w:numPr>
        <w:spacing w:line="240" w:lineRule="auto"/>
        <w:jc w:val="both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2821EB"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  <w:t>Polarity and Packing Assessment:</w:t>
      </w:r>
      <w:r w:rsidRPr="002821EB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By isolating inter-droplet dark ridges via black-hat filtering, the engine determines the packing fraction and recommends whether to invert the brightfield image (required for dilute dark-rimmed droplets, but disabled for tightly packed bright-body globules).</w:t>
      </w:r>
    </w:p>
    <w:p w14:paraId="4C402C8C" w14:textId="77777777" w:rsidR="002821EB" w:rsidRPr="002821EB" w:rsidRDefault="002821EB" w:rsidP="002821EB">
      <w:pPr>
        <w:numPr>
          <w:ilvl w:val="0"/>
          <w:numId w:val="5"/>
        </w:numPr>
        <w:spacing w:line="240" w:lineRule="auto"/>
        <w:jc w:val="both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2821EB"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  <w:t>Internal Crystal Detection:</w:t>
      </w:r>
      <w:r w:rsidRPr="002821EB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Striation density and Laplacian high-frequency energy are measured strictly inside the eroded cores of the droplets to detect internal fat crystals. High internal variance automatically recommends the application of edge-preserving smoothing.</w:t>
      </w:r>
    </w:p>
    <w:p w14:paraId="54F9DAAA" w14:textId="77777777" w:rsidR="002821EB" w:rsidRPr="002821EB" w:rsidRDefault="002821EB" w:rsidP="002821EB">
      <w:pPr>
        <w:numPr>
          <w:ilvl w:val="0"/>
          <w:numId w:val="5"/>
        </w:numPr>
        <w:spacing w:line="240" w:lineRule="auto"/>
        <w:jc w:val="both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2821EB">
        <w:rPr>
          <w:rFonts w:ascii="Arial" w:eastAsia="Times New Roman" w:hAnsi="Arial" w:cs="Times New Roman"/>
          <w:b/>
          <w:bCs/>
          <w:color w:val="1F1F1F"/>
          <w:kern w:val="0"/>
          <w14:ligatures w14:val="none"/>
        </w:rPr>
        <w:t>Target Scale Estimation:</w:t>
      </w:r>
      <w:r w:rsidRPr="002821EB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Touching droplets are temporarily split using a marker-controlled watershed based on distance-transform maxima. For liquid emulsions, the recommended AI target scale is derived from an area-weighted mean diameter. For highly polydisperse or crystallized systems, a </w:t>
      </w:r>
      <w:proofErr w:type="spellStart"/>
      <w:r w:rsidRPr="002821EB">
        <w:rPr>
          <w:rFonts w:ascii="Arial" w:eastAsia="Times New Roman" w:hAnsi="Arial" w:cs="Times New Roman"/>
          <w:color w:val="1F1F1F"/>
          <w:kern w:val="0"/>
          <w14:ligatures w14:val="none"/>
        </w:rPr>
        <w:t>Winsorized</w:t>
      </w:r>
      <w:proofErr w:type="spellEnd"/>
      <w:r w:rsidRPr="002821EB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Sauter mean diameter (capped at the 85th percentile) is utilized to prevent a few large coalesced lobes from skewing the detection scale.</w:t>
      </w:r>
    </w:p>
    <w:p w14:paraId="3039B039" w14:textId="3D3AA0B3" w:rsidR="00140E3D" w:rsidRPr="002821EB" w:rsidRDefault="00140E3D" w:rsidP="00720F6B">
      <w:pPr>
        <w:spacing w:line="240" w:lineRule="auto"/>
        <w:jc w:val="both"/>
        <w:rPr>
          <w:rFonts w:ascii="Arial" w:eastAsia="Times New Roman" w:hAnsi="Arial" w:cs="Times New Roman"/>
          <w:color w:val="1F1F1F"/>
          <w:kern w:val="0"/>
          <w:lang w:val="uk-UA"/>
          <w14:ligatures w14:val="none"/>
        </w:rPr>
      </w:pPr>
    </w:p>
    <w:p w14:paraId="302A4869" w14:textId="77777777" w:rsidR="00140E3D" w:rsidRPr="00B03809" w:rsidRDefault="00140E3D" w:rsidP="00720F6B">
      <w:pPr>
        <w:spacing w:line="240" w:lineRule="auto"/>
        <w:jc w:val="both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B03809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14:ligatures w14:val="none"/>
        </w:rPr>
        <w:t>2. Optical Preprocessing and Deep Learning Droplet Segmentation</w:t>
      </w:r>
    </w:p>
    <w:p w14:paraId="6128A57B" w14:textId="77777777" w:rsidR="00140E3D" w:rsidRPr="00B03809" w:rsidRDefault="00140E3D" w:rsidP="00720F6B">
      <w:pPr>
        <w:spacing w:line="240" w:lineRule="auto"/>
        <w:jc w:val="both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Automated droplet segmentation was performed using the </w:t>
      </w:r>
      <w:proofErr w:type="spellStart"/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Cellpose</w:t>
      </w:r>
      <w:proofErr w:type="spellEnd"/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(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cyto2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) convolutional neural network architecture accelerated via Apple Silicon Metal Performance Shaders (MPS) / CUDA. To account for distinct optical signatures between liquid and crystalline lipid phases, two specialized preprocessing and inference pipelines were employed:</w:t>
      </w: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</w:t>
      </w:r>
    </w:p>
    <w:p w14:paraId="6F614881" w14:textId="0D33CB5F" w:rsidR="00140E3D" w:rsidRPr="00B03809" w:rsidRDefault="00140E3D" w:rsidP="00720F6B">
      <w:pPr>
        <w:spacing w:line="240" w:lineRule="auto"/>
        <w:jc w:val="both"/>
        <w:rPr>
          <w:rFonts w:ascii="Arial" w:eastAsia="Times New Roman" w:hAnsi="Arial" w:cs="Times New Roman"/>
          <w:color w:val="1F1F1F"/>
          <w:kern w:val="0"/>
          <w14:ligatures w14:val="none"/>
        </w:rPr>
      </w:pPr>
    </w:p>
    <w:p w14:paraId="0227817E" w14:textId="77777777" w:rsidR="00140E3D" w:rsidRPr="00B03809" w:rsidRDefault="00140E3D" w:rsidP="00720F6B">
      <w:pPr>
        <w:numPr>
          <w:ilvl w:val="0"/>
          <w:numId w:val="3"/>
        </w:numPr>
        <w:tabs>
          <w:tab w:val="left" w:pos="426"/>
        </w:tabs>
        <w:spacing w:line="240" w:lineRule="auto"/>
        <w:ind w:left="0" w:firstLine="0"/>
        <w:jc w:val="both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Liquid-Fat Emulsion Pipeline (Homogeneous Brightfield Droplets):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For emulsions containing liquid oil droplets characterized by bright refractive cores surrounded by dark diffraction halos against a bright background, bitwise intensity inversion (</w:t>
      </w:r>
      <m:oMath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  <m:t>I</m:t>
            </m:r>
          </m:e>
          <m:sub>
            <m:r>
              <m:rPr>
                <m:nor/>
              </m:r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m:t>inv</m:t>
            </m:r>
          </m:sub>
        </m:sSub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=255-I</m:t>
        </m:r>
      </m:oMath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) was applied prior to neural network inference. The target network receptive field diameter (</w:t>
      </w:r>
      <m:oMath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  <m:t>d</m:t>
            </m:r>
          </m:e>
          <m:sub>
            <m:r>
              <m:rPr>
                <m:nor/>
              </m:r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m:t>AI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  <m:t>,</m:t>
            </m:r>
            <m:r>
              <m:rPr>
                <m:nor/>
              </m:r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m:t>px</m:t>
            </m:r>
          </m:sub>
        </m:sSub>
      </m:oMath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) was scaled directly from the physical characteristic droplet diameter (</w:t>
      </w:r>
      <m:oMath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  <m:t>d</m:t>
            </m:r>
          </m:e>
          <m:sub>
            <m:r>
              <m:rPr>
                <m:nor/>
              </m:r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m:t>AI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  <m:t>,μ</m:t>
            </m:r>
            <m:r>
              <m:rPr>
                <m:nor/>
              </m:r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m:t>m</m:t>
            </m:r>
          </m:sub>
        </m:sSub>
      </m:oMath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) using the objective calibration factor (</w:t>
      </w:r>
      <m:oMath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  <m:t>d</m:t>
            </m:r>
          </m:e>
          <m:sub>
            <m:r>
              <m:rPr>
                <m:nor/>
              </m:r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m:t>AI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  <m:t>,</m:t>
            </m:r>
            <m:r>
              <m:rPr>
                <m:nor/>
              </m:r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m:t>px</m:t>
            </m:r>
          </m:sub>
        </m:sSub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  <m:t>d</m:t>
            </m:r>
          </m:e>
          <m:sub>
            <m:r>
              <m:rPr>
                <m:nor/>
              </m:r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m:t>AI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  <m:t>,μ</m:t>
            </m:r>
            <m:r>
              <m:rPr>
                <m:nor/>
              </m:r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m:t>m</m:t>
            </m:r>
          </m:sub>
        </m:sSub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/</m:t>
        </m:r>
        <m:r>
          <m:rPr>
            <m:nor/>
          </m:rPr>
          <w:rPr>
            <w:rFonts w:ascii="Arial" w:eastAsia="Times New Roman" w:hAnsi="Arial" w:cs="Times New Roman"/>
            <w:color w:val="1F1F1F"/>
            <w:kern w:val="0"/>
            <w14:ligatures w14:val="none"/>
          </w:rPr>
          <m:t>pixel_to_um_ratio</m:t>
        </m:r>
      </m:oMath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), ensuring accurate outer-rim boundary capture while extracting true grayscale intensities from the </w:t>
      </w:r>
      <w:proofErr w:type="spellStart"/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uninverted</w:t>
      </w:r>
      <w:proofErr w:type="spellEnd"/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image.</w:t>
      </w: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</w:t>
      </w:r>
    </w:p>
    <w:p w14:paraId="409F5F38" w14:textId="77777777" w:rsidR="00140E3D" w:rsidRPr="00B03809" w:rsidRDefault="00140E3D" w:rsidP="00720F6B">
      <w:pPr>
        <w:tabs>
          <w:tab w:val="left" w:pos="426"/>
        </w:tabs>
        <w:spacing w:line="240" w:lineRule="auto"/>
        <w:jc w:val="both"/>
        <w:rPr>
          <w:rFonts w:ascii="Arial" w:eastAsia="Times New Roman" w:hAnsi="Arial" w:cs="Times New Roman"/>
          <w:color w:val="1F1F1F"/>
          <w:kern w:val="0"/>
          <w14:ligatures w14:val="none"/>
        </w:rPr>
      </w:pPr>
    </w:p>
    <w:p w14:paraId="3D14B3C6" w14:textId="77777777" w:rsidR="00140E3D" w:rsidRPr="00B03809" w:rsidRDefault="00140E3D" w:rsidP="00720F6B">
      <w:pPr>
        <w:numPr>
          <w:ilvl w:val="0"/>
          <w:numId w:val="3"/>
        </w:numPr>
        <w:tabs>
          <w:tab w:val="left" w:pos="426"/>
        </w:tabs>
        <w:spacing w:line="240" w:lineRule="auto"/>
        <w:ind w:left="0" w:firstLine="0"/>
        <w:jc w:val="both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Crystallized-Fat Emulsion Pipeline (Edge-Preserving Smoothing &amp; Multi-Scale Inference):</w:t>
      </w:r>
    </w:p>
    <w:p w14:paraId="4129A36B" w14:textId="77777777" w:rsidR="00720F6B" w:rsidRDefault="00140E3D" w:rsidP="00720F6B">
      <w:pPr>
        <w:pStyle w:val="ListParagraph"/>
        <w:numPr>
          <w:ilvl w:val="0"/>
          <w:numId w:val="3"/>
        </w:numPr>
        <w:tabs>
          <w:tab w:val="left" w:pos="426"/>
        </w:tabs>
        <w:spacing w:line="240" w:lineRule="auto"/>
        <w:ind w:left="0" w:firstLine="0"/>
        <w:jc w:val="both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720F6B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For emulsions containing partially or fully crystallized fat globules exhibiting internal crystal striations, needle networks, and broad polydispersity, an edge-preserving cascade filter was applied prior to segmentation. Specifically, a median filter (kernel size </w:t>
      </w:r>
      <m:oMath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2s+1</m:t>
        </m:r>
      </m:oMath>
      <w:r w:rsidRPr="00720F6B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, where </w:t>
      </w:r>
      <m:oMath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s∈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  <m:t>1,4</m:t>
            </m:r>
          </m:e>
        </m:d>
      </m:oMath>
      <w:r w:rsidRPr="00720F6B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denotes smoothing strength) followed by a bilateral filter </w:t>
      </w:r>
    </w:p>
    <w:p w14:paraId="6604A57E" w14:textId="77777777" w:rsidR="00720F6B" w:rsidRDefault="00720F6B" w:rsidP="00720F6B">
      <w:pPr>
        <w:pStyle w:val="ListParagraph"/>
        <w:tabs>
          <w:tab w:val="left" w:pos="426"/>
        </w:tabs>
        <w:spacing w:line="240" w:lineRule="auto"/>
        <w:ind w:left="0"/>
        <w:jc w:val="both"/>
        <w:rPr>
          <w:rFonts w:ascii="Arial" w:eastAsia="Times New Roman" w:hAnsi="Arial" w:cs="Times New Roman"/>
          <w:color w:val="1F1F1F"/>
          <w:kern w:val="0"/>
          <w14:ligatures w14:val="none"/>
        </w:rPr>
      </w:pPr>
    </w:p>
    <w:p w14:paraId="468CCDFD" w14:textId="22C74E6F" w:rsidR="00720F6B" w:rsidRDefault="00140E3D" w:rsidP="00720F6B">
      <w:pPr>
        <w:pStyle w:val="ListParagraph"/>
        <w:tabs>
          <w:tab w:val="left" w:pos="426"/>
        </w:tabs>
        <w:spacing w:line="240" w:lineRule="auto"/>
        <w:ind w:left="0"/>
        <w:jc w:val="center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720F6B">
        <w:rPr>
          <w:rFonts w:ascii="Arial" w:eastAsia="Times New Roman" w:hAnsi="Arial" w:cs="Times New Roman"/>
          <w:color w:val="1F1F1F"/>
          <w:kern w:val="0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d=9</m:t>
        </m:r>
      </m:oMath>
      <w:r w:rsidRPr="00720F6B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  <m:t>σ</m:t>
            </m:r>
          </m:e>
          <m:sub>
            <m:r>
              <m:rPr>
                <m:nor/>
              </m:r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m:t>color</m:t>
            </m:r>
          </m:sub>
        </m:sSub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=35s</m:t>
        </m:r>
      </m:oMath>
      <w:r w:rsidRPr="00720F6B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  <m:t>σ</m:t>
            </m:r>
          </m:e>
          <m:sub>
            <m:r>
              <m:rPr>
                <m:nor/>
              </m:r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m:t>space</m:t>
            </m:r>
          </m:sub>
        </m:sSub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=7s</m:t>
        </m:r>
      </m:oMath>
      <w:r w:rsidRPr="00720F6B">
        <w:rPr>
          <w:rFonts w:ascii="Arial" w:eastAsia="Times New Roman" w:hAnsi="Arial" w:cs="Times New Roman"/>
          <w:color w:val="1F1F1F"/>
          <w:kern w:val="0"/>
          <w14:ligatures w14:val="none"/>
        </w:rPr>
        <w:t>)</w:t>
      </w:r>
    </w:p>
    <w:p w14:paraId="231039B9" w14:textId="77777777" w:rsidR="00720F6B" w:rsidRDefault="00720F6B" w:rsidP="00720F6B">
      <w:pPr>
        <w:pStyle w:val="ListParagraph"/>
        <w:tabs>
          <w:tab w:val="left" w:pos="426"/>
        </w:tabs>
        <w:spacing w:line="240" w:lineRule="auto"/>
        <w:ind w:left="0"/>
        <w:jc w:val="both"/>
        <w:rPr>
          <w:rFonts w:ascii="Arial" w:eastAsia="Times New Roman" w:hAnsi="Arial" w:cs="Times New Roman"/>
          <w:color w:val="1F1F1F"/>
          <w:kern w:val="0"/>
          <w14:ligatures w14:val="none"/>
        </w:rPr>
      </w:pPr>
    </w:p>
    <w:p w14:paraId="5E4187E6" w14:textId="6A2185A0" w:rsidR="00140E3D" w:rsidRPr="00720F6B" w:rsidRDefault="00140E3D" w:rsidP="00720F6B">
      <w:pPr>
        <w:pStyle w:val="ListParagraph"/>
        <w:tabs>
          <w:tab w:val="left" w:pos="426"/>
        </w:tabs>
        <w:spacing w:line="240" w:lineRule="auto"/>
        <w:ind w:left="0"/>
        <w:jc w:val="both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720F6B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homogenized internal crystal refraction lines while preserving sharp inter-droplet phase boundaries. To prevent over-segmentation of large crystalline globules into internal shards while retaining sensitivity to fine matrix droplets, a </w:t>
      </w:r>
      <w:r w:rsidRPr="00720F6B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two-scale hierarchical inference</w:t>
      </w:r>
      <w:r w:rsidRPr="00720F6B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was executed:</w:t>
      </w:r>
    </w:p>
    <w:p w14:paraId="13075BA6" w14:textId="2F561A39" w:rsidR="00140E3D" w:rsidRPr="00B03809" w:rsidRDefault="00140E3D" w:rsidP="00720F6B">
      <w:pPr>
        <w:spacing w:line="240" w:lineRule="auto"/>
        <w:ind w:left="720"/>
        <w:jc w:val="both"/>
        <w:rPr>
          <w:rFonts w:ascii="Arial" w:eastAsia="Times New Roman" w:hAnsi="Arial" w:cs="Times New Roman"/>
          <w:color w:val="1F1F1F"/>
          <w:kern w:val="0"/>
          <w14:ligatures w14:val="none"/>
        </w:rPr>
      </w:pPr>
    </w:p>
    <w:p w14:paraId="1C53A1A9" w14:textId="77777777" w:rsidR="00140E3D" w:rsidRPr="00B03809" w:rsidRDefault="00140E3D" w:rsidP="00720F6B">
      <w:pPr>
        <w:numPr>
          <w:ilvl w:val="1"/>
          <w:numId w:val="1"/>
        </w:numPr>
        <w:tabs>
          <w:tab w:val="clear" w:pos="1440"/>
        </w:tabs>
        <w:spacing w:line="240" w:lineRule="auto"/>
        <w:ind w:left="284" w:firstLine="0"/>
        <w:jc w:val="both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Coarse Pass (</w:t>
      </w:r>
      <m:oMath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1.75×</m:t>
        </m:r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  <m:t>d</m:t>
            </m:r>
          </m:e>
          <m:sub>
            <m:r>
              <m:rPr>
                <m:nor/>
              </m:r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m:t>AI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  <m:t>,</m:t>
            </m:r>
            <m:r>
              <m:rPr>
                <m:nor/>
              </m:r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m:t>px</m:t>
            </m:r>
          </m:sub>
        </m:sSub>
      </m:oMath>
      <w:r w:rsidRPr="00B03809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, smoothing strength </w:t>
      </w:r>
      <m:oMath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s+1</m:t>
        </m:r>
      </m:oMath>
      <w:r w:rsidRPr="00B03809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):</w:t>
      </w: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Segmented intact macro-globules without fracturing along internal crystal planes; external contours were hole-filled and retained if convexity (solidity) satisfied </w:t>
      </w:r>
      <m:oMath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≥0.76</m:t>
        </m:r>
      </m:oMath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>.</w:t>
      </w:r>
    </w:p>
    <w:p w14:paraId="4F6D8644" w14:textId="77777777" w:rsidR="00140E3D" w:rsidRPr="00B03809" w:rsidRDefault="00140E3D" w:rsidP="00720F6B">
      <w:pPr>
        <w:spacing w:line="240" w:lineRule="auto"/>
        <w:ind w:left="284"/>
        <w:jc w:val="both"/>
        <w:rPr>
          <w:rFonts w:ascii="Arial" w:eastAsia="Times New Roman" w:hAnsi="Arial" w:cs="Times New Roman"/>
          <w:color w:val="1F1F1F"/>
          <w:kern w:val="0"/>
          <w14:ligatures w14:val="none"/>
        </w:rPr>
      </w:pPr>
    </w:p>
    <w:p w14:paraId="37C4CF8C" w14:textId="77777777" w:rsidR="00140E3D" w:rsidRPr="00B03809" w:rsidRDefault="00140E3D" w:rsidP="00720F6B">
      <w:pPr>
        <w:numPr>
          <w:ilvl w:val="1"/>
          <w:numId w:val="1"/>
        </w:numPr>
        <w:tabs>
          <w:tab w:val="clear" w:pos="1440"/>
        </w:tabs>
        <w:spacing w:line="240" w:lineRule="auto"/>
        <w:ind w:left="284" w:firstLine="0"/>
        <w:jc w:val="both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Fine Pass (</w:t>
      </w:r>
      <m:oMath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1.0×</m:t>
        </m:r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  <m:t>d</m:t>
            </m:r>
          </m:e>
          <m:sub>
            <m:r>
              <m:rPr>
                <m:nor/>
              </m:r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m:t>AI</m:t>
            </m:r>
            <m: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  <m:t>,</m:t>
            </m:r>
            <m:r>
              <m:rPr>
                <m:nor/>
              </m:rPr>
              <w:rPr>
                <w:rFonts w:ascii="Arial" w:eastAsia="Times New Roman" w:hAnsi="Arial" w:cs="Times New Roman"/>
                <w:color w:val="1F1F1F"/>
                <w:kern w:val="0"/>
                <w14:ligatures w14:val="none"/>
              </w:rPr>
              <m:t>px</m:t>
            </m:r>
          </m:sub>
        </m:sSub>
      </m:oMath>
      <w:r w:rsidRPr="00B03809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, smoothing strength </w:t>
      </w:r>
      <m:oMath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s</m:t>
        </m:r>
      </m:oMath>
      <w:r w:rsidRPr="00B03809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):</w:t>
      </w: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Segmented micro-droplets across the remaining continuous phase. Candidate detections exhibiting </w:t>
      </w:r>
      <m:oMath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≥25%</m:t>
        </m:r>
      </m:oMath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spatial overlap with accepted macro-globules were discarded as internal crystal sub-fragments.</w:t>
      </w:r>
    </w:p>
    <w:p w14:paraId="145AF678" w14:textId="77777777" w:rsidR="00140E3D" w:rsidRPr="00B03809" w:rsidRDefault="00140E3D" w:rsidP="00720F6B">
      <w:pPr>
        <w:spacing w:line="240" w:lineRule="auto"/>
        <w:ind w:left="1440"/>
        <w:jc w:val="both"/>
        <w:rPr>
          <w:rFonts w:ascii="Arial" w:eastAsia="Times New Roman" w:hAnsi="Arial" w:cs="Times New Roman"/>
          <w:color w:val="1F1F1F"/>
          <w:kern w:val="0"/>
          <w14:ligatures w14:val="none"/>
        </w:rPr>
      </w:pPr>
    </w:p>
    <w:p w14:paraId="00AE0D73" w14:textId="12619D56" w:rsidR="00140E3D" w:rsidRPr="00B03809" w:rsidRDefault="00140E3D" w:rsidP="00720F6B">
      <w:pPr>
        <w:spacing w:line="240" w:lineRule="auto"/>
        <w:jc w:val="both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Across both pipelines, nested duplicate detections (artifacts) were removed via top-down area sorting whenever a smaller mask overlapped </w:t>
      </w:r>
      <m:oMath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≥60%</m:t>
        </m:r>
      </m:oMath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with the hole-filled footprint of a larger parent droplet. Where necessary, challenging droplets were refined non-destructively using a hybrid Segment Anything Model (</w:t>
      </w:r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sam_vit_b_01ec64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) bounding-box prompt paired with a 72-ray elliptical gradient rim snapper or periodic cubic spline interpolation (</w:t>
      </w:r>
      <w:proofErr w:type="spellStart"/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bc_type</w:t>
      </w:r>
      <w:proofErr w:type="spellEnd"/>
      <w:r w:rsidRPr="00B03809">
        <w:rPr>
          <w:rFonts w:ascii="Arial" w:eastAsia="Times New Roman" w:hAnsi="Arial" w:cs="Courier New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='periodic'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).</w:t>
      </w: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</w:t>
      </w:r>
    </w:p>
    <w:p w14:paraId="30469C91" w14:textId="45DD9FA5" w:rsidR="00140E3D" w:rsidRPr="00B03809" w:rsidRDefault="00140E3D" w:rsidP="00720F6B">
      <w:pPr>
        <w:spacing w:line="240" w:lineRule="auto"/>
        <w:jc w:val="both"/>
        <w:rPr>
          <w:rFonts w:ascii="Arial" w:eastAsia="Times New Roman" w:hAnsi="Arial" w:cs="Times New Roman"/>
          <w:color w:val="1F1F1F"/>
          <w:kern w:val="0"/>
          <w14:ligatures w14:val="none"/>
        </w:rPr>
      </w:pPr>
    </w:p>
    <w:p w14:paraId="1FF12B77" w14:textId="77777777" w:rsidR="00140E3D" w:rsidRPr="00B03809" w:rsidRDefault="00140E3D" w:rsidP="00720F6B">
      <w:pPr>
        <w:spacing w:line="240" w:lineRule="auto"/>
        <w:jc w:val="both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B03809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14:ligatures w14:val="none"/>
        </w:rPr>
        <w:t>3. Morphological Filtering and Granulometric Quantification</w:t>
      </w:r>
    </w:p>
    <w:p w14:paraId="021D2979" w14:textId="77777777" w:rsidR="00140E3D" w:rsidRPr="00B03809" w:rsidRDefault="00140E3D" w:rsidP="00720F6B">
      <w:pPr>
        <w:spacing w:line="240" w:lineRule="auto"/>
        <w:jc w:val="both"/>
        <w:rPr>
          <w:rFonts w:ascii="Arial" w:eastAsia="Times New Roman" w:hAnsi="Arial" w:cs="Times New Roman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Segmented objects were filtered by physical size bounds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color w:val="1F1F1F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14:ligatures w14:val="none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F1F1F"/>
                    <w:kern w:val="0"/>
                    <w14:ligatures w14:val="none"/>
                  </w:rPr>
                  <m:t>min</m:t>
                </m:r>
              </m:sub>
            </m:sSub>
            <m: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color w:val="1F1F1F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1F1F1F"/>
                    <w:kern w:val="0"/>
                    <w14:ligatures w14:val="none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1F1F1F"/>
                    <w:kern w:val="0"/>
                    <w14:ligatures w14:val="none"/>
                  </w:rPr>
                  <m:t>max</m:t>
                </m:r>
              </m:sub>
            </m:sSub>
          </m:e>
        </m:d>
      </m:oMath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(</w:t>
      </w:r>
      <m:oMath>
        <m:r>
          <w:rPr>
            <w:rFonts w:ascii="Cambria Math" w:eastAsia="Times New Roman" w:hAnsi="Cambria Math" w:cs="Times New Roman"/>
            <w:color w:val="1F1F1F"/>
            <w:kern w:val="0"/>
            <w14:ligatures w14:val="none"/>
          </w:rPr>
          <m:t>μ</m:t>
        </m:r>
        <m:r>
          <m:rPr>
            <m:nor/>
          </m:rPr>
          <w:rPr>
            <w:rFonts w:ascii="Arial" w:eastAsia="Times New Roman" w:hAnsi="Arial" w:cs="Times New Roman"/>
            <w:color w:val="1F1F1F"/>
            <w:kern w:val="0"/>
            <w14:ligatures w14:val="none"/>
          </w:rPr>
          <m:t>m</m:t>
        </m:r>
      </m:oMath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), </w:t>
      </w:r>
      <w:r w:rsidRPr="00B03809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circularity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(</w:t>
      </w:r>
      <m:oMath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  <m:t>i</m:t>
            </m:r>
          </m:sub>
        </m:sSub>
      </m:oMath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), and </w:t>
      </w:r>
      <w:r w:rsidRPr="00B03809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solidity / convexity</w:t>
      </w:r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 xml:space="preserve"> (</w:t>
      </w:r>
      <m:oMath>
        <m:sSub>
          <m:sSubPr>
            <m:ctrlP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color w:val="1F1F1F"/>
                <w:kern w:val="0"/>
                <w14:ligatures w14:val="none"/>
              </w:rPr>
              <m:t>i</m:t>
            </m:r>
          </m:sub>
        </m:sSub>
      </m:oMath>
      <w:r w:rsidRPr="00B03809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14:ligatures w14:val="none"/>
        </w:rPr>
        <w:t>) to eliminate non-droplet optical artifacts, crystal shards, and inter-droplet Plateau border regions:</w:t>
      </w:r>
      <w:r w:rsidRPr="00B03809">
        <w:rPr>
          <w:rFonts w:ascii="Arial" w:eastAsia="Times New Roman" w:hAnsi="Arial" w:cs="Times New Roman"/>
          <w:color w:val="1F1F1F"/>
          <w:kern w:val="0"/>
          <w14:ligatures w14:val="none"/>
        </w:rPr>
        <w:t xml:space="preserve"> </w:t>
      </w:r>
    </w:p>
    <w:p w14:paraId="33CCA963" w14:textId="77777777" w:rsidR="00140E3D" w:rsidRPr="00B03809" w:rsidRDefault="00140E3D" w:rsidP="00720F6B">
      <w:pPr>
        <w:spacing w:line="240" w:lineRule="auto"/>
        <w:jc w:val="both"/>
        <w:rPr>
          <w:rFonts w:ascii="Arial" w:eastAsia="Times New Roman" w:hAnsi="Arial" w:cs="Times New Roman"/>
          <w:color w:val="1F1F1F"/>
          <w:kern w:val="0"/>
          <w14:ligatures w14:val="none"/>
        </w:rPr>
      </w:pPr>
    </w:p>
    <w:p w14:paraId="4D8B136B" w14:textId="77777777" w:rsidR="00140E3D" w:rsidRPr="00B03809" w:rsidRDefault="00000000" w:rsidP="00720F6B">
      <w:pPr>
        <w:spacing w:line="240" w:lineRule="auto"/>
        <w:jc w:val="both"/>
        <w:rPr>
          <w:rFonts w:ascii="Arial" w:eastAsia="Times New Roman" w:hAnsi="Arial" w:cs="Times New Roman"/>
          <w:color w:val="1F1F1F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color w:val="1F1F1F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A</m:t>
              </m:r>
            </m:e>
            <m:sub>
              <m:r>
                <m:rPr>
                  <m:nor/>
                </m:rPr>
                <w:rPr>
                  <w:rFonts w:ascii="Arial" w:eastAsia="Times New Roman" w:hAnsi="Arial" w:cs="Times New Roman"/>
                  <w:color w:val="1F1F1F"/>
                  <w:kern w:val="0"/>
                  <w14:ligatures w14:val="none"/>
                </w:rPr>
                <m:t>px</m:t>
              </m:r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,i</m:t>
              </m:r>
            </m:sub>
          </m:sSub>
          <m:r>
            <w:rPr>
              <w:rFonts w:ascii="Cambria Math" w:eastAsia="Times New Roman" w:hAnsi="Cambria Math" w:cs="Times New Roman"/>
              <w:color w:val="1F1F1F"/>
              <w:kern w:val="0"/>
              <w14:ligatures w14:val="none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Arial" w:eastAsia="Times New Roman" w:hAnsi="Arial" w:cs="Times New Roman"/>
                      <w:color w:val="1F1F1F"/>
                      <w:kern w:val="0"/>
                      <w14:ligatures w14:val="none"/>
                    </w:rPr>
                    <m:t>pixel_to_um_ratio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1F1F1F"/>
              <w:kern w:val="0"/>
              <w14:ligatures w14:val="none"/>
            </w:rPr>
            <m:t>,  </m:t>
          </m:r>
          <m:sSub>
            <m:sSub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color w:val="1F1F1F"/>
              <w:kern w:val="0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4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14:ligatures w14:val="none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14:ligatures w14:val="none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π</m:t>
                  </m:r>
                </m:den>
              </m:f>
            </m:e>
          </m:rad>
        </m:oMath>
      </m:oMathPara>
    </w:p>
    <w:p w14:paraId="6B74DDE7" w14:textId="77777777" w:rsidR="00140E3D" w:rsidRPr="00B03809" w:rsidRDefault="00000000" w:rsidP="00720F6B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color w:val="1F1F1F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4π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Arial" w:eastAsia="Times New Roman" w:hAnsi="Arial" w:cs="Times New Roman"/>
                      <w:color w:val="1F1F1F"/>
                      <w:kern w:val="0"/>
                      <w14:ligatures w14:val="none"/>
                    </w:rPr>
                    <m:t>px</m:t>
                  </m:r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,i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Arial" w:eastAsia="Times New Roman" w:hAnsi="Arial" w:cs="Times New Roman"/>
                      <w:color w:val="1F1F1F"/>
                      <w:kern w:val="0"/>
                      <w14:ligatures w14:val="none"/>
                    </w:rPr>
                    <m:t>px</m:t>
                  </m:r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,i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2</m:t>
                  </m:r>
                </m:sup>
              </m:sSubSup>
            </m:den>
          </m:f>
          <m:r>
            <w:rPr>
              <w:rFonts w:ascii="Cambria Math" w:eastAsia="Times New Roman" w:hAnsi="Cambria Math" w:cs="Times New Roman"/>
              <w:color w:val="1F1F1F"/>
              <w:kern w:val="0"/>
              <w14:ligatures w14:val="none"/>
            </w:rPr>
            <m:t>≥</m:t>
          </m:r>
          <m:sSub>
            <m:sSub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min</m:t>
              </m:r>
            </m:sub>
          </m:sSub>
          <m:r>
            <w:rPr>
              <w:rFonts w:ascii="Cambria Math" w:eastAsia="Times New Roman" w:hAnsi="Cambria Math" w:cs="Times New Roman"/>
              <w:color w:val="1F1F1F"/>
              <w:kern w:val="0"/>
              <w14:ligatures w14:val="none"/>
            </w:rPr>
            <m:t>,  </m:t>
          </m:r>
          <m:sSub>
            <m:sSub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color w:val="1F1F1F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Arial" w:eastAsia="Times New Roman" w:hAnsi="Arial" w:cs="Times New Roman"/>
                      <w:color w:val="1F1F1F"/>
                      <w:kern w:val="0"/>
                      <w14:ligatures w14:val="none"/>
                    </w:rPr>
                    <m:t>px</m:t>
                  </m:r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,i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Arial" w:eastAsia="Times New Roman" w:hAnsi="Arial" w:cs="Times New Roman"/>
                      <w:color w:val="1F1F1F"/>
                      <w:kern w:val="0"/>
                      <w14:ligatures w14:val="none"/>
                    </w:rPr>
                    <m:t>convex hull</m:t>
                  </m:r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,i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color w:val="1F1F1F"/>
              <w:kern w:val="0"/>
              <w14:ligatures w14:val="none"/>
            </w:rPr>
            <m:t>≥</m:t>
          </m:r>
          <m:sSub>
            <m:sSub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min</m:t>
              </m:r>
            </m:sub>
          </m:sSub>
        </m:oMath>
      </m:oMathPara>
    </w:p>
    <w:p w14:paraId="23C36274" w14:textId="77777777" w:rsidR="00720F6B" w:rsidRDefault="00720F6B" w:rsidP="00720F6B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</w:pPr>
    </w:p>
    <w:p w14:paraId="7D71C9F8" w14:textId="624247A5" w:rsidR="00140E3D" w:rsidRDefault="00140E3D" w:rsidP="00720F6B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For the verified droplet population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N</m:t>
        </m:r>
      </m:oMath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), the </w:t>
      </w:r>
      <w:r w:rsidRPr="00B0380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Sauter surface-area weighted mean diameter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D</m:t>
        </m:r>
        <m:d>
          <m:dPr>
            <m:begChr m:val="["/>
            <m:endChr m:val="]"/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3,2</m:t>
            </m:r>
          </m:e>
        </m:d>
      </m:oMath>
      <w:r w:rsidRPr="00B0380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</w:t>
      </w:r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r w:rsidRPr="00B0380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De </w:t>
      </w:r>
      <w:proofErr w:type="spellStart"/>
      <w:r w:rsidRPr="00B0380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Brouckere</w:t>
      </w:r>
      <w:proofErr w:type="spellEnd"/>
      <w:r w:rsidRPr="00B0380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volume-weighted mean diameter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D</m:t>
        </m:r>
        <m:d>
          <m:dPr>
            <m:begChr m:val="["/>
            <m:endChr m:val="]"/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4,3</m:t>
            </m:r>
          </m:e>
        </m:d>
      </m:oMath>
      <w:r w:rsidRPr="00B0380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</w:t>
      </w:r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, cumulative number-based percentiles (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10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50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90</m:t>
            </m:r>
          </m:sub>
        </m:sSub>
      </m:oMath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), and </w:t>
      </w:r>
      <w:r w:rsidRPr="00B0380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relative polydispersity Span</w:t>
      </w:r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were computed as:</w:t>
      </w:r>
      <w:r w:rsidRPr="00B0380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FDBD432" w14:textId="77777777" w:rsidR="00720F6B" w:rsidRPr="00B03809" w:rsidRDefault="00720F6B" w:rsidP="00720F6B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15E343F" w14:textId="77777777" w:rsidR="00140E3D" w:rsidRPr="00B03809" w:rsidRDefault="00140E3D" w:rsidP="00720F6B">
      <w:pPr>
        <w:spacing w:line="240" w:lineRule="auto"/>
        <w:jc w:val="both"/>
        <w:rPr>
          <w:rFonts w:ascii="Arial" w:eastAsia="Times New Roman" w:hAnsi="Arial" w:cs="Times New Roman"/>
          <w:color w:val="1F1F1F"/>
          <w:kern w:val="0"/>
          <w14:ligatures w14:val="none"/>
        </w:rPr>
      </w:pPr>
    </w:p>
    <w:p w14:paraId="6606FFD2" w14:textId="77777777" w:rsidR="00140E3D" w:rsidRPr="00B03809" w:rsidRDefault="00140E3D" w:rsidP="00720F6B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1F1F1F"/>
              <w:kern w:val="0"/>
              <w14:ligatures w14:val="none"/>
            </w:rPr>
            <m:t>D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3,2</m:t>
              </m:r>
            </m:e>
          </m:d>
          <m:r>
            <w:rPr>
              <w:rFonts w:ascii="Cambria Math" w:eastAsia="Times New Roman" w:hAnsi="Cambria Math" w:cs="Times New Roman"/>
              <w:color w:val="1F1F1F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14:ligatures w14:val="none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14:ligatures w14:val="none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14:ligatures w14:val="none"/>
                        </w:rPr>
                        <m:t>3</m:t>
                      </m:r>
                    </m:sup>
                  </m:sSubSup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14:ligatures w14:val="none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14:ligatures w14:val="none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14:ligatures w14:val="none"/>
                        </w:rPr>
                        <m:t>2</m:t>
                      </m:r>
                    </m:sup>
                  </m:sSubSup>
                </m:e>
              </m:nary>
            </m:den>
          </m:f>
          <m:r>
            <w:rPr>
              <w:rFonts w:ascii="Cambria Math" w:eastAsia="Times New Roman" w:hAnsi="Cambria Math" w:cs="Times New Roman"/>
              <w:color w:val="1F1F1F"/>
              <w:kern w:val="0"/>
              <w14:ligatures w14:val="none"/>
            </w:rPr>
            <m:t>,  D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4,3</m:t>
              </m:r>
            </m:e>
          </m:d>
          <m:r>
            <w:rPr>
              <w:rFonts w:ascii="Cambria Math" w:eastAsia="Times New Roman" w:hAnsi="Cambria Math" w:cs="Times New Roman"/>
              <w:color w:val="1F1F1F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14:ligatures w14:val="none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14:ligatures w14:val="none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14:ligatures w14:val="none"/>
                        </w:rPr>
                        <m:t>4</m:t>
                      </m:r>
                    </m:sup>
                  </m:sSubSup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14:ligatures w14:val="none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14:ligatures w14:val="none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1F1F1F"/>
                          <w:kern w:val="0"/>
                          <w14:ligatures w14:val="none"/>
                        </w:rPr>
                        <m:t>3</m:t>
                      </m:r>
                    </m:sup>
                  </m:sSubSup>
                </m:e>
              </m:nary>
            </m:den>
          </m:f>
          <m:r>
            <w:rPr>
              <w:rFonts w:ascii="Cambria Math" w:eastAsia="Times New Roman" w:hAnsi="Cambria Math" w:cs="Times New Roman"/>
              <w:color w:val="1F1F1F"/>
              <w:kern w:val="0"/>
              <w14:ligatures w14:val="none"/>
            </w:rPr>
            <m:t>,  </m:t>
          </m:r>
          <m:r>
            <m:rPr>
              <m:nor/>
            </m:rPr>
            <w:rPr>
              <w:rFonts w:ascii="Arial" w:eastAsia="Times New Roman" w:hAnsi="Arial" w:cs="Times New Roman"/>
              <w:color w:val="1F1F1F"/>
              <w:kern w:val="0"/>
              <w14:ligatures w14:val="none"/>
            </w:rPr>
            <m:t>Span</m:t>
          </m:r>
          <m:r>
            <w:rPr>
              <w:rFonts w:ascii="Cambria Math" w:eastAsia="Times New Roman" w:hAnsi="Cambria Math" w:cs="Times New Roman"/>
              <w:color w:val="1F1F1F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90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10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50</m:t>
                  </m:r>
                </m:sub>
              </m:sSub>
            </m:den>
          </m:f>
        </m:oMath>
      </m:oMathPara>
    </w:p>
    <w:p w14:paraId="100ED604" w14:textId="77777777" w:rsidR="00720F6B" w:rsidRDefault="00720F6B" w:rsidP="00720F6B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</w:pPr>
    </w:p>
    <w:p w14:paraId="217E234F" w14:textId="77777777" w:rsidR="00720F6B" w:rsidRDefault="00140E3D" w:rsidP="00720F6B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</w:pPr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Particle size distributions (PSD) were constructed using fixed physical diameter intervals (</w:t>
      </w:r>
      <m:oMath>
        <m:r>
          <m:rPr>
            <m:sty m:val="p"/>
          </m:rP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Δ</m:t>
        </m:r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d∈</m:t>
        </m:r>
        <m:d>
          <m:dPr>
            <m:begChr m:val="{"/>
            <m:endChr m:val="}"/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0.2,0.25,0.5,1.0,2.0</m:t>
            </m:r>
          </m:e>
        </m:d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 μ</m:t>
        </m:r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m</m:t>
        </m:r>
      </m:oMath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 aligned to exact multiples of </w:t>
      </w:r>
      <m:oMath>
        <m:r>
          <m:rPr>
            <m:sty m:val="p"/>
          </m:rP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Δ</m:t>
        </m:r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d</m:t>
        </m:r>
      </m:oMath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. Bar heights were normalized to the relative percentage of the droplet population </w:t>
      </w:r>
    </w:p>
    <w:p w14:paraId="21FDDA24" w14:textId="77777777" w:rsidR="00720F6B" w:rsidRDefault="00720F6B" w:rsidP="00720F6B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</w:pPr>
    </w:p>
    <w:p w14:paraId="62476715" w14:textId="44D98C31" w:rsidR="00720F6B" w:rsidRDefault="00140E3D" w:rsidP="00720F6B">
      <w:pPr>
        <w:spacing w:line="240" w:lineRule="auto"/>
        <w:jc w:val="center"/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</w:pPr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(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k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</m:t>
        </m:r>
        <m:d>
          <m:d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n</m:t>
                </m:r>
              </m:e>
              <m:sub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k</m:t>
                </m:r>
              </m:sub>
            </m:s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/N</m:t>
            </m:r>
          </m:e>
        </m:d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×100%</m:t>
        </m:r>
      </m:oMath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k</m:t>
                </m:r>
              </m:sub>
            </m:sSub>
          </m:e>
        </m:nary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=100.0%</m:t>
        </m:r>
      </m:oMath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</w:t>
      </w:r>
    </w:p>
    <w:p w14:paraId="0B368002" w14:textId="77777777" w:rsidR="00720F6B" w:rsidRDefault="00720F6B" w:rsidP="00720F6B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</w:pPr>
    </w:p>
    <w:p w14:paraId="3590F833" w14:textId="684A734F" w:rsidR="00140E3D" w:rsidRPr="00B03809" w:rsidRDefault="00140E3D" w:rsidP="00720F6B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and overlaid with a Gaussian Kernel Density Estimation (KDE) curve, enabling direct quantitative comparison across micrographs independent of total droplet count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N</m:t>
        </m:r>
      </m:oMath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  <w:r w:rsidRPr="00B0380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58E9F5C" w14:textId="68E407DE" w:rsidR="00140E3D" w:rsidRPr="00B03809" w:rsidRDefault="00140E3D" w:rsidP="00720F6B">
      <w:pPr>
        <w:spacing w:line="240" w:lineRule="auto"/>
        <w:jc w:val="both"/>
        <w:rPr>
          <w:rFonts w:ascii="Arial" w:eastAsia="Times New Roman" w:hAnsi="Arial" w:cs="Times New Roman"/>
          <w:color w:val="1F1F1F"/>
          <w:kern w:val="0"/>
          <w14:ligatures w14:val="none"/>
        </w:rPr>
      </w:pPr>
    </w:p>
    <w:p w14:paraId="1B84564E" w14:textId="77777777" w:rsidR="00140E3D" w:rsidRPr="00B03809" w:rsidRDefault="00140E3D" w:rsidP="00720F6B">
      <w:pPr>
        <w:spacing w:line="240" w:lineRule="auto"/>
        <w:jc w:val="both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0380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4. Partial Coalescence and Droplet Contact Network (RAG) Topology</w:t>
      </w:r>
    </w:p>
    <w:p w14:paraId="3EEFA58F" w14:textId="77777777" w:rsidR="00140E3D" w:rsidRPr="00B03809" w:rsidRDefault="00140E3D" w:rsidP="00720F6B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To quantify droplet flocculation, sintering neck formation, and partial coalescence in structured emulsions, a </w:t>
      </w:r>
      <w:r w:rsidRPr="00B0380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Region Adjacency Graph (RAG)</w:t>
      </w:r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G=</m:t>
        </m:r>
        <m:d>
          <m:d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V,E</m:t>
            </m:r>
          </m:e>
        </m:d>
      </m:oMath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was constructed over all segmented fat droplets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V</m:t>
        </m:r>
      </m:oMath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 within the analyzed region of interest. Two droplets </w:t>
      </w:r>
      <m:oMath>
        <m:d>
          <m:d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i,j</m:t>
            </m:r>
          </m:e>
        </m:d>
      </m:oMath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were connected by a contact bridge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ij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∈E</m:t>
        </m:r>
      </m:oMath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if their binary masks intersected within a morphological dilation tolerance of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δ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px</m:t>
            </m:r>
          </m:sub>
        </m:sSub>
      </m:oMath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pixels (default: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3 </m:t>
        </m:r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px</m:t>
        </m:r>
      </m:oMath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), or if their inter-centroid distance 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ij</m:t>
            </m:r>
          </m:sub>
        </m:sSub>
      </m:oMath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μ</m:t>
        </m:r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m</m:t>
        </m:r>
      </m:oMath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) satisfied:</w:t>
      </w:r>
      <w:r w:rsidRPr="00B0380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AAF33C6" w14:textId="77777777" w:rsidR="00140E3D" w:rsidRPr="00B03809" w:rsidRDefault="00140E3D" w:rsidP="00720F6B">
      <w:pPr>
        <w:spacing w:line="240" w:lineRule="auto"/>
        <w:jc w:val="both"/>
        <w:rPr>
          <w:rFonts w:ascii="Arial" w:eastAsia="Times New Roman" w:hAnsi="Arial" w:cs="Times New Roman"/>
          <w:color w:val="1F1F1F"/>
          <w:kern w:val="0"/>
          <w14:ligatures w14:val="none"/>
        </w:rPr>
      </w:pPr>
    </w:p>
    <w:p w14:paraId="7E61D7B7" w14:textId="77777777" w:rsidR="00140E3D" w:rsidRPr="00B03809" w:rsidRDefault="00000000" w:rsidP="00720F6B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color w:val="1F1F1F"/>
              <w:kern w:val="0"/>
              <w14:ligatures w14:val="none"/>
            </w:rPr>
            <m:t>≤0.55</m:t>
          </m:r>
          <m:d>
            <m:d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1F1F1F"/>
                      <w:kern w:val="0"/>
                      <w14:ligatures w14:val="none"/>
                    </w:rPr>
                    <m:t>j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color w:val="1F1F1F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  <m:t>δ</m:t>
              </m:r>
            </m:e>
            <m:sub>
              <m:r>
                <m:rPr>
                  <m:nor/>
                </m:rPr>
                <w:rPr>
                  <w:rFonts w:ascii="Arial" w:eastAsia="Times New Roman" w:hAnsi="Arial" w:cs="Times New Roman"/>
                  <w:color w:val="1F1F1F"/>
                  <w:kern w:val="0"/>
                  <w14:ligatures w14:val="none"/>
                </w:rPr>
                <m:t>px</m:t>
              </m:r>
            </m:sub>
          </m:sSub>
          <m:r>
            <w:rPr>
              <w:rFonts w:ascii="Cambria Math" w:eastAsia="Times New Roman" w:hAnsi="Cambria Math" w:cs="Times New Roman"/>
              <w:color w:val="1F1F1F"/>
              <w:kern w:val="0"/>
              <w14:ligatures w14:val="none"/>
            </w:rPr>
            <m:t>⋅</m:t>
          </m:r>
          <m:d>
            <m:dPr>
              <m:ctrlPr>
                <w:rPr>
                  <w:rFonts w:ascii="Cambria Math" w:eastAsia="Times New Roman" w:hAnsi="Cambria Math" w:cs="Times New Roman"/>
                  <w:color w:val="1F1F1F"/>
                  <w:kern w:val="0"/>
                  <w14:ligatures w14:val="none"/>
                </w:rPr>
              </m:ctrlPr>
            </m:dPr>
            <m:e>
              <m:r>
                <m:rPr>
                  <m:nor/>
                </m:rPr>
                <w:rPr>
                  <w:rFonts w:ascii="Arial" w:eastAsia="Times New Roman" w:hAnsi="Arial" w:cs="Times New Roman"/>
                  <w:color w:val="1F1F1F"/>
                  <w:kern w:val="0"/>
                  <w14:ligatures w14:val="none"/>
                </w:rPr>
                <m:t>pixel_to_um_ratio</m:t>
              </m:r>
            </m:e>
          </m:d>
        </m:oMath>
      </m:oMathPara>
    </w:p>
    <w:p w14:paraId="45237D0F" w14:textId="77777777" w:rsidR="00720F6B" w:rsidRDefault="00720F6B" w:rsidP="00720F6B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</w:pPr>
    </w:p>
    <w:p w14:paraId="0A9D8ECE" w14:textId="0F0EC836" w:rsidR="00140E3D" w:rsidRPr="00B03809" w:rsidRDefault="00140E3D" w:rsidP="00720F6B">
      <w:p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Each droplet was characterized by its </w:t>
      </w:r>
      <w:r w:rsidRPr="00B0380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coordination number (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Z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</m:t>
        </m:r>
        <m:r>
          <m:rPr>
            <m:nor/>
          </m:rPr>
          <w:rPr>
            <w:rFonts w:ascii="Arial" w:eastAsia="Times New Roman" w:hAnsi="Arial" w:cs="Arial"/>
            <w:color w:val="1F1F1F"/>
            <w:kern w:val="0"/>
            <w14:ligatures w14:val="none"/>
          </w:rPr>
          <m:t>deg</m:t>
        </m:r>
        <m:d>
          <m:d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i</m:t>
                </m:r>
              </m:sub>
            </m:sSub>
          </m:e>
        </m:d>
      </m:oMath>
      <w:r w:rsidRPr="00B0380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</w:t>
      </w:r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r w:rsidRPr="00B0380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aspect ratio</w:t>
      </w:r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(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AR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a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maj</m:t>
            </m:r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,i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a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min</m:t>
            </m:r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,i</m:t>
            </m:r>
          </m:sub>
        </m:sSub>
      </m:oMath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), and </w:t>
      </w:r>
      <w:r w:rsidRPr="00B0380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solidity (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i</m:t>
            </m:r>
          </m:sub>
        </m:sSub>
      </m:oMath>
      <w:r w:rsidRPr="00B0380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</w:t>
      </w:r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, and categorized into four structural network motifs:</w:t>
      </w:r>
      <w:r w:rsidRPr="00B0380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97C29F5" w14:textId="1536E60A" w:rsidR="00140E3D" w:rsidRPr="00B03809" w:rsidRDefault="00140E3D" w:rsidP="00720F6B">
      <w:pPr>
        <w:spacing w:line="240" w:lineRule="auto"/>
        <w:jc w:val="both"/>
        <w:rPr>
          <w:rFonts w:ascii="Arial" w:eastAsia="Times New Roman" w:hAnsi="Arial" w:cs="Times New Roman"/>
          <w:color w:val="1F1F1F"/>
          <w:kern w:val="0"/>
          <w14:ligatures w14:val="none"/>
        </w:rPr>
      </w:pPr>
    </w:p>
    <w:p w14:paraId="0B6293E5" w14:textId="77777777" w:rsidR="00140E3D" w:rsidRPr="00B03809" w:rsidRDefault="00140E3D" w:rsidP="00720F6B">
      <w:pPr>
        <w:numPr>
          <w:ilvl w:val="0"/>
          <w:numId w:val="2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Z=0</m:t>
        </m:r>
      </m:oMath>
      <w:r w:rsidRPr="00B0380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Isolated Monomer (</w:t>
      </w:r>
      <w:proofErr w:type="spellStart"/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unflocculated</w:t>
      </w:r>
      <w:proofErr w:type="spellEnd"/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free droplet)</w:t>
      </w:r>
      <w:r w:rsidRPr="00B0380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797699F" w14:textId="77777777" w:rsidR="00140E3D" w:rsidRPr="00B03809" w:rsidRDefault="00140E3D" w:rsidP="00720F6B">
      <w:pPr>
        <w:numPr>
          <w:ilvl w:val="0"/>
          <w:numId w:val="2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Z=1</m:t>
        </m:r>
      </m:oMath>
      <w:r w:rsidRPr="00B0380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Dimer / Chain Terminal End</w:t>
      </w:r>
      <w:r w:rsidRPr="00B0380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211C702" w14:textId="77777777" w:rsidR="00140E3D" w:rsidRPr="00B03809" w:rsidRDefault="00140E3D" w:rsidP="00720F6B">
      <w:pPr>
        <w:numPr>
          <w:ilvl w:val="0"/>
          <w:numId w:val="2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Z=2</m:t>
        </m:r>
      </m:oMath>
      <w:r w:rsidRPr="00B0380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Linear Chain Link</w:t>
      </w:r>
      <w:r w:rsidRPr="00B0380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CE90846" w14:textId="77777777" w:rsidR="00140E3D" w:rsidRPr="00B03809" w:rsidRDefault="00140E3D" w:rsidP="00720F6B">
      <w:pPr>
        <w:numPr>
          <w:ilvl w:val="0"/>
          <w:numId w:val="2"/>
        </w:numPr>
        <w:spacing w:line="240" w:lineRule="auto"/>
        <w:jc w:val="both"/>
        <w:rPr>
          <w:rFonts w:ascii="Arial" w:eastAsia="Times New Roman" w:hAnsi="Arial" w:cs="Arial"/>
          <w:color w:val="1F1F1F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Z≥3</m:t>
        </m:r>
      </m:oMath>
      <w:r w:rsidRPr="00B0380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Network Branching Node (3D space-filling colloidal network junction)</w:t>
      </w:r>
      <w:r w:rsidRPr="00B03809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B85A4B6" w14:textId="77777777" w:rsidR="00720F6B" w:rsidRDefault="00140E3D" w:rsidP="00720F6B">
      <w:pPr>
        <w:spacing w:line="240" w:lineRule="auto"/>
        <w:jc w:val="both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Multi-droplet agglomerates (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N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agg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≥2</m:t>
        </m:r>
      </m:oMath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) were identified via breadth-first connected-component traversal of 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G</m:t>
        </m:r>
      </m:oMath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yielding the </w:t>
      </w:r>
      <w:r w:rsidRPr="00B0380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Coalesced Droplet Fraction </w:t>
      </w:r>
    </w:p>
    <w:p w14:paraId="5F454FD3" w14:textId="77777777" w:rsidR="00720F6B" w:rsidRDefault="00720F6B" w:rsidP="00720F6B">
      <w:pPr>
        <w:spacing w:line="240" w:lineRule="auto"/>
        <w:jc w:val="both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</w:p>
    <w:p w14:paraId="2C4CF31D" w14:textId="7C48C11E" w:rsidR="00720F6B" w:rsidRDefault="00140E3D" w:rsidP="00720F6B">
      <w:pPr>
        <w:spacing w:line="240" w:lineRule="auto"/>
        <w:jc w:val="center"/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</w:pPr>
      <w:r w:rsidRPr="00B0380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(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Φ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coal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=P</m:t>
        </m:r>
        <m:d>
          <m:d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Z≥1</m:t>
            </m:r>
          </m:e>
        </m:d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×100%</m:t>
        </m:r>
      </m:oMath>
      <w:r w:rsidRPr="00B0380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</w:t>
      </w:r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,</w:t>
      </w:r>
    </w:p>
    <w:p w14:paraId="0258DE76" w14:textId="77777777" w:rsidR="00720F6B" w:rsidRDefault="00720F6B" w:rsidP="00720F6B">
      <w:pPr>
        <w:spacing w:line="240" w:lineRule="auto"/>
        <w:jc w:val="both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</w:p>
    <w:p w14:paraId="0C3C8213" w14:textId="77777777" w:rsidR="00720F6B" w:rsidRDefault="00140E3D" w:rsidP="00720F6B">
      <w:pPr>
        <w:spacing w:line="240" w:lineRule="auto"/>
        <w:jc w:val="both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  <w:r w:rsidRPr="00B0380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Mean Coordination Number (</w:t>
      </w:r>
      <m:oMath>
        <m:d>
          <m:dPr>
            <m:begChr m:val="⟨"/>
            <m:endChr m:val="⟩"/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Z</m:t>
            </m:r>
          </m:e>
        </m:d>
      </m:oMath>
      <w:r w:rsidRPr="00B0380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</w:t>
      </w:r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r w:rsidRPr="00B0380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Branching Node Fraction </w:t>
      </w:r>
    </w:p>
    <w:p w14:paraId="7F33AB8A" w14:textId="77777777" w:rsidR="00720F6B" w:rsidRDefault="00720F6B" w:rsidP="00720F6B">
      <w:pPr>
        <w:spacing w:line="240" w:lineRule="auto"/>
        <w:jc w:val="both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</w:p>
    <w:p w14:paraId="16B441D6" w14:textId="0E25A2FF" w:rsidR="00720F6B" w:rsidRDefault="00140E3D" w:rsidP="00720F6B">
      <w:pPr>
        <w:spacing w:line="240" w:lineRule="auto"/>
        <w:jc w:val="center"/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</w:pPr>
      <w:r w:rsidRPr="00B0380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(</w:t>
      </w:r>
      <m:oMath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P</m:t>
        </m:r>
        <m:d>
          <m:d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Z≥3</m:t>
            </m:r>
          </m:e>
        </m:d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×100%</m:t>
        </m:r>
      </m:oMath>
      <w:r w:rsidRPr="00B0380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</w:t>
      </w:r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,</w:t>
      </w:r>
    </w:p>
    <w:p w14:paraId="057CB722" w14:textId="77777777" w:rsidR="00720F6B" w:rsidRDefault="00720F6B" w:rsidP="00720F6B">
      <w:pPr>
        <w:spacing w:line="240" w:lineRule="auto"/>
        <w:jc w:val="center"/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</w:pPr>
    </w:p>
    <w:p w14:paraId="5726C4A6" w14:textId="1C4E5E19" w:rsidR="00720F6B" w:rsidRDefault="00140E3D" w:rsidP="00720F6B">
      <w:pPr>
        <w:spacing w:line="240" w:lineRule="auto"/>
        <w:jc w:val="both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  <w:r w:rsidRPr="00B0380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Mean Aggregation Number (</w:t>
      </w:r>
      <m:oMath>
        <m:d>
          <m:dPr>
            <m:begChr m:val="⟨"/>
            <m:endChr m:val="⟩"/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  <m:t>N</m:t>
                </m:r>
              </m:e>
              <m:sub>
                <m:r>
                  <m:rPr>
                    <m:nor/>
                  </m:rPr>
                  <w:rPr>
                    <w:rFonts w:ascii="Arial" w:eastAsia="Times New Roman" w:hAnsi="Arial" w:cs="Arial"/>
                    <w:color w:val="1F1F1F"/>
                    <w:kern w:val="0"/>
                    <w14:ligatures w14:val="none"/>
                  </w:rPr>
                  <m:t>agg</m:t>
                </m:r>
              </m:sub>
            </m:sSub>
          </m:e>
        </m:d>
      </m:oMath>
      <w:r w:rsidRPr="00B0380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</w:t>
      </w:r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and </w:t>
      </w:r>
      <w:r w:rsidRPr="00B0380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Equivalent Cluster Diameter </w:t>
      </w:r>
    </w:p>
    <w:p w14:paraId="3E6B9823" w14:textId="77777777" w:rsidR="00720F6B" w:rsidRDefault="00720F6B" w:rsidP="00720F6B">
      <w:pPr>
        <w:spacing w:line="240" w:lineRule="auto"/>
        <w:jc w:val="both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</w:p>
    <w:p w14:paraId="74011645" w14:textId="05530407" w:rsidR="00140E3D" w:rsidRPr="00B03809" w:rsidRDefault="00140E3D" w:rsidP="00720F6B">
      <w:pPr>
        <w:spacing w:line="240" w:lineRule="auto"/>
        <w:jc w:val="center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0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(</w:t>
      </w:r>
      <m:oMath>
        <m:sSub>
          <m:sSubPr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D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  <m:t>cluster</m:t>
            </m:r>
          </m:sub>
        </m:sSub>
        <m:r>
          <w:rPr>
            <w:rFonts w:ascii="Cambria Math" w:eastAsia="Times New Roman" w:hAnsi="Cambria Math" w:cs="Arial"/>
            <w:color w:val="1F1F1F"/>
            <w:kern w:val="0"/>
            <w14:ligatures w14:val="none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</m:ctrlPr>
          </m:radPr>
          <m:deg/>
          <m:e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4</m:t>
            </m:r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="Times New Roman" w:hAnsi="Cambria Math" w:cs="Arial"/>
                    <w:color w:val="1F1F1F"/>
                    <w:kern w:val="0"/>
                    <w14:ligatures w14:val="none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Arial"/>
                        <w:color w:val="1F1F1F"/>
                        <w:kern w:val="0"/>
                        <w14:ligatures w14:val="none"/>
                      </w:rPr>
                      <m:t>k</m:t>
                    </m:r>
                  </m:sub>
                </m:sSub>
              </m:e>
            </m:nary>
            <m:r>
              <w:rPr>
                <w:rFonts w:ascii="Cambria Math" w:eastAsia="Times New Roman" w:hAnsi="Cambria Math" w:cs="Arial"/>
                <w:color w:val="1F1F1F"/>
                <w:kern w:val="0"/>
                <w14:ligatures w14:val="none"/>
              </w:rPr>
              <m:t>/π</m:t>
            </m:r>
          </m:e>
        </m:rad>
      </m:oMath>
      <w:r w:rsidRPr="00B0380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)</w:t>
      </w:r>
      <w:r w:rsidRPr="00B03809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</w:p>
    <w:p w14:paraId="46A453FF" w14:textId="77777777" w:rsidR="00140E3D" w:rsidRPr="00720F6B" w:rsidRDefault="00140E3D" w:rsidP="00720F6B">
      <w:pPr>
        <w:jc w:val="both"/>
        <w:rPr>
          <w:lang w:val="en-US"/>
        </w:rPr>
      </w:pPr>
    </w:p>
    <w:p w14:paraId="04FD593F" w14:textId="77777777" w:rsidR="009E4D27" w:rsidRPr="002821EB" w:rsidRDefault="009E4D27" w:rsidP="00720F6B">
      <w:pPr>
        <w:jc w:val="both"/>
      </w:pPr>
    </w:p>
    <w:sectPr w:rsidR="009E4D27" w:rsidRPr="002821EB" w:rsidSect="00140E3D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7258D0"/>
    <w:multiLevelType w:val="multilevel"/>
    <w:tmpl w:val="D09A2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EA4561"/>
    <w:multiLevelType w:val="multilevel"/>
    <w:tmpl w:val="DC40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3301A"/>
    <w:multiLevelType w:val="hybridMultilevel"/>
    <w:tmpl w:val="A4B4FC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6F5C69"/>
    <w:multiLevelType w:val="multilevel"/>
    <w:tmpl w:val="E33A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DF54F8"/>
    <w:multiLevelType w:val="multilevel"/>
    <w:tmpl w:val="E6F2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BA6339"/>
    <w:multiLevelType w:val="hybridMultilevel"/>
    <w:tmpl w:val="B5121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4473702">
    <w:abstractNumId w:val="0"/>
  </w:num>
  <w:num w:numId="2" w16cid:durableId="1170289809">
    <w:abstractNumId w:val="4"/>
  </w:num>
  <w:num w:numId="3" w16cid:durableId="1229219652">
    <w:abstractNumId w:val="5"/>
  </w:num>
  <w:num w:numId="4" w16cid:durableId="230308929">
    <w:abstractNumId w:val="1"/>
  </w:num>
  <w:num w:numId="5" w16cid:durableId="177891519">
    <w:abstractNumId w:val="3"/>
  </w:num>
  <w:num w:numId="6" w16cid:durableId="1633779562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E3D"/>
    <w:rsid w:val="00140E3D"/>
    <w:rsid w:val="00172ACC"/>
    <w:rsid w:val="001E4F33"/>
    <w:rsid w:val="002821EB"/>
    <w:rsid w:val="00720F6B"/>
    <w:rsid w:val="008920BF"/>
    <w:rsid w:val="009E4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8913E8"/>
  <w15:chartTrackingRefBased/>
  <w15:docId w15:val="{3F7E652C-92EF-6649-8F32-A97B8A34E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E3D"/>
  </w:style>
  <w:style w:type="paragraph" w:styleId="Heading1">
    <w:name w:val="heading 1"/>
    <w:basedOn w:val="Normal"/>
    <w:next w:val="Normal"/>
    <w:link w:val="Heading1Char"/>
    <w:uiPriority w:val="9"/>
    <w:qFormat/>
    <w:rsid w:val="00140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E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E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E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E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E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E3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E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E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E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E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E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E3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E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E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E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E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E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1268</Words>
  <Characters>7231</Characters>
  <Application>Microsoft Office Word</Application>
  <DocSecurity>0</DocSecurity>
  <Lines>60</Lines>
  <Paragraphs>16</Paragraphs>
  <ScaleCrop>false</ScaleCrop>
  <Company/>
  <LinksUpToDate>false</LinksUpToDate>
  <CharactersWithSpaces>8483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Goralchuk</dc:creator>
  <cp:keywords/>
  <dc:description/>
  <cp:lastModifiedBy>Andrii Goralchuk</cp:lastModifiedBy>
  <cp:revision>3</cp:revision>
  <dcterms:created xsi:type="dcterms:W3CDTF">2026-10-28T12:44:00Z</dcterms:created>
  <dcterms:modified xsi:type="dcterms:W3CDTF">2026-10-28T13:33:00Z</dcterms:modified>
</cp:coreProperties>
</file>