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6"/>
        </w:rPr>
        <w:t>AERO-GUARD: An Intelligent Edge-Based System for Satellite Battery Health Monitoring and Autonomous Fault Management</w:t>
      </w:r>
    </w:p>
    <w:tbl>
      <w:tblPr>
        <w:tblW w:type="auto" w:w="0"/>
        <w:jc w:val="center"/>
        <w:tblLook w:firstColumn="1" w:firstRow="1" w:lastColumn="0" w:lastRow="0" w:noHBand="0" w:noVBand="1" w:val="04A0"/>
      </w:tblPr>
      <w:tblGrid>
        <w:gridCol w:w="5040"/>
        <w:gridCol w:w="5040"/>
      </w:tblGrid>
      <w:tr>
        <w:tc>
          <w:tcPr>
            <w:tcW w:type="dxa" w:w="5040"/>
          </w:tcPr>
          <w:p>
            <w:pPr>
              <w:jc w:val="center"/>
            </w:pPr>
            <w:r>
              <w:rPr>
                <w:i/>
                <w:sz w:val="18"/>
              </w:rPr>
              <w:t>Dr. Mayura D Tapkire</w:t>
              <w:br/>
              <w:t>Dept. of Computer Science &amp; Engineering (AI &amp; ML)</w:t>
              <w:br/>
              <w:t>The National Institute of Engineering</w:t>
              <w:br/>
              <w:t>Mysuru, India</w:t>
            </w:r>
          </w:p>
        </w:tc>
        <w:tc>
          <w:tcPr>
            <w:tcW w:type="dxa" w:w="5040"/>
          </w:tcPr>
          <w:p>
            <w:pPr>
              <w:jc w:val="center"/>
            </w:pPr>
            <w:r>
              <w:rPr>
                <w:i w:val="0"/>
                <w:sz w:val="18"/>
              </w:rPr>
              <w:t>Aashish Vatwani</w:t>
              <w:br/>
              <w:t>Dept. of Computer Science &amp; Engineering (AI &amp; ML)</w:t>
              <w:br/>
              <w:t>The National Institute of Engineering</w:t>
              <w:br/>
              <w:t>Mysuru, India</w:t>
            </w:r>
          </w:p>
        </w:tc>
      </w:tr>
      <w:tr>
        <w:tc>
          <w:tcPr>
            <w:tcW w:type="dxa" w:w="5040"/>
          </w:tcPr>
          <w:p>
            <w:pPr>
              <w:jc w:val="center"/>
            </w:pPr>
            <w:r>
              <w:rPr>
                <w:i w:val="0"/>
                <w:sz w:val="18"/>
              </w:rPr>
              <w:t>Abhilash Tiwari &amp; Abhishek C Patil</w:t>
              <w:br/>
              <w:t>Dept. of Computer Science &amp; Engineering (AI &amp; ML)</w:t>
              <w:br/>
              <w:t>The National Institute of Engineering</w:t>
              <w:br/>
              <w:t>Mysuru, India</w:t>
            </w:r>
          </w:p>
        </w:tc>
        <w:tc>
          <w:tcPr>
            <w:tcW w:type="dxa" w:w="5040"/>
          </w:tcPr>
          <w:p>
            <w:pPr>
              <w:jc w:val="center"/>
            </w:pPr>
            <w:r>
              <w:rPr>
                <w:i w:val="0"/>
                <w:sz w:val="18"/>
              </w:rPr>
              <w:t>Amitabh Mishra</w:t>
              <w:br/>
              <w:t>Dept. of Computer Science &amp; Engineering (AI &amp; ML)</w:t>
              <w:br/>
              <w:t>The National Institute of Engineering</w:t>
              <w:br/>
              <w:t>Mysuru, India</w:t>
            </w:r>
          </w:p>
        </w:tc>
      </w:tr>
    </w:tbl>
    <w:p>
      <w:pPr>
        <w:spacing w:after="120"/>
      </w:pPr>
    </w:p>
    <w:p>
      <w:pPr>
        <w:spacing w:after="120"/>
        <w:ind w:left="360" w:right="360"/>
      </w:pPr>
      <w:r>
        <w:rPr>
          <w:b/>
          <w:sz w:val="19"/>
        </w:rPr>
        <w:t>Abstract—</w:t>
      </w:r>
      <w:r>
        <w:rPr>
          <w:i/>
          <w:sz w:val="19"/>
        </w:rPr>
        <w:t>Satellite battery systems require continuous monitoring because abnormal changes in electrical and thermal parameters can lead to irreversible degradation, micro-shorts, and catastrophic thermal runaway. AERO-GUARD is an intelligent edge-based autonomous Fault Detection, Isolation, and Recovery (FDIR) architecture engineered for satellite battery subsystems in Low-Earth-Orbit (LEO) environments. The proposed system ingests high-frequency voltage, current, temperature, and state of charge (SOC) telemetry, extracting dynamic physics-informed indicators including internal resistance proxy (R_int), Joule heating rate (P_joule), and thermal gradients (dT/dt) under an EWMA-filtered framework. A Platt-calibrated voting ensemble (Random Forest 35%, XGBoost 40%, Extra Trees 25%) detects multivariate anomaly precursors, while a dedicated 6-class classifier performs fine-grained root-cause isolation. To eliminate false alarms during high-irradiance eclipse-to-sunlight transitions, a Q-learning reinforcement learning agent dynamically modulates detection thresholds within tau_t in [0.10, 0.70] and commands optimal load shedding. Prior to physical intervention, a 60-second forward-Euler Lumped-Capacitance Digital Twin ODE simulator projects counterfactual thermal and SOC trajectories to verify safety. Safety-verified actuation commands are framed with CRC-16 protocol integrity and executed via PySerial (115,200 baud) on an ATmega328P microcontroller hardware-in-the-loop (HITL) testbed. Empirical evaluation across 21,600 contiguous telemetry steps with out-of-sample temporal orbit splitting demonstrates an F1-score of 99.17%, precision of 98.76%, recall of 99.58%, a false alarm rate of 0.192%, and a native policy inference latency of 0.23 ms (12.71 ms with complete forward Digital Twin ODE integration). Zero safety-boundary excursions occurred, and physical hardware bus isolation was achieved in under 12.4 ms.</w:t>
      </w:r>
    </w:p>
    <w:p>
      <w:pPr>
        <w:spacing w:after="240"/>
        <w:ind w:left="360" w:right="360"/>
      </w:pPr>
      <w:r>
        <w:rPr>
          <w:b/>
          <w:sz w:val="19"/>
        </w:rPr>
        <w:t>Index Terms—</w:t>
      </w:r>
      <w:r>
        <w:rPr>
          <w:sz w:val="19"/>
        </w:rPr>
        <w:t>Satellite battery monitoring, fault diagnosis, edge intelligence, machine learning ensemble, Q-learning, digital twin, lumped-capacitance ODE, hardware-in-the-loop, autonomous FDIR, telemetry.</w:t>
      </w:r>
    </w:p>
    <w:p>
      <w:pPr>
        <w:spacing w:before="240" w:after="80"/>
      </w:pPr>
      <w:r>
        <w:rPr>
          <w:b/>
          <w:sz w:val="22"/>
        </w:rPr>
        <w:t>I. INTRODUCTION</w:t>
      </w:r>
    </w:p>
    <w:p>
      <w:r>
        <w:t>Satellite electrical power subsystems (EPS) rely heavily on secondary Lithium-ion battery packs to ensure operational continuity during eclipse phases and manage transient peak power demands. Anomalous variations in voltage, discharge current, cell temperature, internal impedance, and state-of-charge (SOC) indicate internal degradation, developing electrochemical faults, or impending thermal runaway. Because satellites operating in Low-Earth-Orbit (LEO) experience rapid day/night thermal shifts every 90 minutes and light-time ground communication latencies, automated, onboard Fault Detection, Isolation, and Recovery (FDIR) is critical to avoid catastrophic mission loss [1], [2].</w:t>
      </w:r>
    </w:p>
    <w:p>
      <w:r>
        <w:t>Traditional satellite health management architectures depend upon static lookup thresholds and hardcoded limit-checks. However, battery faults rarely manifest in a single isolated parameter. Natural orbital flux transitions can trigger false alarms if thresholds are set too aggressively, while relaxed thresholds fail to intercept internal micro-shorts before exothermic Joule heating triggers irreversible separator melting. To overcome these limitations, AERO-GUARD introduces an integrated neuro-symbolic edge architecture uniting multi-model ensemble learning, reinforcement-learning threshold adaptation, counterfactual digital twin forward simulation, and hardware-in-the-loop physical actuation.</w:t>
      </w:r>
    </w:p>
    <w:p>
      <w:pPr>
        <w:spacing w:before="160" w:after="40"/>
      </w:pPr>
      <w:r>
        <w:rPr>
          <w:b/>
          <w:i/>
          <w:sz w:val="20"/>
        </w:rPr>
        <w:t>A. Satellite Battery Health &amp; Precursor Monitoring</w:t>
      </w:r>
    </w:p>
    <w:p>
      <w:r>
        <w:t>The AERO-GUARD system continuously ingests high-frequency telemetry including terminal voltage (V), discharge current (I), cell temperature (T), and state-of-charge (SOC). Telemetry is passed through an Exponential Weighted Moving Average (EWMA) filter to remove sensor noise and transient spikes. Physics-informed derived features—dynamic internal resistance proxy (R_int), Joule heating rate (P_joule), and thermal gradient (dT/dt)—are computed synchronously to provide the classifier with early precursor indicators.</w:t>
      </w:r>
    </w:p>
    <w:p>
      <w:pPr>
        <w:spacing w:before="160" w:after="40"/>
      </w:pPr>
      <w:r>
        <w:rPr>
          <w:b/>
          <w:i/>
          <w:sz w:val="20"/>
        </w:rPr>
        <w:t>B. Multi-Model Ensemble &amp; Root-Cause Classification</w:t>
      </w:r>
    </w:p>
    <w:p>
      <w:r>
        <w:t>A Platt-calibrated tri-model voting ensemble combining Random Forest (35%), XGBoost (40%), and Extra Trees (25%) predicts overall anomaly probability. De-correlating individual model errors ensures high sensitivity with minimal variance. In parallel, a 6-class classifier isolates the specific root-cause failure mode: Normal, Thermal Runaway Precursor, Internal Short Circuit, Deep Undervoltage, High Impedance Degradation, and Sensor Glitch.</w:t>
      </w:r>
    </w:p>
    <w:p>
      <w:pPr>
        <w:spacing w:before="160" w:after="40"/>
      </w:pPr>
      <w:r>
        <w:rPr>
          <w:b/>
          <w:i/>
          <w:sz w:val="20"/>
        </w:rPr>
        <w:t>C. Digital Twin-Based Safety Verification</w:t>
      </w:r>
    </w:p>
    <w:p>
      <w:r>
        <w:t>To ensure that mitigation commands do not inadvertently destabilize the satellite, candidate actions are evaluated using a 60-second forward-Euler Lumped-Capacitance thermal differential equation model before physical commands are issued. If counterfactual simulations indicate that an action fails to stabilize cell temperature or maintain bus voltage within safety bounds, the command is overridden [7].</w:t>
      </w:r>
    </w:p>
    <w:p>
      <w:pPr>
        <w:spacing w:before="160" w:after="40"/>
      </w:pPr>
      <w:r>
        <w:rPr>
          <w:b/>
          <w:i/>
          <w:sz w:val="20"/>
        </w:rPr>
        <w:t>D. Research Contributions</w:t>
      </w:r>
    </w:p>
    <w:p>
      <w:r>
        <w:t>The primary contributions of this work are:</w:t>
        <w:br/>
        <w:t>• A closed-loop neuro-symbolic edge architecture integrating telemetry ingestion, ensemble detection, adaptive RL, and physical actuation.</w:t>
        <w:br/>
        <w:t>• An adaptive Q-learning threshold policy dynamically shifting tau_t in [0.10, 0.70] according to orbital state and solar exposure.</w:t>
        <w:br/>
        <w:t>• A 60-second forward-Euler thermal ODE Digital Twin counterfactual engine that validates mitigation utility before execution.</w:t>
        <w:br/>
        <w:t>• A high-speed hardware-in-the-loop (HITL) physical prototype using PySerial (115,200 baud) and CRC-16 framing on an ATmega328P controller.</w:t>
        <w:br/>
        <w:t>• An exhaustive 6-tier empirical ablation study across 21,600 telemetry steps validating F1-score (99.17%), false alarm rate (0.192%), and execution latency (0.23 ms / 12.71 ms).</w:t>
      </w:r>
    </w:p>
    <w:p>
      <w:pPr>
        <w:spacing w:before="240" w:after="80"/>
      </w:pPr>
      <w:r>
        <w:rPr>
          <w:b/>
          <w:sz w:val="22"/>
        </w:rPr>
        <w:t>II. RELATED WORK</w:t>
      </w:r>
    </w:p>
    <w:p>
      <w:r>
        <w:t>Recent literature has demonstrated the efficacy of machine learning for battery state of health (SOH) estimation, remaining useful life (RUL) prediction, and fault diagnosis [8]–[11]. Sullivan et al. [5] demonstrated reinforcement learning for closed-loop fault management on planetary orbiters, establishing that dynamic policies outperform brittle static rules. Similarly, physics-informed neural networks and lumped thermal models [7] have proven effective for rapid state estimation using short telemetry windows. AERO-GUARD synthesizes these approaches into a unified, edge-executable framework linking data-driven classifiers with physical ODE verification and deterministic safety overrides.</w:t>
      </w:r>
    </w:p>
    <w:p>
      <w:pPr>
        <w:spacing w:before="240" w:after="80"/>
      </w:pPr>
      <w:r>
        <w:rPr>
          <w:b/>
          <w:sz w:val="22"/>
        </w:rPr>
        <w:t>III. PROBLEM FORMULATION</w:t>
      </w:r>
    </w:p>
    <w:p>
      <w:r>
        <w:t>Let an incoming telemetry vector at time step t be represented as:</w:t>
        <w:br/>
        <w:t xml:space="preserve">    z_t = (V_t, I_t, T_t, R_t, SOH_t, SOC_t)                                                (1)</w:t>
        <w:br/>
        <w:t>where V_t is bus voltage, I_t is discharge current, T_t is cell temperature, R_t is internal impedance proxy, SOH_t is state of health, and SOC_t is state of charge.</w:t>
      </w:r>
    </w:p>
    <w:p>
      <w:r>
        <w:t>Feature engineering computes temporal derivatives and Joule dissipation to construct the enriched input feature vector:</w:t>
        <w:br/>
        <w:t xml:space="preserve">    x_t = (V_t, I_t, T_t, R_t, SOH_t, SOC_t, Delta V_t, Delta T_t, P_joule)                (2)</w:t>
        <w:br/>
        <w:t>The calibrated ensemble produces posterior fault probability via Platt scaling:</w:t>
        <w:br/>
        <w:t xml:space="preserve">    P_ens(x_t) = 0.35 P_RF(x_t) + 0.40 P_XGB(x_t) + 0.25 P_ET(x_t)                         (3)</w:t>
        <w:br/>
        <w:t>The decision state is evaluated against the Q-learning dynamically shifted threshold tau_t in [0.10, 0.70]:</w:t>
        <w:br/>
        <w:t xml:space="preserve">    Decision(x_t) = Fault if P_ens(x_t) &gt;= tau_t, else Nominal                              (4)</w:t>
      </w:r>
    </w:p>
    <w:p>
      <w:pPr>
        <w:spacing w:before="240" w:after="80"/>
      </w:pPr>
      <w:r>
        <w:rPr>
          <w:b/>
          <w:sz w:val="22"/>
        </w:rPr>
        <w:t>IV. PROPOSED METHODOLOGY</w:t>
      </w:r>
    </w:p>
    <w:p>
      <w:pPr>
        <w:spacing w:before="160" w:after="40"/>
      </w:pPr>
      <w:r>
        <w:rPr>
          <w:b/>
          <w:i/>
          <w:sz w:val="20"/>
        </w:rPr>
        <w:t>A. System Overview &amp; Processing Chain</w:t>
      </w:r>
    </w:p>
    <w:p>
      <w:r>
        <w:t>The AERO-GUARD processing pipeline follows a deterministic six-stage chain:</w:t>
        <w:br/>
        <w:t>Raw Telemetry Ingestion -&gt; EWMA Preprocessing -&gt; Physics Feature Extraction -&gt; ML Ensemble &amp; Severity Diagnosis -&gt; Q-Learning Threshold &amp; Load Shedding -&gt; Digital Twin 60s ODE Simulation -&gt; Deterministic Safety Override -&gt; CRC-16 HITL Actuation.</w:t>
      </w:r>
    </w:p>
    <w:p>
      <w:pPr>
        <w:spacing w:before="160" w:after="40"/>
      </w:pPr>
      <w:r>
        <w:rPr>
          <w:b/>
          <w:i/>
          <w:sz w:val="20"/>
        </w:rPr>
        <w:t>B. Telemetry Ingestion &amp; Physics Feature Engineering</w:t>
      </w:r>
    </w:p>
    <w:p>
      <w:r>
        <w:t>Telemetry is sampled at 10 Hz. An EWMA filter attenuates sensor noise while preserving sharp transient excursions. The feature engine computes dynamic internal resistance proxy R_int = clip(|Delta V| / |Delta I|, 0.01, 3.0), Joule heating rate P_joule = I^2 R_int, and thermal gradient dT/dt.</w:t>
      </w:r>
    </w:p>
    <w:p>
      <w:pPr>
        <w:spacing w:before="160" w:after="40"/>
      </w:pPr>
      <w:r>
        <w:rPr>
          <w:b/>
          <w:i/>
          <w:sz w:val="20"/>
        </w:rPr>
        <w:t>C. Adaptive Q-Learning Mitigation Policy</w:t>
      </w:r>
    </w:p>
    <w:p>
      <w:r>
        <w:t>The Q-learning policy agent observes a 6-dimensional discretized state space s_t = [P_ens, dT/dt, R_int, SOC, EclipseFlag, AlertRate]. It selects among candidate actions: a0 (Nominal Monitor, tau=0.70), a1 (High-Sensitivity Pre-Arm, tau=0.35), a2 (Load Shedding, tau=0.45, shedding 35% non-critical payload), and a3 (Trigger Emergency Safe Mode, tau=0.50). The agent optimizes the Bellman equation using an aerospace reward matrix penalizing false negatives (-35.0) and false alarms (-6.0).</w:t>
      </w:r>
    </w:p>
    <w:p>
      <w:pPr>
        <w:spacing w:before="160" w:after="40"/>
      </w:pPr>
      <w:r>
        <w:rPr>
          <w:b/>
          <w:i/>
          <w:sz w:val="20"/>
        </w:rPr>
        <w:t>D. Digital Twin 60-Second Counterfactual ODE Simulation</w:t>
      </w:r>
    </w:p>
    <w:p>
      <w:r>
        <w:t>Prior to executing action a_k, the Digital Twin projects thermal trajectory over [0, 60s] by numerically integrating:</w:t>
        <w:br/>
        <w:t xml:space="preserve">    dT_cell / dt = (1 / C_thermal) * [ I(a_k)^2 R_int + Q_exo - h A (T_cell - T_space) ]   (5)</w:t>
        <w:br/>
        <w:t>Composite action utility U(a_k) is scored across Safety (0.55), Availability (0.30), and Energy Preservation (0.15). Actions violating temperature (&gt; 60 C) or voltage (&lt; 3.0 V) limits are rejected.</w:t>
      </w:r>
    </w:p>
    <w:p>
      <w:pPr>
        <w:spacing w:before="160" w:after="40"/>
      </w:pPr>
      <w:r>
        <w:rPr>
          <w:b/>
          <w:i/>
          <w:sz w:val="20"/>
        </w:rPr>
        <w:t>E. Mission Control Frontend &amp; 3D Spacecraft Visualizer</w:t>
      </w:r>
    </w:p>
    <w:p>
      <w:r>
        <w:t>The operator interface is built using Vanilla HTML5, Modern CSS3 (Cyberpunk Glassmorphism), and Vanilla JavaScript (ES6+), interfacing with an asynchronous FastAPI backend over bidirectional /ws/telemetry WebSockets. It features an HTML5 Canvas real-time 3D spacecraft wireframe display showing solar panel orientation and RCS thruster plume animation. A WebAudio API synthesizer generates acoustic telemetry feedback, and interactive consoles permit manual fault injection.</w:t>
      </w:r>
    </w:p>
    <w:p>
      <w:pPr>
        <w:spacing w:before="160" w:after="40"/>
      </w:pPr>
      <w:r>
        <w:rPr>
          <w:b/>
          <w:i/>
          <w:sz w:val="20"/>
        </w:rPr>
        <w:t>F. Edge Deployment &amp; Hardware-in-the-Loop Architecture</w:t>
      </w:r>
    </w:p>
    <w:p>
      <w:r>
        <w:t>AERO-GUARD runs on Python 3.10+ managed via Uvicorn. Actuation frames are formatted with CRC-16 framing: [SYNC_1=0xAA, SYNC_2=0x55, CMD_ID, ALERT_STATE, SEVERITY, RL_ACTION, CRC16_H, CRC16_L]. Packets are transmitted via PySerial (115,200 baud) to an ATmega328P Arduino Uno controlling Pin 13 (alert strobe) and Pin 12 (power bus relay disconnect), with an automated non-blocking virtual emulator fallback.</w:t>
      </w:r>
    </w:p>
    <w:p>
      <w:pPr>
        <w:spacing w:before="240" w:after="80"/>
      </w:pPr>
      <w:r>
        <w:rPr>
          <w:b/>
          <w:sz w:val="22"/>
        </w:rPr>
        <w:t>V. SYSTEM IMPLEMENTATION &amp; TECH STACK</w:t>
      </w:r>
    </w:p>
    <w:p>
      <w:r>
        <w:t>Table I summarizes the implemented engineering components across each architectural layer.</w:t>
      </w:r>
    </w:p>
    <w:tbl>
      <w:tblPr>
        <w:tblW w:type="auto" w:w="0"/>
        <w:jc w:val="center"/>
        <w:tblLook w:firstColumn="1" w:firstRow="1" w:lastColumn="0" w:lastRow="0" w:noHBand="0" w:noVBand="1" w:val="04A0"/>
      </w:tblPr>
      <w:tblGrid>
        <w:gridCol w:w="3360"/>
        <w:gridCol w:w="3360"/>
        <w:gridCol w:w="3360"/>
      </w:tblGrid>
      <w:tr>
        <w:tc>
          <w:tcPr>
            <w:tcW w:type="dxa" w:w="3360"/>
            <w:shd w:fill="E2E8F0"/>
            <w:tcMar>
              <w:top w:w="80" w:type="dxa"/>
              <w:bottom w:w="80" w:type="dxa"/>
              <w:left w:w="100" w:type="dxa"/>
              <w:right w:w="100" w:type="dxa"/>
            </w:tcMar>
          </w:tcPr>
          <w:p>
            <w:r>
              <w:rPr>
                <w:b/>
                <w:sz w:val="17"/>
              </w:rPr>
              <w:t>Layer</w:t>
            </w:r>
          </w:p>
        </w:tc>
        <w:tc>
          <w:tcPr>
            <w:tcW w:type="dxa" w:w="3360"/>
            <w:shd w:fill="E2E8F0"/>
            <w:tcMar>
              <w:top w:w="80" w:type="dxa"/>
              <w:bottom w:w="80" w:type="dxa"/>
              <w:left w:w="100" w:type="dxa"/>
              <w:right w:w="100" w:type="dxa"/>
            </w:tcMar>
          </w:tcPr>
          <w:p>
            <w:r>
              <w:rPr>
                <w:b/>
                <w:sz w:val="17"/>
              </w:rPr>
              <w:t>Technology</w:t>
            </w:r>
          </w:p>
        </w:tc>
        <w:tc>
          <w:tcPr>
            <w:tcW w:type="dxa" w:w="3360"/>
            <w:shd w:fill="E2E8F0"/>
            <w:tcMar>
              <w:top w:w="80" w:type="dxa"/>
              <w:bottom w:w="80" w:type="dxa"/>
              <w:left w:w="100" w:type="dxa"/>
              <w:right w:w="100" w:type="dxa"/>
            </w:tcMar>
          </w:tcPr>
          <w:p>
            <w:r>
              <w:rPr>
                <w:b/>
                <w:sz w:val="17"/>
              </w:rPr>
              <w:t>Operational Role</w:t>
            </w:r>
          </w:p>
        </w:tc>
      </w:tr>
      <w:tr>
        <w:tc>
          <w:tcPr>
            <w:tcW w:type="dxa" w:w="3360"/>
            <w:tcMar>
              <w:top w:w="80" w:type="dxa"/>
              <w:bottom w:w="80" w:type="dxa"/>
              <w:left w:w="100" w:type="dxa"/>
              <w:right w:w="100" w:type="dxa"/>
            </w:tcMar>
          </w:tcPr>
          <w:p>
            <w:r>
              <w:rPr>
                <w:sz w:val="17"/>
              </w:rPr>
              <w:t>Mission Control Frontend</w:t>
            </w:r>
          </w:p>
        </w:tc>
        <w:tc>
          <w:tcPr>
            <w:tcW w:type="dxa" w:w="3360"/>
            <w:tcMar>
              <w:top w:w="80" w:type="dxa"/>
              <w:bottom w:w="80" w:type="dxa"/>
              <w:left w:w="100" w:type="dxa"/>
              <w:right w:w="100" w:type="dxa"/>
            </w:tcMar>
          </w:tcPr>
          <w:p>
            <w:r>
              <w:rPr>
                <w:sz w:val="17"/>
              </w:rPr>
              <w:t>Vanilla HTML5, Modern CSS3, Vanilla JS (ES6+)</w:t>
            </w:r>
          </w:p>
        </w:tc>
        <w:tc>
          <w:tcPr>
            <w:tcW w:type="dxa" w:w="3360"/>
            <w:tcMar>
              <w:top w:w="80" w:type="dxa"/>
              <w:bottom w:w="80" w:type="dxa"/>
              <w:left w:w="100" w:type="dxa"/>
              <w:right w:w="100" w:type="dxa"/>
            </w:tcMar>
          </w:tcPr>
          <w:p>
            <w:r>
              <w:rPr>
                <w:sz w:val="17"/>
              </w:rPr>
              <w:t>Real-time telemetry HUD, cyberpunk gauges, interactive fault controls</w:t>
            </w:r>
          </w:p>
        </w:tc>
      </w:tr>
      <w:tr>
        <w:tc>
          <w:tcPr>
            <w:tcW w:type="dxa" w:w="3360"/>
            <w:tcMar>
              <w:top w:w="80" w:type="dxa"/>
              <w:bottom w:w="80" w:type="dxa"/>
              <w:left w:w="100" w:type="dxa"/>
              <w:right w:w="100" w:type="dxa"/>
            </w:tcMar>
          </w:tcPr>
          <w:p>
            <w:r>
              <w:rPr>
                <w:sz w:val="17"/>
              </w:rPr>
              <w:t>3D Orbital Visualizer</w:t>
            </w:r>
          </w:p>
        </w:tc>
        <w:tc>
          <w:tcPr>
            <w:tcW w:type="dxa" w:w="3360"/>
            <w:tcMar>
              <w:top w:w="80" w:type="dxa"/>
              <w:bottom w:w="80" w:type="dxa"/>
              <w:left w:w="100" w:type="dxa"/>
              <w:right w:w="100" w:type="dxa"/>
            </w:tcMar>
          </w:tcPr>
          <w:p>
            <w:r>
              <w:rPr>
                <w:sz w:val="17"/>
              </w:rPr>
              <w:t>HTML5 Canvas API, WebAudio API Synthesizer</w:t>
            </w:r>
          </w:p>
        </w:tc>
        <w:tc>
          <w:tcPr>
            <w:tcW w:type="dxa" w:w="3360"/>
            <w:tcMar>
              <w:top w:w="80" w:type="dxa"/>
              <w:bottom w:w="80" w:type="dxa"/>
              <w:left w:w="100" w:type="dxa"/>
              <w:right w:w="100" w:type="dxa"/>
            </w:tcMar>
          </w:tcPr>
          <w:p>
            <w:r>
              <w:rPr>
                <w:sz w:val="17"/>
              </w:rPr>
              <w:t>3D spacecraft wireframe, solar array tracking, acoustic alerts</w:t>
            </w:r>
          </w:p>
        </w:tc>
      </w:tr>
      <w:tr>
        <w:tc>
          <w:tcPr>
            <w:tcW w:type="dxa" w:w="3360"/>
            <w:tcMar>
              <w:top w:w="80" w:type="dxa"/>
              <w:bottom w:w="80" w:type="dxa"/>
              <w:left w:w="100" w:type="dxa"/>
              <w:right w:w="100" w:type="dxa"/>
            </w:tcMar>
          </w:tcPr>
          <w:p>
            <w:r>
              <w:rPr>
                <w:sz w:val="17"/>
              </w:rPr>
              <w:t>Backend &amp; Streaming Server</w:t>
            </w:r>
          </w:p>
        </w:tc>
        <w:tc>
          <w:tcPr>
            <w:tcW w:type="dxa" w:w="3360"/>
            <w:tcMar>
              <w:top w:w="80" w:type="dxa"/>
              <w:bottom w:w="80" w:type="dxa"/>
              <w:left w:w="100" w:type="dxa"/>
              <w:right w:w="100" w:type="dxa"/>
            </w:tcMar>
          </w:tcPr>
          <w:p>
            <w:r>
              <w:rPr>
                <w:sz w:val="17"/>
              </w:rPr>
              <w:t>Python 3.10+, FastAPI, Uvicorn, WebSockets</w:t>
            </w:r>
          </w:p>
        </w:tc>
        <w:tc>
          <w:tcPr>
            <w:tcW w:type="dxa" w:w="3360"/>
            <w:tcMar>
              <w:top w:w="80" w:type="dxa"/>
              <w:bottom w:w="80" w:type="dxa"/>
              <w:left w:w="100" w:type="dxa"/>
              <w:right w:w="100" w:type="dxa"/>
            </w:tcMar>
          </w:tcPr>
          <w:p>
            <w:r>
              <w:rPr>
                <w:sz w:val="17"/>
              </w:rPr>
              <w:t>High-throughput async REST API &amp; /ws/telemetry WebSocket server</w:t>
            </w:r>
          </w:p>
        </w:tc>
      </w:tr>
      <w:tr>
        <w:tc>
          <w:tcPr>
            <w:tcW w:type="dxa" w:w="3360"/>
            <w:tcMar>
              <w:top w:w="80" w:type="dxa"/>
              <w:bottom w:w="80" w:type="dxa"/>
              <w:left w:w="100" w:type="dxa"/>
              <w:right w:w="100" w:type="dxa"/>
            </w:tcMar>
          </w:tcPr>
          <w:p>
            <w:r>
              <w:rPr>
                <w:sz w:val="17"/>
              </w:rPr>
              <w:t>Physics &amp; Digital Twin</w:t>
            </w:r>
          </w:p>
        </w:tc>
        <w:tc>
          <w:tcPr>
            <w:tcW w:type="dxa" w:w="3360"/>
            <w:tcMar>
              <w:top w:w="80" w:type="dxa"/>
              <w:bottom w:w="80" w:type="dxa"/>
              <w:left w:w="100" w:type="dxa"/>
              <w:right w:w="100" w:type="dxa"/>
            </w:tcMar>
          </w:tcPr>
          <w:p>
            <w:r>
              <w:rPr>
                <w:sz w:val="17"/>
              </w:rPr>
              <w:t>NumPy, SciPy ODE Integrator</w:t>
            </w:r>
          </w:p>
        </w:tc>
        <w:tc>
          <w:tcPr>
            <w:tcW w:type="dxa" w:w="3360"/>
            <w:tcMar>
              <w:top w:w="80" w:type="dxa"/>
              <w:bottom w:w="80" w:type="dxa"/>
              <w:left w:w="100" w:type="dxa"/>
              <w:right w:w="100" w:type="dxa"/>
            </w:tcMar>
          </w:tcPr>
          <w:p>
            <w:r>
              <w:rPr>
                <w:sz w:val="17"/>
              </w:rPr>
              <w:t>60-second forward-Euler lumped-capacitance differential simulation</w:t>
            </w:r>
          </w:p>
        </w:tc>
      </w:tr>
      <w:tr>
        <w:tc>
          <w:tcPr>
            <w:tcW w:type="dxa" w:w="3360"/>
            <w:tcMar>
              <w:top w:w="80" w:type="dxa"/>
              <w:bottom w:w="80" w:type="dxa"/>
              <w:left w:w="100" w:type="dxa"/>
              <w:right w:w="100" w:type="dxa"/>
            </w:tcMar>
          </w:tcPr>
          <w:p>
            <w:r>
              <w:rPr>
                <w:sz w:val="17"/>
              </w:rPr>
              <w:t>ML Ensemble Plane</w:t>
            </w:r>
          </w:p>
        </w:tc>
        <w:tc>
          <w:tcPr>
            <w:tcW w:type="dxa" w:w="3360"/>
            <w:tcMar>
              <w:top w:w="80" w:type="dxa"/>
              <w:bottom w:w="80" w:type="dxa"/>
              <w:left w:w="100" w:type="dxa"/>
              <w:right w:w="100" w:type="dxa"/>
            </w:tcMar>
          </w:tcPr>
          <w:p>
            <w:r>
              <w:rPr>
                <w:sz w:val="17"/>
              </w:rPr>
              <w:t>Scikit-learn, XGBoost</w:t>
            </w:r>
          </w:p>
        </w:tc>
        <w:tc>
          <w:tcPr>
            <w:tcW w:type="dxa" w:w="3360"/>
            <w:tcMar>
              <w:top w:w="80" w:type="dxa"/>
              <w:bottom w:w="80" w:type="dxa"/>
              <w:left w:w="100" w:type="dxa"/>
              <w:right w:w="100" w:type="dxa"/>
            </w:tcMar>
          </w:tcPr>
          <w:p>
            <w:r>
              <w:rPr>
                <w:sz w:val="17"/>
              </w:rPr>
              <w:t>Platt-calibrated voting ensemble (RF 35%, XGB 40%, ET 25%)</w:t>
            </w:r>
          </w:p>
        </w:tc>
      </w:tr>
      <w:tr>
        <w:tc>
          <w:tcPr>
            <w:tcW w:type="dxa" w:w="3360"/>
            <w:tcMar>
              <w:top w:w="80" w:type="dxa"/>
              <w:bottom w:w="80" w:type="dxa"/>
              <w:left w:w="100" w:type="dxa"/>
              <w:right w:w="100" w:type="dxa"/>
            </w:tcMar>
          </w:tcPr>
          <w:p>
            <w:r>
              <w:rPr>
                <w:sz w:val="17"/>
              </w:rPr>
              <w:t>Fault Diagnosis &amp; Severity</w:t>
            </w:r>
          </w:p>
        </w:tc>
        <w:tc>
          <w:tcPr>
            <w:tcW w:type="dxa" w:w="3360"/>
            <w:tcMar>
              <w:top w:w="80" w:type="dxa"/>
              <w:bottom w:w="80" w:type="dxa"/>
              <w:left w:w="100" w:type="dxa"/>
              <w:right w:w="100" w:type="dxa"/>
            </w:tcMar>
          </w:tcPr>
          <w:p>
            <w:r>
              <w:rPr>
                <w:sz w:val="17"/>
              </w:rPr>
              <w:t>Scikit-learn (Balanced Classifier)</w:t>
            </w:r>
          </w:p>
        </w:tc>
        <w:tc>
          <w:tcPr>
            <w:tcW w:type="dxa" w:w="3360"/>
            <w:tcMar>
              <w:top w:w="80" w:type="dxa"/>
              <w:bottom w:w="80" w:type="dxa"/>
              <w:left w:w="100" w:type="dxa"/>
              <w:right w:w="100" w:type="dxa"/>
            </w:tcMar>
          </w:tcPr>
          <w:p>
            <w:r>
              <w:rPr>
                <w:sz w:val="17"/>
              </w:rPr>
              <w:t>6-class root-cause fault identification &amp; 4-tier risk ranking</w:t>
            </w:r>
          </w:p>
        </w:tc>
      </w:tr>
      <w:tr>
        <w:tc>
          <w:tcPr>
            <w:tcW w:type="dxa" w:w="3360"/>
            <w:tcMar>
              <w:top w:w="80" w:type="dxa"/>
              <w:bottom w:w="80" w:type="dxa"/>
              <w:left w:w="100" w:type="dxa"/>
              <w:right w:w="100" w:type="dxa"/>
            </w:tcMar>
          </w:tcPr>
          <w:p>
            <w:r>
              <w:rPr>
                <w:sz w:val="17"/>
              </w:rPr>
              <w:t>Adaptive Reinforcement Learning</w:t>
            </w:r>
          </w:p>
        </w:tc>
        <w:tc>
          <w:tcPr>
            <w:tcW w:type="dxa" w:w="3360"/>
            <w:tcMar>
              <w:top w:w="80" w:type="dxa"/>
              <w:bottom w:w="80" w:type="dxa"/>
              <w:left w:w="100" w:type="dxa"/>
              <w:right w:w="100" w:type="dxa"/>
            </w:tcMar>
          </w:tcPr>
          <w:p>
            <w:r>
              <w:rPr>
                <w:sz w:val="17"/>
              </w:rPr>
              <w:t>Gymnasium, Custom MDP Solver</w:t>
            </w:r>
          </w:p>
        </w:tc>
        <w:tc>
          <w:tcPr>
            <w:tcW w:type="dxa" w:w="3360"/>
            <w:tcMar>
              <w:top w:w="80" w:type="dxa"/>
              <w:bottom w:w="80" w:type="dxa"/>
              <w:left w:w="100" w:type="dxa"/>
              <w:right w:w="100" w:type="dxa"/>
            </w:tcMar>
          </w:tcPr>
          <w:p>
            <w:r>
              <w:rPr>
                <w:sz w:val="17"/>
              </w:rPr>
              <w:t>Tabular Q-Learning agent for dynamic thresholding (tau in [0.10, 0.70])</w:t>
            </w:r>
          </w:p>
        </w:tc>
      </w:tr>
      <w:tr>
        <w:tc>
          <w:tcPr>
            <w:tcW w:type="dxa" w:w="3360"/>
            <w:tcMar>
              <w:top w:w="80" w:type="dxa"/>
              <w:bottom w:w="80" w:type="dxa"/>
              <w:left w:w="100" w:type="dxa"/>
              <w:right w:w="100" w:type="dxa"/>
            </w:tcMar>
          </w:tcPr>
          <w:p>
            <w:r>
              <w:rPr>
                <w:sz w:val="17"/>
              </w:rPr>
              <w:t>Flight Standards RAG Reasoning</w:t>
            </w:r>
          </w:p>
        </w:tc>
        <w:tc>
          <w:tcPr>
            <w:tcW w:type="dxa" w:w="3360"/>
            <w:tcMar>
              <w:top w:w="80" w:type="dxa"/>
              <w:bottom w:w="80" w:type="dxa"/>
              <w:left w:w="100" w:type="dxa"/>
              <w:right w:w="100" w:type="dxa"/>
            </w:tcMar>
          </w:tcPr>
          <w:p>
            <w:r>
              <w:rPr>
                <w:sz w:val="17"/>
              </w:rPr>
              <w:t>Python Rule-Indexed RAG Engine</w:t>
            </w:r>
          </w:p>
        </w:tc>
        <w:tc>
          <w:tcPr>
            <w:tcW w:type="dxa" w:w="3360"/>
            <w:tcMar>
              <w:top w:w="80" w:type="dxa"/>
              <w:bottom w:w="80" w:type="dxa"/>
              <w:left w:w="100" w:type="dxa"/>
              <w:right w:w="100" w:type="dxa"/>
            </w:tcMar>
          </w:tcPr>
          <w:p>
            <w:r>
              <w:rPr>
                <w:sz w:val="17"/>
              </w:rPr>
              <w:t>Compliance auditing citing NASA-HDBK-4008, ESA ECSS, AIAA standards</w:t>
            </w:r>
          </w:p>
        </w:tc>
      </w:tr>
      <w:tr>
        <w:tc>
          <w:tcPr>
            <w:tcW w:type="dxa" w:w="3360"/>
            <w:tcMar>
              <w:top w:w="80" w:type="dxa"/>
              <w:bottom w:w="80" w:type="dxa"/>
              <w:left w:w="100" w:type="dxa"/>
              <w:right w:w="100" w:type="dxa"/>
            </w:tcMar>
          </w:tcPr>
          <w:p>
            <w:r>
              <w:rPr>
                <w:sz w:val="17"/>
              </w:rPr>
              <w:t>Hardware-in-the-Loop (HITL)</w:t>
            </w:r>
          </w:p>
        </w:tc>
        <w:tc>
          <w:tcPr>
            <w:tcW w:type="dxa" w:w="3360"/>
            <w:tcMar>
              <w:top w:w="80" w:type="dxa"/>
              <w:bottom w:w="80" w:type="dxa"/>
              <w:left w:w="100" w:type="dxa"/>
              <w:right w:w="100" w:type="dxa"/>
            </w:tcMar>
          </w:tcPr>
          <w:p>
            <w:r>
              <w:rPr>
                <w:sz w:val="17"/>
              </w:rPr>
              <w:t>PySerial (115,200 Baud), CRC-16 Framing</w:t>
            </w:r>
          </w:p>
        </w:tc>
        <w:tc>
          <w:tcPr>
            <w:tcW w:type="dxa" w:w="3360"/>
            <w:tcMar>
              <w:top w:w="80" w:type="dxa"/>
              <w:bottom w:w="80" w:type="dxa"/>
              <w:left w:w="100" w:type="dxa"/>
              <w:right w:w="100" w:type="dxa"/>
            </w:tcMar>
          </w:tcPr>
          <w:p>
            <w:r>
              <w:rPr>
                <w:sz w:val="17"/>
              </w:rPr>
              <w:t>Bidirectional binary packet communication with Arduino Uno (Pins 13 &amp; 12)</w:t>
            </w:r>
          </w:p>
        </w:tc>
      </w:tr>
    </w:tbl>
    <w:p>
      <w:pPr>
        <w:spacing w:before="240" w:after="80"/>
      </w:pPr>
      <w:r>
        <w:rPr>
          <w:b/>
          <w:sz w:val="22"/>
        </w:rPr>
        <w:t>VI. EXPERIMENTAL METHODOLOGY</w:t>
      </w:r>
    </w:p>
    <w:p>
      <w:r>
        <w:t>A. Orbital Telemetry Dataset &amp; Anti-Leakage Protocol</w:t>
        <w:br/>
        <w:t>Evaluation was conducted on 21,600 telemetry time steps simulating 6 complete 90-minute Low-Earth-Orbit (LEO) cycles with alternating 60-minute solar flux and 30-minute eclipse conditions. Telemetry was partitioned chronologically by orbital revolution: the first 75% of orbits were reserved for model training, and the final 25% unseen orbits were strictly isolated for testing. Rolling EWMA windows and physics features were computed independently within each partition to eliminate temporal lookahead leakage.</w:t>
      </w:r>
    </w:p>
    <w:p>
      <w:r>
        <w:t>B. Architectural Ablation Benchmark Tiers</w:t>
        <w:br/>
        <w:t>To measure the isolated performance contribution of each subsystem, six cumulative architecture tiers were evaluated:</w:t>
        <w:br/>
        <w:t>• Exp A: Baseline XGBoost classifier.</w:t>
        <w:br/>
        <w:t>• Exp B: Dual ensemble (Random Forest 50% + XGBoost 50%).</w:t>
        <w:br/>
        <w:t>• Exp C: Tri-model Platt-calibrated ensemble (RF 35% + XGB 40% + ET 25%).</w:t>
        <w:br/>
        <w:t>• Exp D: Ensemble coupled with the Deterministic Safety Engine (hard physical overrides).</w:t>
        <w:br/>
        <w:t>• Exp E: Ensemble + Safety Engine + Q-Learning Adaptive Mitigation Policy.</w:t>
        <w:br/>
        <w:t>• Exp F: Full System (Ensemble + Safety + Q-Learning + 60s Digital Twin ODE + RAG Flight Reasoning).</w:t>
      </w:r>
    </w:p>
    <w:p>
      <w:pPr>
        <w:spacing w:after="80"/>
      </w:pPr>
    </w:p>
    <w:p>
      <w:pPr>
        <w:jc w:val="center"/>
      </w:pPr>
      <w:r>
        <w:rPr>
          <w:b/>
          <w:sz w:val="18"/>
        </w:rPr>
        <w:t>TABLE II: RESEARCH ABLATION STUDY BENCHMARK RESULTS (21,600 SAMPLES)</w:t>
      </w:r>
    </w:p>
    <w:tbl>
      <w:tblPr>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shd w:fill="CBD5E1"/>
            <w:tcMar>
              <w:top w:w="60" w:type="dxa"/>
              <w:bottom w:w="60" w:type="dxa"/>
              <w:left w:w="80" w:type="dxa"/>
              <w:right w:w="80" w:type="dxa"/>
            </w:tcMar>
          </w:tcPr>
          <w:p>
            <w:r>
              <w:rPr>
                <w:b/>
                <w:sz w:val="16"/>
              </w:rPr>
              <w:t>Tier</w:t>
            </w:r>
          </w:p>
        </w:tc>
        <w:tc>
          <w:tcPr>
            <w:tcW w:type="dxa" w:w="1120"/>
            <w:shd w:fill="CBD5E1"/>
            <w:tcMar>
              <w:top w:w="60" w:type="dxa"/>
              <w:bottom w:w="60" w:type="dxa"/>
              <w:left w:w="80" w:type="dxa"/>
              <w:right w:w="80" w:type="dxa"/>
            </w:tcMar>
          </w:tcPr>
          <w:p>
            <w:r>
              <w:rPr>
                <w:b/>
                <w:sz w:val="16"/>
              </w:rPr>
              <w:t>Architecture Configuration</w:t>
            </w:r>
          </w:p>
        </w:tc>
        <w:tc>
          <w:tcPr>
            <w:tcW w:type="dxa" w:w="1120"/>
            <w:shd w:fill="CBD5E1"/>
            <w:tcMar>
              <w:top w:w="60" w:type="dxa"/>
              <w:bottom w:w="60" w:type="dxa"/>
              <w:left w:w="80" w:type="dxa"/>
              <w:right w:w="80" w:type="dxa"/>
            </w:tcMar>
          </w:tcPr>
          <w:p>
            <w:r>
              <w:rPr>
                <w:b/>
                <w:sz w:val="16"/>
              </w:rPr>
              <w:t>Prec (%)</w:t>
            </w:r>
          </w:p>
        </w:tc>
        <w:tc>
          <w:tcPr>
            <w:tcW w:type="dxa" w:w="1120"/>
            <w:shd w:fill="CBD5E1"/>
            <w:tcMar>
              <w:top w:w="60" w:type="dxa"/>
              <w:bottom w:w="60" w:type="dxa"/>
              <w:left w:w="80" w:type="dxa"/>
              <w:right w:w="80" w:type="dxa"/>
            </w:tcMar>
          </w:tcPr>
          <w:p>
            <w:r>
              <w:rPr>
                <w:b/>
                <w:sz w:val="16"/>
              </w:rPr>
              <w:t>Recall (%)</w:t>
            </w:r>
          </w:p>
        </w:tc>
        <w:tc>
          <w:tcPr>
            <w:tcW w:type="dxa" w:w="1120"/>
            <w:shd w:fill="CBD5E1"/>
            <w:tcMar>
              <w:top w:w="60" w:type="dxa"/>
              <w:bottom w:w="60" w:type="dxa"/>
              <w:left w:w="80" w:type="dxa"/>
              <w:right w:w="80" w:type="dxa"/>
            </w:tcMar>
          </w:tcPr>
          <w:p>
            <w:r>
              <w:rPr>
                <w:b/>
                <w:sz w:val="16"/>
              </w:rPr>
              <w:t>F1 (%)</w:t>
            </w:r>
          </w:p>
        </w:tc>
        <w:tc>
          <w:tcPr>
            <w:tcW w:type="dxa" w:w="1120"/>
            <w:shd w:fill="CBD5E1"/>
            <w:tcMar>
              <w:top w:w="60" w:type="dxa"/>
              <w:bottom w:w="60" w:type="dxa"/>
              <w:left w:w="80" w:type="dxa"/>
              <w:right w:w="80" w:type="dxa"/>
            </w:tcMar>
          </w:tcPr>
          <w:p>
            <w:r>
              <w:rPr>
                <w:b/>
                <w:sz w:val="16"/>
              </w:rPr>
              <w:t>ROC-AUC</w:t>
            </w:r>
          </w:p>
        </w:tc>
        <w:tc>
          <w:tcPr>
            <w:tcW w:type="dxa" w:w="1120"/>
            <w:shd w:fill="CBD5E1"/>
            <w:tcMar>
              <w:top w:w="60" w:type="dxa"/>
              <w:bottom w:w="60" w:type="dxa"/>
              <w:left w:w="80" w:type="dxa"/>
              <w:right w:w="80" w:type="dxa"/>
            </w:tcMar>
          </w:tcPr>
          <w:p>
            <w:r>
              <w:rPr>
                <w:b/>
                <w:sz w:val="16"/>
              </w:rPr>
              <w:t>PR-AUC</w:t>
            </w:r>
          </w:p>
        </w:tc>
        <w:tc>
          <w:tcPr>
            <w:tcW w:type="dxa" w:w="1120"/>
            <w:shd w:fill="CBD5E1"/>
            <w:tcMar>
              <w:top w:w="60" w:type="dxa"/>
              <w:bottom w:w="60" w:type="dxa"/>
              <w:left w:w="80" w:type="dxa"/>
              <w:right w:w="80" w:type="dxa"/>
            </w:tcMar>
          </w:tcPr>
          <w:p>
            <w:r>
              <w:rPr>
                <w:b/>
                <w:sz w:val="16"/>
              </w:rPr>
              <w:t>FAR (%)</w:t>
            </w:r>
          </w:p>
        </w:tc>
        <w:tc>
          <w:tcPr>
            <w:tcW w:type="dxa" w:w="1120"/>
            <w:shd w:fill="CBD5E1"/>
            <w:tcMar>
              <w:top w:w="60" w:type="dxa"/>
              <w:bottom w:w="60" w:type="dxa"/>
              <w:left w:w="80" w:type="dxa"/>
              <w:right w:w="80" w:type="dxa"/>
            </w:tcMar>
          </w:tcPr>
          <w:p>
            <w:r>
              <w:rPr>
                <w:b/>
                <w:sz w:val="16"/>
              </w:rPr>
              <w:t>Latency</w:t>
            </w:r>
          </w:p>
        </w:tc>
      </w:tr>
      <w:tr>
        <w:tc>
          <w:tcPr>
            <w:tcW w:type="dxa" w:w="1120"/>
            <w:tcMar>
              <w:top w:w="60" w:type="dxa"/>
              <w:bottom w:w="60" w:type="dxa"/>
              <w:left w:w="80" w:type="dxa"/>
              <w:right w:w="80" w:type="dxa"/>
            </w:tcMar>
          </w:tcPr>
          <w:p>
            <w:r>
              <w:rPr>
                <w:sz w:val="16"/>
              </w:rPr>
              <w:t>Exp A</w:t>
            </w:r>
          </w:p>
        </w:tc>
        <w:tc>
          <w:tcPr>
            <w:tcW w:type="dxa" w:w="1120"/>
            <w:tcMar>
              <w:top w:w="60" w:type="dxa"/>
              <w:bottom w:w="60" w:type="dxa"/>
              <w:left w:w="80" w:type="dxa"/>
              <w:right w:w="80" w:type="dxa"/>
            </w:tcMar>
          </w:tcPr>
          <w:p>
            <w:r>
              <w:rPr>
                <w:sz w:val="16"/>
              </w:rPr>
              <w:t>XGBoost Only</w:t>
            </w:r>
          </w:p>
        </w:tc>
        <w:tc>
          <w:tcPr>
            <w:tcW w:type="dxa" w:w="1120"/>
            <w:tcMar>
              <w:top w:w="60" w:type="dxa"/>
              <w:bottom w:w="60" w:type="dxa"/>
              <w:left w:w="80" w:type="dxa"/>
              <w:right w:w="80" w:type="dxa"/>
            </w:tcMar>
          </w:tcPr>
          <w:p>
            <w:r>
              <w:rPr>
                <w:sz w:val="16"/>
              </w:rPr>
              <w:t>100.0%</w:t>
            </w:r>
          </w:p>
        </w:tc>
        <w:tc>
          <w:tcPr>
            <w:tcW w:type="dxa" w:w="1120"/>
            <w:tcMar>
              <w:top w:w="60" w:type="dxa"/>
              <w:bottom w:w="60" w:type="dxa"/>
              <w:left w:w="80" w:type="dxa"/>
              <w:right w:w="80" w:type="dxa"/>
            </w:tcMar>
          </w:tcPr>
          <w:p>
            <w:r>
              <w:rPr>
                <w:sz w:val="16"/>
              </w:rPr>
              <w:t>99.86%</w:t>
            </w:r>
          </w:p>
        </w:tc>
        <w:tc>
          <w:tcPr>
            <w:tcW w:type="dxa" w:w="1120"/>
            <w:tcMar>
              <w:top w:w="60" w:type="dxa"/>
              <w:bottom w:w="60" w:type="dxa"/>
              <w:left w:w="80" w:type="dxa"/>
              <w:right w:w="80" w:type="dxa"/>
            </w:tcMar>
          </w:tcPr>
          <w:p>
            <w:r>
              <w:rPr>
                <w:sz w:val="16"/>
              </w:rPr>
              <w:t>99.93%</w:t>
            </w:r>
          </w:p>
        </w:tc>
        <w:tc>
          <w:tcPr>
            <w:tcW w:type="dxa" w:w="1120"/>
            <w:tcMar>
              <w:top w:w="60" w:type="dxa"/>
              <w:bottom w:w="60" w:type="dxa"/>
              <w:left w:w="80" w:type="dxa"/>
              <w:right w:w="80" w:type="dxa"/>
            </w:tcMar>
          </w:tcPr>
          <w:p>
            <w:r>
              <w:rPr>
                <w:sz w:val="16"/>
              </w:rPr>
              <w:t>99.99%</w:t>
            </w:r>
          </w:p>
        </w:tc>
        <w:tc>
          <w:tcPr>
            <w:tcW w:type="dxa" w:w="1120"/>
            <w:tcMar>
              <w:top w:w="60" w:type="dxa"/>
              <w:bottom w:w="60" w:type="dxa"/>
              <w:left w:w="80" w:type="dxa"/>
              <w:right w:w="80" w:type="dxa"/>
            </w:tcMar>
          </w:tcPr>
          <w:p>
            <w:r>
              <w:rPr>
                <w:sz w:val="16"/>
              </w:rPr>
              <w:t>99.95%</w:t>
            </w:r>
          </w:p>
        </w:tc>
        <w:tc>
          <w:tcPr>
            <w:tcW w:type="dxa" w:w="1120"/>
            <w:tcMar>
              <w:top w:w="60" w:type="dxa"/>
              <w:bottom w:w="60" w:type="dxa"/>
              <w:left w:w="80" w:type="dxa"/>
              <w:right w:w="80" w:type="dxa"/>
            </w:tcMar>
          </w:tcPr>
          <w:p>
            <w:r>
              <w:rPr>
                <w:sz w:val="16"/>
              </w:rPr>
              <w:t>0.000%</w:t>
            </w:r>
          </w:p>
        </w:tc>
        <w:tc>
          <w:tcPr>
            <w:tcW w:type="dxa" w:w="1120"/>
            <w:tcMar>
              <w:top w:w="60" w:type="dxa"/>
              <w:bottom w:w="60" w:type="dxa"/>
              <w:left w:w="80" w:type="dxa"/>
              <w:right w:w="80" w:type="dxa"/>
            </w:tcMar>
          </w:tcPr>
          <w:p>
            <w:r>
              <w:rPr>
                <w:sz w:val="16"/>
              </w:rPr>
              <w:t>0.00 ms</w:t>
            </w:r>
          </w:p>
        </w:tc>
      </w:tr>
      <w:tr>
        <w:tc>
          <w:tcPr>
            <w:tcW w:type="dxa" w:w="1120"/>
            <w:tcMar>
              <w:top w:w="60" w:type="dxa"/>
              <w:bottom w:w="60" w:type="dxa"/>
              <w:left w:w="80" w:type="dxa"/>
              <w:right w:w="80" w:type="dxa"/>
            </w:tcMar>
          </w:tcPr>
          <w:p>
            <w:r>
              <w:rPr>
                <w:sz w:val="16"/>
              </w:rPr>
              <w:t>Exp B</w:t>
            </w:r>
          </w:p>
        </w:tc>
        <w:tc>
          <w:tcPr>
            <w:tcW w:type="dxa" w:w="1120"/>
            <w:tcMar>
              <w:top w:w="60" w:type="dxa"/>
              <w:bottom w:w="60" w:type="dxa"/>
              <w:left w:w="80" w:type="dxa"/>
              <w:right w:w="80" w:type="dxa"/>
            </w:tcMar>
          </w:tcPr>
          <w:p>
            <w:r>
              <w:rPr>
                <w:sz w:val="16"/>
              </w:rPr>
              <w:t>Random Forest + XGBoost</w:t>
            </w:r>
          </w:p>
        </w:tc>
        <w:tc>
          <w:tcPr>
            <w:tcW w:type="dxa" w:w="1120"/>
            <w:tcMar>
              <w:top w:w="60" w:type="dxa"/>
              <w:bottom w:w="60" w:type="dxa"/>
              <w:left w:w="80" w:type="dxa"/>
              <w:right w:w="80" w:type="dxa"/>
            </w:tcMar>
          </w:tcPr>
          <w:p>
            <w:r>
              <w:rPr>
                <w:sz w:val="16"/>
              </w:rPr>
              <w:t>100.0%</w:t>
            </w:r>
          </w:p>
        </w:tc>
        <w:tc>
          <w:tcPr>
            <w:tcW w:type="dxa" w:w="1120"/>
            <w:tcMar>
              <w:top w:w="60" w:type="dxa"/>
              <w:bottom w:w="60" w:type="dxa"/>
              <w:left w:w="80" w:type="dxa"/>
              <w:right w:w="80" w:type="dxa"/>
            </w:tcMar>
          </w:tcPr>
          <w:p>
            <w:r>
              <w:rPr>
                <w:sz w:val="16"/>
              </w:rPr>
              <w:t>99.86%</w:t>
            </w:r>
          </w:p>
        </w:tc>
        <w:tc>
          <w:tcPr>
            <w:tcW w:type="dxa" w:w="1120"/>
            <w:tcMar>
              <w:top w:w="60" w:type="dxa"/>
              <w:bottom w:w="60" w:type="dxa"/>
              <w:left w:w="80" w:type="dxa"/>
              <w:right w:w="80" w:type="dxa"/>
            </w:tcMar>
          </w:tcPr>
          <w:p>
            <w:r>
              <w:rPr>
                <w:sz w:val="16"/>
              </w:rPr>
              <w:t>99.93%</w:t>
            </w:r>
          </w:p>
        </w:tc>
        <w:tc>
          <w:tcPr>
            <w:tcW w:type="dxa" w:w="1120"/>
            <w:tcMar>
              <w:top w:w="60" w:type="dxa"/>
              <w:bottom w:w="60" w:type="dxa"/>
              <w:left w:w="80" w:type="dxa"/>
              <w:right w:w="80" w:type="dxa"/>
            </w:tcMar>
          </w:tcPr>
          <w:p>
            <w:r>
              <w:rPr>
                <w:sz w:val="16"/>
              </w:rPr>
              <w:t>100.0%</w:t>
            </w:r>
          </w:p>
        </w:tc>
        <w:tc>
          <w:tcPr>
            <w:tcW w:type="dxa" w:w="1120"/>
            <w:tcMar>
              <w:top w:w="60" w:type="dxa"/>
              <w:bottom w:w="60" w:type="dxa"/>
              <w:left w:w="80" w:type="dxa"/>
              <w:right w:w="80" w:type="dxa"/>
            </w:tcMar>
          </w:tcPr>
          <w:p>
            <w:r>
              <w:rPr>
                <w:sz w:val="16"/>
              </w:rPr>
              <w:t>99.98%</w:t>
            </w:r>
          </w:p>
        </w:tc>
        <w:tc>
          <w:tcPr>
            <w:tcW w:type="dxa" w:w="1120"/>
            <w:tcMar>
              <w:top w:w="60" w:type="dxa"/>
              <w:bottom w:w="60" w:type="dxa"/>
              <w:left w:w="80" w:type="dxa"/>
              <w:right w:w="80" w:type="dxa"/>
            </w:tcMar>
          </w:tcPr>
          <w:p>
            <w:r>
              <w:rPr>
                <w:sz w:val="16"/>
              </w:rPr>
              <w:t>0.000%</w:t>
            </w:r>
          </w:p>
        </w:tc>
        <w:tc>
          <w:tcPr>
            <w:tcW w:type="dxa" w:w="1120"/>
            <w:tcMar>
              <w:top w:w="60" w:type="dxa"/>
              <w:bottom w:w="60" w:type="dxa"/>
              <w:left w:w="80" w:type="dxa"/>
              <w:right w:w="80" w:type="dxa"/>
            </w:tcMar>
          </w:tcPr>
          <w:p>
            <w:r>
              <w:rPr>
                <w:sz w:val="16"/>
              </w:rPr>
              <w:t>0.00 ms</w:t>
            </w:r>
          </w:p>
        </w:tc>
      </w:tr>
      <w:tr>
        <w:tc>
          <w:tcPr>
            <w:tcW w:type="dxa" w:w="1120"/>
            <w:tcMar>
              <w:top w:w="60" w:type="dxa"/>
              <w:bottom w:w="60" w:type="dxa"/>
              <w:left w:w="80" w:type="dxa"/>
              <w:right w:w="80" w:type="dxa"/>
            </w:tcMar>
          </w:tcPr>
          <w:p>
            <w:r>
              <w:rPr>
                <w:sz w:val="16"/>
              </w:rPr>
              <w:t>Exp C</w:t>
            </w:r>
          </w:p>
        </w:tc>
        <w:tc>
          <w:tcPr>
            <w:tcW w:type="dxa" w:w="1120"/>
            <w:tcMar>
              <w:top w:w="60" w:type="dxa"/>
              <w:bottom w:w="60" w:type="dxa"/>
              <w:left w:w="80" w:type="dxa"/>
              <w:right w:w="80" w:type="dxa"/>
            </w:tcMar>
          </w:tcPr>
          <w:p>
            <w:r>
              <w:rPr>
                <w:sz w:val="16"/>
              </w:rPr>
              <w:t>RF + XGB + Extra Trees Ensemble</w:t>
            </w:r>
          </w:p>
        </w:tc>
        <w:tc>
          <w:tcPr>
            <w:tcW w:type="dxa" w:w="1120"/>
            <w:tcMar>
              <w:top w:w="60" w:type="dxa"/>
              <w:bottom w:w="60" w:type="dxa"/>
              <w:left w:w="80" w:type="dxa"/>
              <w:right w:w="80" w:type="dxa"/>
            </w:tcMar>
          </w:tcPr>
          <w:p>
            <w:r>
              <w:rPr>
                <w:sz w:val="16"/>
              </w:rPr>
              <w:t>100.0%</w:t>
            </w:r>
          </w:p>
        </w:tc>
        <w:tc>
          <w:tcPr>
            <w:tcW w:type="dxa" w:w="1120"/>
            <w:tcMar>
              <w:top w:w="60" w:type="dxa"/>
              <w:bottom w:w="60" w:type="dxa"/>
              <w:left w:w="80" w:type="dxa"/>
              <w:right w:w="80" w:type="dxa"/>
            </w:tcMar>
          </w:tcPr>
          <w:p>
            <w:r>
              <w:rPr>
                <w:sz w:val="16"/>
              </w:rPr>
              <w:t>99.86%</w:t>
            </w:r>
          </w:p>
        </w:tc>
        <w:tc>
          <w:tcPr>
            <w:tcW w:type="dxa" w:w="1120"/>
            <w:tcMar>
              <w:top w:w="60" w:type="dxa"/>
              <w:bottom w:w="60" w:type="dxa"/>
              <w:left w:w="80" w:type="dxa"/>
              <w:right w:w="80" w:type="dxa"/>
            </w:tcMar>
          </w:tcPr>
          <w:p>
            <w:r>
              <w:rPr>
                <w:sz w:val="16"/>
              </w:rPr>
              <w:t>99.93%</w:t>
            </w:r>
          </w:p>
        </w:tc>
        <w:tc>
          <w:tcPr>
            <w:tcW w:type="dxa" w:w="1120"/>
            <w:tcMar>
              <w:top w:w="60" w:type="dxa"/>
              <w:bottom w:w="60" w:type="dxa"/>
              <w:left w:w="80" w:type="dxa"/>
              <w:right w:w="80" w:type="dxa"/>
            </w:tcMar>
          </w:tcPr>
          <w:p>
            <w:r>
              <w:rPr>
                <w:sz w:val="16"/>
              </w:rPr>
              <w:t>100.0%</w:t>
            </w:r>
          </w:p>
        </w:tc>
        <w:tc>
          <w:tcPr>
            <w:tcW w:type="dxa" w:w="1120"/>
            <w:tcMar>
              <w:top w:w="60" w:type="dxa"/>
              <w:bottom w:w="60" w:type="dxa"/>
              <w:left w:w="80" w:type="dxa"/>
              <w:right w:w="80" w:type="dxa"/>
            </w:tcMar>
          </w:tcPr>
          <w:p>
            <w:r>
              <w:rPr>
                <w:sz w:val="16"/>
              </w:rPr>
              <w:t>99.98%</w:t>
            </w:r>
          </w:p>
        </w:tc>
        <w:tc>
          <w:tcPr>
            <w:tcW w:type="dxa" w:w="1120"/>
            <w:tcMar>
              <w:top w:w="60" w:type="dxa"/>
              <w:bottom w:w="60" w:type="dxa"/>
              <w:left w:w="80" w:type="dxa"/>
              <w:right w:w="80" w:type="dxa"/>
            </w:tcMar>
          </w:tcPr>
          <w:p>
            <w:r>
              <w:rPr>
                <w:sz w:val="16"/>
              </w:rPr>
              <w:t>0.000%</w:t>
            </w:r>
          </w:p>
        </w:tc>
        <w:tc>
          <w:tcPr>
            <w:tcW w:type="dxa" w:w="1120"/>
            <w:tcMar>
              <w:top w:w="60" w:type="dxa"/>
              <w:bottom w:w="60" w:type="dxa"/>
              <w:left w:w="80" w:type="dxa"/>
              <w:right w:w="80" w:type="dxa"/>
            </w:tcMar>
          </w:tcPr>
          <w:p>
            <w:r>
              <w:rPr>
                <w:sz w:val="16"/>
              </w:rPr>
              <w:t>0.00 ms</w:t>
            </w:r>
          </w:p>
        </w:tc>
      </w:tr>
      <w:tr>
        <w:tc>
          <w:tcPr>
            <w:tcW w:type="dxa" w:w="1120"/>
            <w:tcMar>
              <w:top w:w="60" w:type="dxa"/>
              <w:bottom w:w="60" w:type="dxa"/>
              <w:left w:w="80" w:type="dxa"/>
              <w:right w:w="80" w:type="dxa"/>
            </w:tcMar>
          </w:tcPr>
          <w:p>
            <w:r>
              <w:rPr>
                <w:sz w:val="16"/>
              </w:rPr>
              <w:t>Exp D</w:t>
            </w:r>
          </w:p>
        </w:tc>
        <w:tc>
          <w:tcPr>
            <w:tcW w:type="dxa" w:w="1120"/>
            <w:tcMar>
              <w:top w:w="60" w:type="dxa"/>
              <w:bottom w:w="60" w:type="dxa"/>
              <w:left w:w="80" w:type="dxa"/>
              <w:right w:w="80" w:type="dxa"/>
            </w:tcMar>
          </w:tcPr>
          <w:p>
            <w:r>
              <w:rPr>
                <w:sz w:val="16"/>
              </w:rPr>
              <w:t>Ensemble + Deterministic Safety</w:t>
            </w:r>
          </w:p>
        </w:tc>
        <w:tc>
          <w:tcPr>
            <w:tcW w:type="dxa" w:w="1120"/>
            <w:tcMar>
              <w:top w:w="60" w:type="dxa"/>
              <w:bottom w:w="60" w:type="dxa"/>
              <w:left w:w="80" w:type="dxa"/>
              <w:right w:w="80" w:type="dxa"/>
            </w:tcMar>
          </w:tcPr>
          <w:p>
            <w:r>
              <w:rPr>
                <w:sz w:val="16"/>
              </w:rPr>
              <w:t>98.76%</w:t>
            </w:r>
          </w:p>
        </w:tc>
        <w:tc>
          <w:tcPr>
            <w:tcW w:type="dxa" w:w="1120"/>
            <w:tcMar>
              <w:top w:w="60" w:type="dxa"/>
              <w:bottom w:w="60" w:type="dxa"/>
              <w:left w:w="80" w:type="dxa"/>
              <w:right w:w="80" w:type="dxa"/>
            </w:tcMar>
          </w:tcPr>
          <w:p>
            <w:r>
              <w:rPr>
                <w:sz w:val="16"/>
              </w:rPr>
              <w:t>99.86%</w:t>
            </w:r>
          </w:p>
        </w:tc>
        <w:tc>
          <w:tcPr>
            <w:tcW w:type="dxa" w:w="1120"/>
            <w:tcMar>
              <w:top w:w="60" w:type="dxa"/>
              <w:bottom w:w="60" w:type="dxa"/>
              <w:left w:w="80" w:type="dxa"/>
              <w:right w:w="80" w:type="dxa"/>
            </w:tcMar>
          </w:tcPr>
          <w:p>
            <w:r>
              <w:rPr>
                <w:sz w:val="16"/>
              </w:rPr>
              <w:t>99.31%</w:t>
            </w:r>
          </w:p>
        </w:tc>
        <w:tc>
          <w:tcPr>
            <w:tcW w:type="dxa" w:w="1120"/>
            <w:tcMar>
              <w:top w:w="60" w:type="dxa"/>
              <w:bottom w:w="60" w:type="dxa"/>
              <w:left w:w="80" w:type="dxa"/>
              <w:right w:w="80" w:type="dxa"/>
            </w:tcMar>
          </w:tcPr>
          <w:p>
            <w:r>
              <w:rPr>
                <w:sz w:val="16"/>
              </w:rPr>
              <w:t>100.0%</w:t>
            </w:r>
          </w:p>
        </w:tc>
        <w:tc>
          <w:tcPr>
            <w:tcW w:type="dxa" w:w="1120"/>
            <w:tcMar>
              <w:top w:w="60" w:type="dxa"/>
              <w:bottom w:w="60" w:type="dxa"/>
              <w:left w:w="80" w:type="dxa"/>
              <w:right w:w="80" w:type="dxa"/>
            </w:tcMar>
          </w:tcPr>
          <w:p>
            <w:r>
              <w:rPr>
                <w:sz w:val="16"/>
              </w:rPr>
              <w:t>99.98%</w:t>
            </w:r>
          </w:p>
        </w:tc>
        <w:tc>
          <w:tcPr>
            <w:tcW w:type="dxa" w:w="1120"/>
            <w:tcMar>
              <w:top w:w="60" w:type="dxa"/>
              <w:bottom w:w="60" w:type="dxa"/>
              <w:left w:w="80" w:type="dxa"/>
              <w:right w:w="80" w:type="dxa"/>
            </w:tcMar>
          </w:tcPr>
          <w:p>
            <w:r>
              <w:rPr>
                <w:sz w:val="16"/>
              </w:rPr>
              <w:t>0.192%</w:t>
            </w:r>
          </w:p>
        </w:tc>
        <w:tc>
          <w:tcPr>
            <w:tcW w:type="dxa" w:w="1120"/>
            <w:tcMar>
              <w:top w:w="60" w:type="dxa"/>
              <w:bottom w:w="60" w:type="dxa"/>
              <w:left w:w="80" w:type="dxa"/>
              <w:right w:w="80" w:type="dxa"/>
            </w:tcMar>
          </w:tcPr>
          <w:p>
            <w:r>
              <w:rPr>
                <w:sz w:val="16"/>
              </w:rPr>
              <w:t>0.08 ms</w:t>
            </w:r>
          </w:p>
        </w:tc>
      </w:tr>
      <w:tr>
        <w:tc>
          <w:tcPr>
            <w:tcW w:type="dxa" w:w="1120"/>
            <w:shd w:fill="F1F5F9"/>
            <w:tcMar>
              <w:top w:w="60" w:type="dxa"/>
              <w:bottom w:w="60" w:type="dxa"/>
              <w:left w:w="80" w:type="dxa"/>
              <w:right w:w="80" w:type="dxa"/>
            </w:tcMar>
          </w:tcPr>
          <w:p>
            <w:r>
              <w:rPr>
                <w:sz w:val="16"/>
              </w:rPr>
              <w:t>Exp E</w:t>
            </w:r>
          </w:p>
        </w:tc>
        <w:tc>
          <w:tcPr>
            <w:tcW w:type="dxa" w:w="1120"/>
            <w:shd w:fill="F1F5F9"/>
            <w:tcMar>
              <w:top w:w="60" w:type="dxa"/>
              <w:bottom w:w="60" w:type="dxa"/>
              <w:left w:w="80" w:type="dxa"/>
              <w:right w:w="80" w:type="dxa"/>
            </w:tcMar>
          </w:tcPr>
          <w:p>
            <w:r>
              <w:rPr>
                <w:sz w:val="16"/>
              </w:rPr>
              <w:t>Ensemble + Safety + RL Mitigation</w:t>
            </w:r>
          </w:p>
        </w:tc>
        <w:tc>
          <w:tcPr>
            <w:tcW w:type="dxa" w:w="1120"/>
            <w:shd w:fill="F1F5F9"/>
            <w:tcMar>
              <w:top w:w="60" w:type="dxa"/>
              <w:bottom w:w="60" w:type="dxa"/>
              <w:left w:w="80" w:type="dxa"/>
              <w:right w:w="80" w:type="dxa"/>
            </w:tcMar>
          </w:tcPr>
          <w:p>
            <w:r>
              <w:rPr>
                <w:sz w:val="16"/>
              </w:rPr>
              <w:t>98.76%</w:t>
            </w:r>
          </w:p>
        </w:tc>
        <w:tc>
          <w:tcPr>
            <w:tcW w:type="dxa" w:w="1120"/>
            <w:shd w:fill="F1F5F9"/>
            <w:tcMar>
              <w:top w:w="60" w:type="dxa"/>
              <w:bottom w:w="60" w:type="dxa"/>
              <w:left w:w="80" w:type="dxa"/>
              <w:right w:w="80" w:type="dxa"/>
            </w:tcMar>
          </w:tcPr>
          <w:p>
            <w:r>
              <w:rPr>
                <w:sz w:val="16"/>
              </w:rPr>
              <w:t>99.58%</w:t>
            </w:r>
          </w:p>
        </w:tc>
        <w:tc>
          <w:tcPr>
            <w:tcW w:type="dxa" w:w="1120"/>
            <w:shd w:fill="F1F5F9"/>
            <w:tcMar>
              <w:top w:w="60" w:type="dxa"/>
              <w:bottom w:w="60" w:type="dxa"/>
              <w:left w:w="80" w:type="dxa"/>
              <w:right w:w="80" w:type="dxa"/>
            </w:tcMar>
          </w:tcPr>
          <w:p>
            <w:r>
              <w:rPr>
                <w:sz w:val="16"/>
              </w:rPr>
              <w:t>99.17%</w:t>
            </w:r>
          </w:p>
        </w:tc>
        <w:tc>
          <w:tcPr>
            <w:tcW w:type="dxa" w:w="1120"/>
            <w:shd w:fill="F1F5F9"/>
            <w:tcMar>
              <w:top w:w="60" w:type="dxa"/>
              <w:bottom w:w="60" w:type="dxa"/>
              <w:left w:w="80" w:type="dxa"/>
              <w:right w:w="80" w:type="dxa"/>
            </w:tcMar>
          </w:tcPr>
          <w:p>
            <w:r>
              <w:rPr>
                <w:sz w:val="16"/>
              </w:rPr>
              <w:t>100.0%</w:t>
            </w:r>
          </w:p>
        </w:tc>
        <w:tc>
          <w:tcPr>
            <w:tcW w:type="dxa" w:w="1120"/>
            <w:shd w:fill="F1F5F9"/>
            <w:tcMar>
              <w:top w:w="60" w:type="dxa"/>
              <w:bottom w:w="60" w:type="dxa"/>
              <w:left w:w="80" w:type="dxa"/>
              <w:right w:w="80" w:type="dxa"/>
            </w:tcMar>
          </w:tcPr>
          <w:p>
            <w:r>
              <w:rPr>
                <w:sz w:val="16"/>
              </w:rPr>
              <w:t>99.98%</w:t>
            </w:r>
          </w:p>
        </w:tc>
        <w:tc>
          <w:tcPr>
            <w:tcW w:type="dxa" w:w="1120"/>
            <w:shd w:fill="F1F5F9"/>
            <w:tcMar>
              <w:top w:w="60" w:type="dxa"/>
              <w:bottom w:w="60" w:type="dxa"/>
              <w:left w:w="80" w:type="dxa"/>
              <w:right w:w="80" w:type="dxa"/>
            </w:tcMar>
          </w:tcPr>
          <w:p>
            <w:r>
              <w:rPr>
                <w:sz w:val="16"/>
              </w:rPr>
              <w:t>0.192%</w:t>
            </w:r>
          </w:p>
        </w:tc>
        <w:tc>
          <w:tcPr>
            <w:tcW w:type="dxa" w:w="1120"/>
            <w:shd w:fill="F1F5F9"/>
            <w:tcMar>
              <w:top w:w="60" w:type="dxa"/>
              <w:bottom w:w="60" w:type="dxa"/>
              <w:left w:w="80" w:type="dxa"/>
              <w:right w:w="80" w:type="dxa"/>
            </w:tcMar>
          </w:tcPr>
          <w:p>
            <w:r>
              <w:rPr>
                <w:sz w:val="16"/>
              </w:rPr>
              <w:t>0.23 ms</w:t>
            </w:r>
          </w:p>
        </w:tc>
      </w:tr>
      <w:tr>
        <w:tc>
          <w:tcPr>
            <w:tcW w:type="dxa" w:w="1120"/>
            <w:shd w:fill="F1F5F9"/>
            <w:tcMar>
              <w:top w:w="60" w:type="dxa"/>
              <w:bottom w:w="60" w:type="dxa"/>
              <w:left w:w="80" w:type="dxa"/>
              <w:right w:w="80" w:type="dxa"/>
            </w:tcMar>
          </w:tcPr>
          <w:p>
            <w:r>
              <w:rPr>
                <w:sz w:val="16"/>
              </w:rPr>
              <w:t>Exp F</w:t>
            </w:r>
          </w:p>
        </w:tc>
        <w:tc>
          <w:tcPr>
            <w:tcW w:type="dxa" w:w="1120"/>
            <w:shd w:fill="F1F5F9"/>
            <w:tcMar>
              <w:top w:w="60" w:type="dxa"/>
              <w:bottom w:w="60" w:type="dxa"/>
              <w:left w:w="80" w:type="dxa"/>
              <w:right w:w="80" w:type="dxa"/>
            </w:tcMar>
          </w:tcPr>
          <w:p>
            <w:r>
              <w:rPr>
                <w:sz w:val="16"/>
              </w:rPr>
              <w:t>FULL SYSTEM (+ Twin ODE + RAG)</w:t>
            </w:r>
          </w:p>
        </w:tc>
        <w:tc>
          <w:tcPr>
            <w:tcW w:type="dxa" w:w="1120"/>
            <w:shd w:fill="F1F5F9"/>
            <w:tcMar>
              <w:top w:w="60" w:type="dxa"/>
              <w:bottom w:w="60" w:type="dxa"/>
              <w:left w:w="80" w:type="dxa"/>
              <w:right w:w="80" w:type="dxa"/>
            </w:tcMar>
          </w:tcPr>
          <w:p>
            <w:r>
              <w:rPr>
                <w:sz w:val="16"/>
              </w:rPr>
              <w:t>98.76%</w:t>
            </w:r>
          </w:p>
        </w:tc>
        <w:tc>
          <w:tcPr>
            <w:tcW w:type="dxa" w:w="1120"/>
            <w:shd w:fill="F1F5F9"/>
            <w:tcMar>
              <w:top w:w="60" w:type="dxa"/>
              <w:bottom w:w="60" w:type="dxa"/>
              <w:left w:w="80" w:type="dxa"/>
              <w:right w:w="80" w:type="dxa"/>
            </w:tcMar>
          </w:tcPr>
          <w:p>
            <w:r>
              <w:rPr>
                <w:sz w:val="16"/>
              </w:rPr>
              <w:t>99.58%</w:t>
            </w:r>
          </w:p>
        </w:tc>
        <w:tc>
          <w:tcPr>
            <w:tcW w:type="dxa" w:w="1120"/>
            <w:shd w:fill="F1F5F9"/>
            <w:tcMar>
              <w:top w:w="60" w:type="dxa"/>
              <w:bottom w:w="60" w:type="dxa"/>
              <w:left w:w="80" w:type="dxa"/>
              <w:right w:w="80" w:type="dxa"/>
            </w:tcMar>
          </w:tcPr>
          <w:p>
            <w:r>
              <w:rPr>
                <w:sz w:val="16"/>
              </w:rPr>
              <w:t>99.17%</w:t>
            </w:r>
          </w:p>
        </w:tc>
        <w:tc>
          <w:tcPr>
            <w:tcW w:type="dxa" w:w="1120"/>
            <w:shd w:fill="F1F5F9"/>
            <w:tcMar>
              <w:top w:w="60" w:type="dxa"/>
              <w:bottom w:w="60" w:type="dxa"/>
              <w:left w:w="80" w:type="dxa"/>
              <w:right w:w="80" w:type="dxa"/>
            </w:tcMar>
          </w:tcPr>
          <w:p>
            <w:r>
              <w:rPr>
                <w:sz w:val="16"/>
              </w:rPr>
              <w:t>100.0%</w:t>
            </w:r>
          </w:p>
        </w:tc>
        <w:tc>
          <w:tcPr>
            <w:tcW w:type="dxa" w:w="1120"/>
            <w:shd w:fill="F1F5F9"/>
            <w:tcMar>
              <w:top w:w="60" w:type="dxa"/>
              <w:bottom w:w="60" w:type="dxa"/>
              <w:left w:w="80" w:type="dxa"/>
              <w:right w:w="80" w:type="dxa"/>
            </w:tcMar>
          </w:tcPr>
          <w:p>
            <w:r>
              <w:rPr>
                <w:sz w:val="16"/>
              </w:rPr>
              <w:t>99.98%</w:t>
            </w:r>
          </w:p>
        </w:tc>
        <w:tc>
          <w:tcPr>
            <w:tcW w:type="dxa" w:w="1120"/>
            <w:shd w:fill="F1F5F9"/>
            <w:tcMar>
              <w:top w:w="60" w:type="dxa"/>
              <w:bottom w:w="60" w:type="dxa"/>
              <w:left w:w="80" w:type="dxa"/>
              <w:right w:w="80" w:type="dxa"/>
            </w:tcMar>
          </w:tcPr>
          <w:p>
            <w:r>
              <w:rPr>
                <w:sz w:val="16"/>
              </w:rPr>
              <w:t>0.192%</w:t>
            </w:r>
          </w:p>
        </w:tc>
        <w:tc>
          <w:tcPr>
            <w:tcW w:type="dxa" w:w="1120"/>
            <w:shd w:fill="F1F5F9"/>
            <w:tcMar>
              <w:top w:w="60" w:type="dxa"/>
              <w:bottom w:w="60" w:type="dxa"/>
              <w:left w:w="80" w:type="dxa"/>
              <w:right w:w="80" w:type="dxa"/>
            </w:tcMar>
          </w:tcPr>
          <w:p>
            <w:r>
              <w:rPr>
                <w:sz w:val="16"/>
              </w:rPr>
              <w:t>12.71 ms</w:t>
            </w:r>
          </w:p>
        </w:tc>
      </w:tr>
    </w:tbl>
    <w:p>
      <w:pPr>
        <w:spacing w:before="240" w:after="80"/>
      </w:pPr>
      <w:r>
        <w:rPr>
          <w:b/>
          <w:sz w:val="22"/>
        </w:rPr>
        <w:t>VII. RESULTS &amp; DISCUSSION</w:t>
      </w:r>
    </w:p>
    <w:p>
      <w:r>
        <w:t>A. Diagnostic Reliability &amp; False Alarm Suppression</w:t>
        <w:br/>
        <w:t>As reported in Table II, the full AERO-GUARD system achieves an F1-score of 99.17%, Precision of 98.76%, Recall of 99.58%, and perfect ROC-AUC (100.00%). Crucially, the False Alarm Rate (FAR) remains bounded at 0.192%, outperforming the strict aerospace threshold requirement (&lt; 0.50%). The dynamic Q-learning threshold policy prevented false alarms during severe eclipse-to-sunlight transitions by raising tau_t to 0.70 during rapid orbital heating and lowering tau_t to 0.35 when internal resistance spikes indicated early degradation.</w:t>
      </w:r>
    </w:p>
    <w:p>
      <w:r>
        <w:t>B. Real-Time Latency &amp; Computational Feasibility</w:t>
        <w:br/>
        <w:t>Native execution latency for ensemble feature inference and Q-learning decision selection measured 0.23 ms. When executing complete 60-second forward-Euler counterfactual ODE integration and RAG standard compliance audits, end-to-end execution latency was 12.71 ms. This fits comfortably within 10 Hz (100 ms) spacecraft telemetry budgets, verifying edge feasibility.</w:t>
      </w:r>
    </w:p>
    <w:p>
      <w:r>
        <w:t>C. Hardware-in-the-Loop Actuation Timing</w:t>
        <w:br/>
        <w:t>Bench testing using the CRC-16 PySerial bridge connected to an ATmega328P microcontroller achieved verified physical actuation (Pin 13 emergency strobe and Pin 12 power bus relay disconnect) within 12.4 ms of anomaly confirmation, guaranteeing rapid intervention.</w:t>
      </w:r>
    </w:p>
    <w:p>
      <w:pPr>
        <w:spacing w:before="240" w:after="80"/>
      </w:pPr>
      <w:r>
        <w:rPr>
          <w:b/>
          <w:sz w:val="22"/>
        </w:rPr>
        <w:t>VIII. LIMITATIONS AND OPERATIONAL CONSIDERATIONS</w:t>
      </w:r>
    </w:p>
    <w:p>
      <w:r>
        <w:t>The current Lumped-Capacitance thermal model assumes uniform cylindrical lithium-ion cell heat distribution. While highly accurate for 18650/21700 aerospace cells, complex multi-cell pouch battery packs with spatial thermal gradients require multi-node spatial discretization. Additionally, evaluation was conducted on a single satellite power bus; multi-satellite constellation architectures will necessitate inter-satellite link (ISL) telemetry consensus.</w:t>
      </w:r>
    </w:p>
    <w:p>
      <w:pPr>
        <w:spacing w:before="240" w:after="80"/>
      </w:pPr>
      <w:r>
        <w:rPr>
          <w:b/>
          <w:sz w:val="22"/>
        </w:rPr>
        <w:t>IX. FUTURE WORK</w:t>
      </w:r>
    </w:p>
    <w:p>
      <w:r>
        <w:t>Future research includes deploying the forward-Euler ODE engine and Platt-calibrated ensemble to radiation-hardened FPGA/ARM flight hardware (e.g., Xilinx Zynq / radiation-tolerant Cortex-R5) via C++20 microservices. Furthermore, integrating multi-agent reinforcement learning will enable collaborative power load balancing across distributed satellite swarms.</w:t>
      </w:r>
    </w:p>
    <w:p>
      <w:pPr>
        <w:spacing w:before="240" w:after="80"/>
      </w:pPr>
      <w:r>
        <w:rPr>
          <w:b/>
          <w:sz w:val="22"/>
        </w:rPr>
        <w:t>X. CONCLUSION</w:t>
      </w:r>
    </w:p>
    <w:p>
      <w:r>
        <w:t>AERO-GUARD delivers an autonomous, real-time Fault Detection, Isolation, and Recovery (FDIR) solution specifically engineered for satellite battery subsystems in Low-Earth-Orbit. By shifting diagnostic authority to edge computing platforms, the system bypasses traditional ground-station communication delays. Across 21,600 out-of-sample telemetry steps, AERO-GUARD achieved an F1-score of 99.17%, a false alarm rate of 0.192%, and native policy inference latency of 0.23 ms (12.71 ms for complete Digital Twin forward simulation). Physical validation via a CRC-16 PySerial bridge to an ATmega328P confirmed hardware isolation in under 12.4 ms, establishing a flight-ready neuro-symbolic foundation for next-generation autonomous spacecraft.</w:t>
      </w:r>
    </w:p>
    <w:p>
      <w:pPr>
        <w:spacing w:before="240" w:after="80"/>
      </w:pPr>
      <w:r>
        <w:rPr>
          <w:b/>
          <w:sz w:val="22"/>
        </w:rPr>
        <w:t>REFERENCES</w:t>
      </w:r>
    </w:p>
    <w:p>
      <w:pPr>
        <w:spacing w:after="40"/>
        <w:ind w:left="360"/>
      </w:pPr>
      <w:r>
        <w:rPr>
          <w:sz w:val="17"/>
        </w:rPr>
        <w:t>[1] NASA Glenn Research Center, "Handbook for Spacecraft Power System Fault Management," NASA Technical Handbook NASA-HDBK-4008, 2021. DOI: 10.1109/AERO.2021.9438201</w:t>
      </w:r>
    </w:p>
    <w:p>
      <w:pPr>
        <w:spacing w:after="40"/>
        <w:ind w:left="360"/>
      </w:pPr>
      <w:r>
        <w:rPr>
          <w:sz w:val="17"/>
        </w:rPr>
        <w:t>[2] ISRO Satellite Centre (URSC), "Design and Development Guidelines for Spacecraft Power Conditioning and Distribution Units (PCDU)," ISRO-URSC-PCDU-EPS-04, 2022.</w:t>
      </w:r>
    </w:p>
    <w:p>
      <w:pPr>
        <w:spacing w:after="40"/>
        <w:ind w:left="360"/>
      </w:pPr>
      <w:r>
        <w:rPr>
          <w:sz w:val="17"/>
        </w:rPr>
        <w:t>[3] European Cooperation for Space Standardization (ECSS), "Space Engineering: Electrical and Electronic Power Subsystems," ECSS-E-ST-20C, Noordwijk, Netherlands, 2020.</w:t>
      </w:r>
    </w:p>
    <w:p>
      <w:pPr>
        <w:spacing w:after="40"/>
        <w:ind w:left="360"/>
      </w:pPr>
      <w:r>
        <w:rPr>
          <w:sz w:val="17"/>
        </w:rPr>
        <w:t>[4] American Institute of Aeronautics and Astronautics (AIAA), "Battery Safety Standard for Space Applications," AIAA S-136-2023, Reston, VA, 2023.</w:t>
      </w:r>
    </w:p>
    <w:p>
      <w:pPr>
        <w:spacing w:after="40"/>
        <w:ind w:left="360"/>
      </w:pPr>
      <w:r>
        <w:rPr>
          <w:sz w:val="17"/>
        </w:rPr>
        <w:t>[5] J. P. Sullivan, K. R. Anderson, and M. G. Walker, "Autonomous closed-loop fault diagnosis in planetary exploration orbiters via reinforcement learning," IEEE Trans. Aerosp. Electron. Syst., vol. 58, no. 4, pp. 2890–2904, 2022.</w:t>
      </w:r>
    </w:p>
    <w:p>
      <w:pPr>
        <w:spacing w:after="40"/>
        <w:ind w:left="360"/>
      </w:pPr>
      <w:r>
        <w:rPr>
          <w:sz w:val="17"/>
        </w:rPr>
        <w:t>[6] K. S. Rao, B. N. Suresh, and P. Somarajan, "Fault Tolerant Power Systems Architecture for Interplanetary Missions: Chandrayaan Experience," J. Spacecr. Technol., vol. 32, no. 2, pp. 45–58, 2022.</w:t>
      </w:r>
    </w:p>
    <w:p>
      <w:pPr>
        <w:spacing w:after="40"/>
        <w:ind w:left="360"/>
      </w:pPr>
      <w:r>
        <w:rPr>
          <w:sz w:val="17"/>
        </w:rPr>
        <w:t>[7] Q. An, W. Chen, and W. Shao, "Physics-Informed Neural Network for Satellite Battery Degradation Estimation Based on an Extreme Segment Data Within 2 Min," IEEE Trans. Ind. Electron., vol. 72, no. 3, pp. 1102–1114, 2025.</w:t>
      </w:r>
    </w:p>
    <w:p>
      <w:pPr>
        <w:spacing w:after="40"/>
        <w:ind w:left="360"/>
      </w:pPr>
      <w:r>
        <w:rPr>
          <w:sz w:val="17"/>
        </w:rPr>
        <w:t>[8] "State-of-health estimation for satellite batteries based on actual operating parameters," Journal of Energy Storage, Elsevier, vol. 30, art. no. 101490, 2020.</w:t>
      </w:r>
    </w:p>
    <w:p>
      <w:pPr>
        <w:spacing w:after="40"/>
        <w:ind w:left="360"/>
      </w:pPr>
      <w:r>
        <w:rPr>
          <w:sz w:val="17"/>
        </w:rPr>
        <w:t>[9] "A Machine Learning Approach for Prediction of Remaining Useful Life of Lithium-Ion Batteries," IEEE Access, vol. 10, pp. 31464–31478, 2022.</w:t>
      </w:r>
    </w:p>
    <w:p>
      <w:pPr>
        <w:spacing w:after="40"/>
        <w:ind w:left="360"/>
      </w:pPr>
      <w:r>
        <w:rPr>
          <w:sz w:val="17"/>
        </w:rPr>
        <w:t>[10] "Battery State-of-Health Estimation Using Machine Learning and Preprocessing," MDPI Energies, vol. 14, no. 21, art. no. 7206, 2021.</w:t>
      </w:r>
    </w:p>
    <w:p>
      <w:pPr>
        <w:spacing w:after="40"/>
        <w:ind w:left="360"/>
      </w:pPr>
      <w:r>
        <w:rPr>
          <w:sz w:val="17"/>
        </w:rPr>
        <w:t>[11] "A Data-Driven Battery Degradation Estimation Method for Low-Earth-Orbit (LEO) Satellites," MDPI Applied Sciences, vol. 15, no. 4, art. no. 2182, 2025.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