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color w:val="424242"/>
          <w:sz w:val="22"/>
          <w:szCs w:val="22"/>
        </w:rPr>
        <w:t xml:space="preserve"/>
      </w:r>
    </w:p>
    <w:p>
      <w:pPr>
        <w:spacing w:after="60" w:before="60"/>
      </w:pPr>
      <w:r>
        <w:rPr>
          <w:rFonts w:ascii="Calibri" w:cs="Calibri" w:eastAsia="Calibri" w:hAnsi="Calibri"/>
          <w:color w:val="424242"/>
          <w:sz w:val="22"/>
          <w:szCs w:val="22"/>
        </w:rPr>
        <w:t xml:space="preserve"/>
      </w:r>
    </w:p>
    <w:p>
      <w:pPr>
        <w:spacing w:after="60" w:before="60"/>
      </w:pPr>
      <w:r>
        <w:rPr>
          <w:rFonts w:ascii="Calibri" w:cs="Calibri" w:eastAsia="Calibri" w:hAnsi="Calibri"/>
          <w:color w:val="424242"/>
          <w:sz w:val="22"/>
          <w:szCs w:val="22"/>
        </w:rPr>
        <w:t xml:space="preserve"/>
      </w:r>
    </w:p>
    <w:p>
      <w:pPr>
        <w:spacing w:after="0" w:before="0"/>
        <w:jc w:val="center"/>
      </w:pPr>
      <w:r>
        <w:rPr>
          <w:rFonts w:ascii="Calibri" w:cs="Calibri" w:eastAsia="Calibri" w:hAnsi="Calibri"/>
          <w:b/>
          <w:bCs/>
          <w:color w:val="1A2F5A"/>
          <w:sz w:val="110"/>
          <w:szCs w:val="110"/>
        </w:rPr>
        <w:t xml:space="preserve">PLATFORM</w:t>
      </w:r>
    </w:p>
    <w:p>
      <w:pPr>
        <w:spacing w:after="100" w:before="0"/>
        <w:jc w:val="center"/>
      </w:pPr>
      <w:r>
        <w:rPr>
          <w:rFonts w:ascii="Calibri" w:cs="Calibri" w:eastAsia="Calibri" w:hAnsi="Calibri"/>
          <w:b/>
          <w:bCs/>
          <w:color w:val="1565C0"/>
          <w:sz w:val="34"/>
          <w:szCs w:val="34"/>
        </w:rPr>
        <w:t xml:space="preserve">Complete Functionality Reference</w:t>
      </w:r>
    </w:p>
    <w:p>
      <w:pPr>
        <w:spacing w:after="600" w:before="0"/>
        <w:jc w:val="center"/>
      </w:pPr>
      <w:r>
        <w:rPr>
          <w:rFonts w:ascii="Calibri" w:cs="Calibri" w:eastAsia="Calibri" w:hAnsi="Calibri"/>
          <w:color w:val="424242"/>
          <w:sz w:val="22"/>
          <w:szCs w:val="22"/>
        </w:rPr>
        <w:t xml:space="preserve">Multi-Industry Operations Management — Government  ·  Real Estate  ·  Manufacturing  ·  Retail Franchise</w:t>
      </w:r>
    </w:p>
    <w:p>
      <w:pPr>
        <w:spacing w:after="0" w:before="0"/>
        <w:jc w:val="center"/>
      </w:pPr>
      <w:r>
        <w:rPr>
          <w:rFonts w:ascii="Calibri" w:cs="Calibri" w:eastAsia="Calibri" w:hAnsi="Calibri"/>
          <w:i/>
          <w:iCs/>
          <w:color w:val="9E9E9E"/>
          <w:sz w:val="20"/>
          <w:szCs w:val="20"/>
        </w:rPr>
        <w:t xml:space="preserve">All modules  ·  All workflows  ·  All four industry verticals  ·  Core platform architecture</w:t>
      </w:r>
    </w:p>
    <w:p>
      <w:pPr>
        <w:spacing w:after="60" w:before="60"/>
      </w:pPr>
      <w:r>
        <w:rPr>
          <w:rFonts w:ascii="Calibri" w:cs="Calibri" w:eastAsia="Calibri" w:hAnsi="Calibri"/>
          <w:color w:val="424242"/>
          <w:sz w:val="22"/>
          <w:szCs w:val="22"/>
        </w:rPr>
        <w:t xml:space="preserve"/>
      </w:r>
    </w:p>
    <w:p>
      <w:pPr>
        <w:spacing w:after="60" w:before="60"/>
      </w:pPr>
      <w:r>
        <w:rPr>
          <w:rFonts w:ascii="Calibri" w:cs="Calibri" w:eastAsia="Calibri" w:hAnsi="Calibri"/>
          <w:color w:val="424242"/>
          <w:sz w:val="22"/>
          <w:szCs w:val="22"/>
        </w:rPr>
        <w:t xml:space="preserve"/>
      </w:r>
    </w:p>
    <w:p>
      <w:pPr>
        <w:spacing w:after="60" w:before="60"/>
      </w:pPr>
      <w:r>
        <w:rPr>
          <w:rFonts w:ascii="Calibri" w:cs="Calibri" w:eastAsia="Calibri" w:hAnsi="Calibri"/>
          <w:color w:val="424242"/>
          <w:sz w:val="22"/>
          <w:szCs w:val="22"/>
        </w:rPr>
        <w:t xml:space="preserve"/>
      </w:r>
    </w:p>
    <w:p>
      <w:pPr>
        <w:jc w:val="center"/>
      </w:pPr>
      <w:r>
        <w:rPr>
          <w:rFonts w:ascii="Calibri" w:cs="Calibri" w:eastAsia="Calibri" w:hAnsi="Calibri"/>
          <w:color w:val="9E9E9E"/>
          <w:sz w:val="19"/>
          <w:szCs w:val="19"/>
        </w:rPr>
        <w:t xml:space="preserve">Version 1.0   |   2025   |   Internal Product Document   |   Confidential</w:t>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1 — Platform Overview &amp; Architecture</w:t>
      </w:r>
    </w:p>
    <w:p>
      <w:pPr>
        <w:spacing w:after="100" w:before="80"/>
      </w:pPr>
      <w:r>
        <w:rPr>
          <w:rFonts w:ascii="Calibri" w:cs="Calibri" w:eastAsia="Calibri" w:hAnsi="Calibri"/>
          <w:color w:val="424242"/>
          <w:sz w:val="22"/>
          <w:szCs w:val="22"/>
        </w:rPr>
        <w:t xml:space="preserve">This document is the single source of truth for all functionality across the multi-industry operations management platform. It covers every module, every workflow, and every feature across the core platform and all four industry verticals: Government Infrastructure, Real Estate &amp; Builders, Manufacturing &amp; Supply Chain, and Retail Franchise Chains.</w:t>
      </w:r>
    </w:p>
    <w:p>
      <w:pPr>
        <w:pStyle w:val="Heading2"/>
        <w:spacing w:after="120" w:before="280"/>
      </w:pPr>
      <w:r>
        <w:rPr>
          <w:rFonts w:ascii="Calibri" w:cs="Calibri" w:eastAsia="Calibri" w:hAnsi="Calibri"/>
          <w:b/>
          <w:bCs/>
          <w:color w:val="1565C0"/>
          <w:sz w:val="30"/>
          <w:szCs w:val="30"/>
        </w:rPr>
        <w:t xml:space="preserve">1.1  The Platform Model</w:t>
      </w:r>
    </w:p>
    <w:p>
      <w:pPr>
        <w:pBdr>
          <w:left w:val="single" w:color="1565C0" w:sz="22"/>
        </w:pBdr>
        <w:shd w:fill="EBF3FB" w:val="clear"/>
        <w:spacing w:after="28" w:before="140"/>
        <w:ind w:left="440" w:right="440"/>
      </w:pPr>
      <w:r>
        <w:rPr>
          <w:rFonts w:ascii="Calibri" w:cs="Calibri" w:eastAsia="Calibri" w:hAnsi="Calibri"/>
          <w:b/>
          <w:bCs/>
          <w:color w:val="1A2F5A"/>
          <w:sz w:val="21"/>
          <w:szCs w:val="21"/>
        </w:rPr>
        <w:t xml:space="preserve">This platform follows the Salesforce architecture model: one configurable core engine with industry-specific modules on top.</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The core handles: vendor management, procurement, project monitoring, financial controls, compliance, analytics, and workflow automation. These capabilities are built once and shared across all industries. Each industry vertical adds only the modules unique to that sector — RERA compliance for real estate, RA Bill engine for government, BOM tracking for manufacturing, outlet audits for retail.</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
      </w:r>
    </w:p>
    <w:p>
      <w:pPr>
        <w:pBdr>
          <w:left w:val="single" w:color="1565C0" w:sz="22"/>
        </w:pBdr>
        <w:shd w:fill="EBF3FB" w:val="clear"/>
        <w:spacing w:after="140" w:before="28"/>
        <w:ind w:left="440" w:right="440"/>
      </w:pPr>
      <w:r>
        <w:rPr>
          <w:rFonts w:ascii="Calibri" w:cs="Calibri" w:eastAsia="Calibri" w:hAnsi="Calibri"/>
          <w:b w:val="false"/>
          <w:bCs w:val="false"/>
          <w:color w:val="1A2F5A"/>
          <w:sz w:val="20"/>
          <w:szCs w:val="20"/>
        </w:rPr>
        <w:t xml:space="preserve">Result: each new industry vertical takes 4–5 months to build (not 12–18) because 70% of the infrastructure already exists in the core.</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1.2  Architecture Principles</w:t>
      </w:r>
    </w:p>
    <w:p>
      <w:pPr>
        <w:pStyle w:val="ListParagraph"/>
        <w:numPr>
          <w:ilvl w:val="0"/>
          <w:numId w:val="2"/>
        </w:numPr>
        <w:spacing w:after="45" w:before="45"/>
      </w:pPr>
      <w:r>
        <w:rPr>
          <w:rFonts w:ascii="Calibri" w:cs="Calibri" w:eastAsia="Calibri" w:hAnsi="Calibri"/>
          <w:color w:val="424242"/>
          <w:sz w:val="22"/>
          <w:szCs w:val="22"/>
        </w:rPr>
        <w:t xml:space="preserve">Multi-tenant SaaS: every client (HMDA, a builder, a manufacturer) is an isolated tenant with separate data, users, and configuration. Zero data bleed between tenants at any layer.</w:t>
      </w:r>
    </w:p>
    <w:p>
      <w:pPr>
        <w:pStyle w:val="ListParagraph"/>
        <w:numPr>
          <w:ilvl w:val="0"/>
          <w:numId w:val="2"/>
        </w:numPr>
        <w:spacing w:after="45" w:before="45"/>
      </w:pPr>
      <w:r>
        <w:rPr>
          <w:rFonts w:ascii="Calibri" w:cs="Calibri" w:eastAsia="Calibri" w:hAnsi="Calibri"/>
          <w:color w:val="424242"/>
          <w:sz w:val="22"/>
          <w:szCs w:val="22"/>
        </w:rPr>
        <w:t xml:space="preserve">Configurable, not customised: workflows, approval thresholds, billing formats, compliance rules — all configurable per tenant without code changes. A government client configures 5-level payment approval; a manufacturer configures 2-level. Same engine.</w:t>
      </w:r>
    </w:p>
    <w:p>
      <w:pPr>
        <w:pStyle w:val="ListParagraph"/>
        <w:numPr>
          <w:ilvl w:val="0"/>
          <w:numId w:val="2"/>
        </w:numPr>
        <w:spacing w:after="45" w:before="45"/>
      </w:pPr>
      <w:r>
        <w:rPr>
          <w:rFonts w:ascii="Calibri" w:cs="Calibri" w:eastAsia="Calibri" w:hAnsi="Calibri"/>
          <w:color w:val="424242"/>
          <w:sz w:val="22"/>
          <w:szCs w:val="22"/>
        </w:rPr>
        <w:t xml:space="preserve">Industry module interface: each vertical is a module that plugs into the core via a defined interface. Turning on Real Estate module and turning off Government module does not touch the core. Billing templates, compliance checklists, and dashboard KPIs swap at the module layer.</w:t>
      </w:r>
    </w:p>
    <w:p>
      <w:pPr>
        <w:pStyle w:val="ListParagraph"/>
        <w:numPr>
          <w:ilvl w:val="0"/>
          <w:numId w:val="2"/>
        </w:numPr>
        <w:spacing w:after="45" w:before="45"/>
      </w:pPr>
      <w:r>
        <w:rPr>
          <w:rFonts w:ascii="Calibri" w:cs="Calibri" w:eastAsia="Calibri" w:hAnsi="Calibri"/>
          <w:color w:val="424242"/>
          <w:sz w:val="22"/>
          <w:szCs w:val="22"/>
        </w:rPr>
        <w:t xml:space="preserve">Vendor network effect: vendors onboarded for any module exist in one shared vendor database. A contractor rated on a government road project carries that rating when a real estate developer discovers them on the same platform. The network grows more valuable with every new client in any vertical.</w:t>
      </w:r>
    </w:p>
    <w:p>
      <w:pPr>
        <w:pStyle w:val="ListParagraph"/>
        <w:numPr>
          <w:ilvl w:val="0"/>
          <w:numId w:val="2"/>
        </w:numPr>
        <w:spacing w:after="45" w:before="45"/>
      </w:pPr>
      <w:r>
        <w:rPr>
          <w:rFonts w:ascii="Calibri" w:cs="Calibri" w:eastAsia="Calibri" w:hAnsi="Calibri"/>
          <w:color w:val="424242"/>
          <w:sz w:val="22"/>
          <w:szCs w:val="22"/>
        </w:rPr>
        <w:t xml:space="preserve">Offline-first mobile: all site-facing functionality works without internet. Data syncs when connectivity returns. Mandatory for construction sites, factory floors, and remote franchise outlets.</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1.3  Modules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Module</w:t>
            </w:r>
          </w:p>
        </w:tc>
        <w:tc>
          <w:tcPr>
            <w:tcW w:type="dxa" w:w="216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Applies to</w:t>
            </w:r>
          </w:p>
        </w:tc>
        <w:tc>
          <w:tcPr>
            <w:tcW w:type="dxa" w:w="42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Summary</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Vendor &amp; contractor management</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Onboarding, KYC, capability classification, performance ratings, blacklist, sub-contractor tracking</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Procurement engine</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Indent → PO → gate pass → GRN → invoice → 3-way match → payment. Fully configurable per industry.</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Material &amp; inventory management</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Stock tracking per location, reorder alerts, IS-code / spec quality gates, inter-location transfers</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Project &amp; milestone monitoring</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Work order management, milestone tracking, S-curve, daily progress, GIS map, delay alerts</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Financial controls &amp; billing</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Budget allocation, billing engine (format configurable per industry), multi-level approval, payment release</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Compliance &amp; audit trail</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Immutable action log, statutory compliance tracker, regulatory report generation, anti-corruption flags</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Workflow &amp; approvals engine</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Visual workflow builder, role-based routing, SLA timers, escalation chains, delegation</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Analytics &amp; dashboards</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Configurable KPI dashboards, S-curve charts, GIS maps, EVM metrics, custom report builder</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Role-based access control</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Tenant-level roles, module-level permissions, field-level data masking, IP allowlisting</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Mobile app</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All verticals</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Offline-first, GPS photo capture, voice input, QR scanner, push notifications</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Tender &amp; bid management</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Govt, Real estate</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Sealed bid portal, comparative statement, L1 determination, reverse auction, award workflow</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RA Bill &amp; Measurement Book</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Government</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Cumulative quantity billing, MB field entry, statutory deductions, multi-level payment approval</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BOQ &amp; chainage workflows</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Government</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BOQ-linked procurement, chainage-level cost tracking, IS-code quality gates, BOCW compliance</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RERA &amp; unit-wise billing</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Real estate</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RERA milestone tracking, flat/unit cost allocation, buyer progress portal, OC/CC management</w:t>
            </w:r>
          </w:p>
        </w:tc>
      </w:tr>
      <w:tr>
        <w:tc>
          <w:tcPr>
            <w:tcW w:type="dxa" w:w="30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BOM &amp; production tracking</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Manufacturing</w:t>
            </w:r>
          </w:p>
        </w:tc>
        <w:tc>
          <w:tcPr>
            <w:tcW w:type="dxa" w:w="42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Bill of materials, production orders, plant vs target, incoming quality control, dispatch management</w:t>
            </w:r>
          </w:p>
        </w:tc>
      </w:tr>
      <w:tr>
        <w:tc>
          <w:tcPr>
            <w:tcW w:type="dxa" w:w="30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Franchise audit &amp; outlet mgmt</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Retail</w:t>
            </w:r>
          </w:p>
        </w:tc>
        <w:tc>
          <w:tcPr>
            <w:tcW w:type="dxa" w:w="42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Outlet compliance scoring, centralized procurement, new outlet rollout, SLA &amp; KPI per outlet</w:t>
            </w:r>
          </w:p>
        </w:tc>
      </w:tr>
    </w:tbl>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2 — Core Platform Modules (All Industries)</w:t>
      </w:r>
    </w:p>
    <w:p>
      <w:pPr>
        <w:spacing w:after="100" w:before="80"/>
      </w:pPr>
      <w:r>
        <w:rPr>
          <w:rFonts w:ascii="Calibri" w:cs="Calibri" w:eastAsia="Calibri" w:hAnsi="Calibri"/>
          <w:color w:val="424242"/>
          <w:sz w:val="22"/>
          <w:szCs w:val="22"/>
        </w:rPr>
        <w:t xml:space="preserve">Every module in this section is built once in the core and is available to all four industry verticals. Configuration differs per tenant and per industry — the code does not.</w:t>
      </w:r>
    </w:p>
    <w:p>
      <w:pPr>
        <w:pStyle w:val="Heading2"/>
        <w:spacing w:after="120" w:before="280"/>
      </w:pPr>
      <w:r>
        <w:rPr>
          <w:rFonts w:ascii="Calibri" w:cs="Calibri" w:eastAsia="Calibri" w:hAnsi="Calibri"/>
          <w:b/>
          <w:bCs/>
          <w:color w:val="1565C0"/>
          <w:sz w:val="30"/>
          <w:szCs w:val="30"/>
        </w:rPr>
        <w:t xml:space="preserve">Module 1 — Vendor &amp; Contractor Management</w:t>
      </w:r>
    </w:p>
    <w:p>
      <w:pPr>
        <w:pStyle w:val="Heading3"/>
        <w:spacing w:after="80" w:before="200"/>
      </w:pPr>
      <w:r>
        <w:rPr>
          <w:rFonts w:ascii="Calibri" w:cs="Calibri" w:eastAsia="Calibri" w:hAnsi="Calibri"/>
          <w:b/>
          <w:bCs/>
          <w:color w:val="00695C"/>
          <w:sz w:val="24"/>
          <w:szCs w:val="24"/>
        </w:rPr>
        <w:t xml:space="preserve">1.1  Vendor Onboarding &amp; KYC</w:t>
      </w:r>
    </w:p>
    <w:p>
      <w:pPr>
        <w:pStyle w:val="ListParagraph"/>
        <w:numPr>
          <w:ilvl w:val="0"/>
          <w:numId w:val="2"/>
        </w:numPr>
        <w:spacing w:after="45" w:before="45"/>
      </w:pPr>
      <w:r>
        <w:rPr>
          <w:rFonts w:ascii="Calibri" w:cs="Calibri" w:eastAsia="Calibri" w:hAnsi="Calibri"/>
          <w:color w:val="424242"/>
          <w:sz w:val="22"/>
          <w:szCs w:val="22"/>
        </w:rPr>
        <w:t xml:space="preserve">Structured onboarding form captures: legal company name, PAN (validated against IT database), GSTIN (15-character format validated), registered address, bank account details (verified via real-time penny drop API), year of establishment, annual turnover (last 3 years from balance sheet uploads), and number of employees.</w:t>
      </w:r>
    </w:p>
    <w:p>
      <w:pPr>
        <w:pStyle w:val="ListParagraph"/>
        <w:numPr>
          <w:ilvl w:val="0"/>
          <w:numId w:val="2"/>
        </w:numPr>
        <w:spacing w:after="45" w:before="45"/>
      </w:pPr>
      <w:r>
        <w:rPr>
          <w:rFonts w:ascii="Calibri" w:cs="Calibri" w:eastAsia="Calibri" w:hAnsi="Calibri"/>
          <w:color w:val="424242"/>
          <w:sz w:val="22"/>
          <w:szCs w:val="22"/>
        </w:rPr>
        <w:t xml:space="preserve">Document vault per vendor: GST registration certificate, company registration (MCA), EPF/ESIC registration numbers, MSME/Udyam certificate (if applicable), ISO certificates (9001, 14001, 45001), any sector-specific licenses (mining license for quarries, drug license for pharma suppliers, FSSAI for food suppliers, BIS certification for construction materials).</w:t>
      </w:r>
    </w:p>
    <w:p>
      <w:pPr>
        <w:pStyle w:val="ListParagraph"/>
        <w:numPr>
          <w:ilvl w:val="0"/>
          <w:numId w:val="2"/>
        </w:numPr>
        <w:spacing w:after="45" w:before="45"/>
      </w:pPr>
      <w:r>
        <w:rPr>
          <w:rFonts w:ascii="Calibri" w:cs="Calibri" w:eastAsia="Calibri" w:hAnsi="Calibri"/>
          <w:color w:val="424242"/>
          <w:sz w:val="22"/>
          <w:szCs w:val="22"/>
        </w:rPr>
        <w:t xml:space="preserve">KYC verification workflow: documents submitted by vendor → reviewed by platform admin or client's procurement team → verified or rejected with specific reason → re-submission allowed. All verification actions timestamped.</w:t>
      </w:r>
    </w:p>
    <w:p>
      <w:pPr>
        <w:pStyle w:val="ListParagraph"/>
        <w:numPr>
          <w:ilvl w:val="0"/>
          <w:numId w:val="2"/>
        </w:numPr>
        <w:spacing w:after="45" w:before="45"/>
      </w:pPr>
      <w:r>
        <w:rPr>
          <w:rFonts w:ascii="Calibri" w:cs="Calibri" w:eastAsia="Calibri" w:hAnsi="Calibri"/>
          <w:color w:val="424242"/>
          <w:sz w:val="22"/>
          <w:szCs w:val="22"/>
        </w:rPr>
        <w:t xml:space="preserve">Permanent GPEP Vendor ID: assigned on first onboarding, persists across all projects and all clients on the platform. Performance history, payment records, NCR history, and blacklist flags accumulate against this ID.</w:t>
      </w:r>
    </w:p>
    <w:p>
      <w:pPr>
        <w:pStyle w:val="ListParagraph"/>
        <w:numPr>
          <w:ilvl w:val="0"/>
          <w:numId w:val="2"/>
        </w:numPr>
        <w:spacing w:after="45" w:before="45"/>
      </w:pPr>
      <w:r>
        <w:rPr>
          <w:rFonts w:ascii="Calibri" w:cs="Calibri" w:eastAsia="Calibri" w:hAnsi="Calibri"/>
          <w:color w:val="424242"/>
          <w:sz w:val="22"/>
          <w:szCs w:val="22"/>
        </w:rPr>
        <w:t xml:space="preserve">MSME flag and enforcement: if vendor holds a valid Udyam certificate (uploaded and verified), the MSME flag activates. System enforces payment within 45 days per MSMED Act 2006. Overdue MSME payments trigger automatic escalation to the approving officer.</w:t>
      </w:r>
    </w:p>
    <w:p>
      <w:pPr>
        <w:pStyle w:val="ListParagraph"/>
        <w:numPr>
          <w:ilvl w:val="0"/>
          <w:numId w:val="2"/>
        </w:numPr>
        <w:spacing w:after="45" w:before="45"/>
      </w:pPr>
      <w:r>
        <w:rPr>
          <w:rFonts w:ascii="Calibri" w:cs="Calibri" w:eastAsia="Calibri" w:hAnsi="Calibri"/>
          <w:color w:val="424242"/>
          <w:sz w:val="22"/>
          <w:szCs w:val="22"/>
        </w:rPr>
        <w:t xml:space="preserve">Re-verification trigger: system auto-flags vendors for re-KYC when GSTIN becomes inactive (pulled from GSTN API monthly), PAN mismatch detected, bank account changed, or 24 months since last verification.</w:t>
      </w:r>
    </w:p>
    <w:p>
      <w:pPr>
        <w:pStyle w:val="Heading3"/>
        <w:spacing w:after="80" w:before="200"/>
      </w:pPr>
      <w:r>
        <w:rPr>
          <w:rFonts w:ascii="Calibri" w:cs="Calibri" w:eastAsia="Calibri" w:hAnsi="Calibri"/>
          <w:b/>
          <w:bCs/>
          <w:color w:val="00695C"/>
          <w:sz w:val="24"/>
          <w:szCs w:val="24"/>
        </w:rPr>
        <w:t xml:space="preserve">1.2  Vendor Classification</w:t>
      </w:r>
    </w:p>
    <w:p>
      <w:pPr>
        <w:pStyle w:val="ListParagraph"/>
        <w:numPr>
          <w:ilvl w:val="0"/>
          <w:numId w:val="2"/>
        </w:numPr>
        <w:spacing w:after="45" w:before="45"/>
      </w:pPr>
      <w:r>
        <w:rPr>
          <w:rFonts w:ascii="Calibri" w:cs="Calibri" w:eastAsia="Calibri" w:hAnsi="Calibri"/>
          <w:color w:val="424242"/>
          <w:sz w:val="22"/>
          <w:szCs w:val="22"/>
        </w:rPr>
        <w:t xml:space="preserve">Financial class: Class AA (annual turnover &gt; Rs 500 Cr), Class A (Rs 50–500 Cr), Class B (Rs 10–50 Cr), Class C (Rs 1–10 Cr), Class D (below Rs 1 Cr). Determined from last 3 years' balance sheets. Auto-recalculated annually.</w:t>
      </w:r>
    </w:p>
    <w:p>
      <w:pPr>
        <w:pStyle w:val="ListParagraph"/>
        <w:numPr>
          <w:ilvl w:val="0"/>
          <w:numId w:val="2"/>
        </w:numPr>
        <w:spacing w:after="45" w:before="45"/>
      </w:pPr>
      <w:r>
        <w:rPr>
          <w:rFonts w:ascii="Calibri" w:cs="Calibri" w:eastAsia="Calibri" w:hAnsi="Calibri"/>
          <w:color w:val="424242"/>
          <w:sz w:val="22"/>
          <w:szCs w:val="22"/>
        </w:rPr>
        <w:t xml:space="preserve">Capability tags (multi-select, industry-configurable): for construction — Earthwork, Subgrade, Granular base, Bituminous works, Concrete pavement, Structural steel, Bridge &amp; flyover, Drainage, Electrical, Signage &amp; road furniture, Survey, Testing lab. For manufacturing — Raw material supply, Component machining, Surface treatment, Assembly, Packaging, Logistics. For retail — Equipment supply, Interior works, IT/POS systems, Housekeeping services, Security services.</w:t>
      </w:r>
    </w:p>
    <w:p>
      <w:pPr>
        <w:pStyle w:val="ListParagraph"/>
        <w:numPr>
          <w:ilvl w:val="0"/>
          <w:numId w:val="2"/>
        </w:numPr>
        <w:spacing w:after="45" w:before="45"/>
      </w:pPr>
      <w:r>
        <w:rPr>
          <w:rFonts w:ascii="Calibri" w:cs="Calibri" w:eastAsia="Calibri" w:hAnsi="Calibri"/>
          <w:color w:val="424242"/>
          <w:sz w:val="22"/>
          <w:szCs w:val="22"/>
        </w:rPr>
        <w:t xml:space="preserve">Vendor filtering: when a procurement team selects a supplier for a PO, the dropdown shows only vendors whose class and capability tags match the requirement — unapproved vendors are not visible, not just blocked.</w:t>
      </w:r>
    </w:p>
    <w:p>
      <w:pPr>
        <w:pStyle w:val="ListParagraph"/>
        <w:numPr>
          <w:ilvl w:val="0"/>
          <w:numId w:val="2"/>
        </w:numPr>
        <w:spacing w:after="45" w:before="45"/>
      </w:pPr>
      <w:r>
        <w:rPr>
          <w:rFonts w:ascii="Calibri" w:cs="Calibri" w:eastAsia="Calibri" w:hAnsi="Calibri"/>
          <w:color w:val="424242"/>
          <w:sz w:val="22"/>
          <w:szCs w:val="22"/>
        </w:rPr>
        <w:t xml:space="preserve">Geographic coverage: vendor registers states/regions they can serve. System filters by delivery location when showing supplier options for a purchase order.</w:t>
      </w:r>
    </w:p>
    <w:p>
      <w:pPr>
        <w:pStyle w:val="Heading3"/>
        <w:spacing w:after="80" w:before="200"/>
      </w:pPr>
      <w:r>
        <w:rPr>
          <w:rFonts w:ascii="Calibri" w:cs="Calibri" w:eastAsia="Calibri" w:hAnsi="Calibri"/>
          <w:b/>
          <w:bCs/>
          <w:color w:val="00695C"/>
          <w:sz w:val="24"/>
          <w:szCs w:val="24"/>
        </w:rPr>
        <w:t xml:space="preserve">1.3  Performance Rating System</w:t>
      </w:r>
    </w:p>
    <w:p>
      <w:pPr>
        <w:pStyle w:val="ListParagraph"/>
        <w:numPr>
          <w:ilvl w:val="0"/>
          <w:numId w:val="2"/>
        </w:numPr>
        <w:spacing w:after="45" w:before="45"/>
      </w:pPr>
      <w:r>
        <w:rPr>
          <w:rFonts w:ascii="Calibri" w:cs="Calibri" w:eastAsia="Calibri" w:hAnsi="Calibri"/>
          <w:color w:val="424242"/>
          <w:sz w:val="22"/>
          <w:szCs w:val="22"/>
        </w:rPr>
        <w:t xml:space="preserve">Four dimensions scored after each project milestone and at project close: Schedule Adherence (% of milestones delivered on time — 30% weight), Quality Score (NCR rate, rework percentage, test failure rate — 30% weight), Safety Record (incident frequency rate, HSE compliance — 20% weight), Documentation Compliance (timely submission of bills, DPRs, test certificates — 20% weight).</w:t>
      </w:r>
    </w:p>
    <w:p>
      <w:pPr>
        <w:pStyle w:val="ListParagraph"/>
        <w:numPr>
          <w:ilvl w:val="0"/>
          <w:numId w:val="2"/>
        </w:numPr>
        <w:spacing w:after="45" w:before="45"/>
      </w:pPr>
      <w:r>
        <w:rPr>
          <w:rFonts w:ascii="Calibri" w:cs="Calibri" w:eastAsia="Calibri" w:hAnsi="Calibri"/>
          <w:color w:val="424242"/>
          <w:sz w:val="22"/>
          <w:szCs w:val="22"/>
        </w:rPr>
        <w:t xml:space="preserve">Scoring input: dimension scores are auto-computed from system data (milestone dates from project module, NCRs from quality module, incidents from safety module, document timestamps from submission logs). No manual entry required — the system generates ratings from its own operational data.</w:t>
      </w:r>
    </w:p>
    <w:p>
      <w:pPr>
        <w:pStyle w:val="ListParagraph"/>
        <w:numPr>
          <w:ilvl w:val="0"/>
          <w:numId w:val="2"/>
        </w:numPr>
        <w:spacing w:after="45" w:before="45"/>
      </w:pPr>
      <w:r>
        <w:rPr>
          <w:rFonts w:ascii="Calibri" w:cs="Calibri" w:eastAsia="Calibri" w:hAnsi="Calibri"/>
          <w:color w:val="424242"/>
          <w:sz w:val="22"/>
          <w:szCs w:val="22"/>
        </w:rPr>
        <w:t xml:space="preserve">Rating visibility: vendors see their own rating in their portal. Clients see ratings of vendors they have worked with. Platform-wide rating visible to all clients on the platform after a vendor has completed 3+ projects.</w:t>
      </w:r>
    </w:p>
    <w:p>
      <w:pPr>
        <w:pStyle w:val="ListParagraph"/>
        <w:numPr>
          <w:ilvl w:val="0"/>
          <w:numId w:val="2"/>
        </w:numPr>
        <w:spacing w:after="45" w:before="45"/>
      </w:pPr>
      <w:r>
        <w:rPr>
          <w:rFonts w:ascii="Calibri" w:cs="Calibri" w:eastAsia="Calibri" w:hAnsi="Calibri"/>
          <w:color w:val="424242"/>
          <w:sz w:val="22"/>
          <w:szCs w:val="22"/>
        </w:rPr>
        <w:t xml:space="preserve">Rating impact: minimum rating threshold configurable per tender. A vendor with rating below 60% can be automatically excluded from bidding on specific project classes. A vendor with rating above 85% gets a 'Preferred Vendor' badge visible to all clients.</w:t>
      </w:r>
    </w:p>
    <w:p>
      <w:pPr>
        <w:pStyle w:val="ListParagraph"/>
        <w:numPr>
          <w:ilvl w:val="0"/>
          <w:numId w:val="2"/>
        </w:numPr>
        <w:spacing w:after="45" w:before="45"/>
      </w:pPr>
      <w:r>
        <w:rPr>
          <w:rFonts w:ascii="Calibri" w:cs="Calibri" w:eastAsia="Calibri" w:hAnsi="Calibri"/>
          <w:color w:val="424242"/>
          <w:sz w:val="22"/>
          <w:szCs w:val="22"/>
        </w:rPr>
        <w:t xml:space="preserve">Rating dispute: vendor can raise a formal dispute against a specific rating dimension within 30 days of project close. Dispute goes to the client's project director for review. Resolution and final rating both logged immutably.</w:t>
      </w:r>
    </w:p>
    <w:p>
      <w:pPr>
        <w:pStyle w:val="Heading3"/>
        <w:spacing w:after="80" w:before="200"/>
      </w:pPr>
      <w:r>
        <w:rPr>
          <w:rFonts w:ascii="Calibri" w:cs="Calibri" w:eastAsia="Calibri" w:hAnsi="Calibri"/>
          <w:b/>
          <w:bCs/>
          <w:color w:val="00695C"/>
          <w:sz w:val="24"/>
          <w:szCs w:val="24"/>
        </w:rPr>
        <w:t xml:space="preserve">1.4  Blacklist &amp; Debarment</w:t>
      </w:r>
    </w:p>
    <w:p>
      <w:pPr>
        <w:pStyle w:val="ListParagraph"/>
        <w:numPr>
          <w:ilvl w:val="0"/>
          <w:numId w:val="2"/>
        </w:numPr>
        <w:spacing w:after="45" w:before="45"/>
      </w:pPr>
      <w:r>
        <w:rPr>
          <w:rFonts w:ascii="Calibri" w:cs="Calibri" w:eastAsia="Calibri" w:hAnsi="Calibri"/>
          <w:color w:val="424242"/>
          <w:sz w:val="22"/>
          <w:szCs w:val="22"/>
        </w:rPr>
        <w:t xml:space="preserve">Debarment initiation: any client (with appropriate role) can initiate a debarment proceeding against a vendor. Charge sheet documenting the violation is uploaded. System auto-generates a show-cause notice delivered to the vendor's registered email and in-platform notification.</w:t>
      </w:r>
    </w:p>
    <w:p>
      <w:pPr>
        <w:pStyle w:val="ListParagraph"/>
        <w:numPr>
          <w:ilvl w:val="0"/>
          <w:numId w:val="2"/>
        </w:numPr>
        <w:spacing w:after="45" w:before="45"/>
      </w:pPr>
      <w:r>
        <w:rPr>
          <w:rFonts w:ascii="Calibri" w:cs="Calibri" w:eastAsia="Calibri" w:hAnsi="Calibri"/>
          <w:color w:val="424242"/>
          <w:sz w:val="22"/>
          <w:szCs w:val="22"/>
        </w:rPr>
        <w:t xml:space="preserve">Vendor response: vendor has a configurable response window (default 15 days) to submit their response through the platform. Response is logged and visible to the adjudicating authority.</w:t>
      </w:r>
    </w:p>
    <w:p>
      <w:pPr>
        <w:pStyle w:val="ListParagraph"/>
        <w:numPr>
          <w:ilvl w:val="0"/>
          <w:numId w:val="2"/>
        </w:numPr>
        <w:spacing w:after="45" w:before="45"/>
      </w:pPr>
      <w:r>
        <w:rPr>
          <w:rFonts w:ascii="Calibri" w:cs="Calibri" w:eastAsia="Calibri" w:hAnsi="Calibri"/>
          <w:color w:val="424242"/>
          <w:sz w:val="22"/>
          <w:szCs w:val="22"/>
        </w:rPr>
        <w:t xml:space="preserve">Adjudication: designated adjudicating authority (configurable per client — could be project director, legal team, or independent committee) reviews the charge sheet and response, records their decision, and issues the debarment order or dismissal through the platform.</w:t>
      </w:r>
    </w:p>
    <w:p>
      <w:pPr>
        <w:pStyle w:val="ListParagraph"/>
        <w:numPr>
          <w:ilvl w:val="0"/>
          <w:numId w:val="2"/>
        </w:numPr>
        <w:spacing w:after="45" w:before="45"/>
      </w:pPr>
      <w:r>
        <w:rPr>
          <w:rFonts w:ascii="Calibri" w:cs="Calibri" w:eastAsia="Calibri" w:hAnsi="Calibri"/>
          <w:color w:val="424242"/>
          <w:sz w:val="22"/>
          <w:szCs w:val="22"/>
        </w:rPr>
        <w:t xml:space="preserve">Effect of debarment: debarred vendor is immediately blocked from bidding on any project under that client. Their profile shows a DEBARRED badge with the order date and reason. Appeals workflow available — counter-application submitted through platform, reviewed by higher authority.</w:t>
      </w:r>
    </w:p>
    <w:p>
      <w:pPr>
        <w:pStyle w:val="ListParagraph"/>
        <w:numPr>
          <w:ilvl w:val="0"/>
          <w:numId w:val="2"/>
        </w:numPr>
        <w:spacing w:after="45" w:before="45"/>
      </w:pPr>
      <w:r>
        <w:rPr>
          <w:rFonts w:ascii="Calibri" w:cs="Calibri" w:eastAsia="Calibri" w:hAnsi="Calibri"/>
          <w:color w:val="424242"/>
          <w:sz w:val="22"/>
          <w:szCs w:val="22"/>
        </w:rPr>
        <w:t xml:space="preserve">Cross-organisation blacklist sharing: with explicit consent configuration, a debarment by one client can be shared across the platform as a 'public flag' — other clients see it as an advisory (not automatic block) unless they individually activate the cross-organisation enforcement.</w:t>
      </w:r>
    </w:p>
    <w:p>
      <w:pPr>
        <w:pStyle w:val="Heading3"/>
        <w:spacing w:after="80" w:before="200"/>
      </w:pPr>
      <w:r>
        <w:rPr>
          <w:rFonts w:ascii="Calibri" w:cs="Calibri" w:eastAsia="Calibri" w:hAnsi="Calibri"/>
          <w:b/>
          <w:bCs/>
          <w:color w:val="00695C"/>
          <w:sz w:val="24"/>
          <w:szCs w:val="24"/>
        </w:rPr>
        <w:t xml:space="preserve">1.5  Sub-Contractor &amp; Tier-2 Vendor Management</w:t>
      </w:r>
    </w:p>
    <w:p>
      <w:pPr>
        <w:pStyle w:val="ListParagraph"/>
        <w:numPr>
          <w:ilvl w:val="0"/>
          <w:numId w:val="2"/>
        </w:numPr>
        <w:spacing w:after="45" w:before="45"/>
      </w:pPr>
      <w:r>
        <w:rPr>
          <w:rFonts w:ascii="Calibri" w:cs="Calibri" w:eastAsia="Calibri" w:hAnsi="Calibri"/>
          <w:color w:val="424242"/>
          <w:sz w:val="22"/>
          <w:szCs w:val="22"/>
        </w:rPr>
        <w:t xml:space="preserve">Primary vendors declare all sub-contractors before work commences. Sub-contractors complete a simplified KYC. Platform tracks the full subcontracting tree: primary contractor → sub-contractor → sub-sub-contractor (2 levels max).</w:t>
      </w:r>
    </w:p>
    <w:p>
      <w:pPr>
        <w:pStyle w:val="ListParagraph"/>
        <w:numPr>
          <w:ilvl w:val="0"/>
          <w:numId w:val="2"/>
        </w:numPr>
        <w:spacing w:after="45" w:before="45"/>
      </w:pPr>
      <w:r>
        <w:rPr>
          <w:rFonts w:ascii="Calibri" w:cs="Calibri" w:eastAsia="Calibri" w:hAnsi="Calibri"/>
          <w:color w:val="424242"/>
          <w:sz w:val="22"/>
          <w:szCs w:val="22"/>
        </w:rPr>
        <w:t xml:space="preserve">Sub-contracting cap: system alerts when more than 60% of a primary contract's value is sub-let. Above 75%, work suspension warning is auto-raised. This mirrors standard government contract conditions.</w:t>
      </w:r>
    </w:p>
    <w:p>
      <w:pPr>
        <w:pStyle w:val="ListParagraph"/>
        <w:numPr>
          <w:ilvl w:val="0"/>
          <w:numId w:val="2"/>
        </w:numPr>
        <w:spacing w:after="45" w:before="45"/>
      </w:pPr>
      <w:r>
        <w:rPr>
          <w:rFonts w:ascii="Calibri" w:cs="Calibri" w:eastAsia="Calibri" w:hAnsi="Calibri"/>
          <w:color w:val="424242"/>
          <w:sz w:val="22"/>
          <w:szCs w:val="22"/>
        </w:rPr>
        <w:t xml:space="preserve">Sub-contractor payment tracking: primary vendor logs payments made to sub-contractors in the system. This creates a transparent payment-down-the-chain record available to the ultimate client during audits.</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2 — Procurement Engine</w:t>
      </w:r>
    </w:p>
    <w:p>
      <w:pPr>
        <w:pStyle w:val="Heading3"/>
        <w:spacing w:after="80" w:before="200"/>
      </w:pPr>
      <w:r>
        <w:rPr>
          <w:rFonts w:ascii="Calibri" w:cs="Calibri" w:eastAsia="Calibri" w:hAnsi="Calibri"/>
          <w:b/>
          <w:bCs/>
          <w:color w:val="00695C"/>
          <w:sz w:val="24"/>
          <w:szCs w:val="24"/>
        </w:rPr>
        <w:t xml:space="preserve">2.1  Rate Contracts &amp; Approved Supplier List</w:t>
      </w:r>
    </w:p>
    <w:p>
      <w:pPr>
        <w:pStyle w:val="ListParagraph"/>
        <w:numPr>
          <w:ilvl w:val="0"/>
          <w:numId w:val="2"/>
        </w:numPr>
        <w:spacing w:after="45" w:before="45"/>
      </w:pPr>
      <w:r>
        <w:rPr>
          <w:rFonts w:ascii="Calibri" w:cs="Calibri" w:eastAsia="Calibri" w:hAnsi="Calibri"/>
          <w:color w:val="424242"/>
          <w:sz w:val="22"/>
          <w:szCs w:val="22"/>
        </w:rPr>
        <w:t xml:space="preserve">Rate contract management: annual or project-specific rate contracts negotiated with suppliers are stored in the system. Unit rate per material per supplier, validity dates, GST rate, terms. System auto-populates rates when raising POs against rate contracts — no manual rate entry.</w:t>
      </w:r>
    </w:p>
    <w:p>
      <w:pPr>
        <w:pStyle w:val="ListParagraph"/>
        <w:numPr>
          <w:ilvl w:val="0"/>
          <w:numId w:val="2"/>
        </w:numPr>
        <w:spacing w:after="45" w:before="45"/>
      </w:pPr>
      <w:r>
        <w:rPr>
          <w:rFonts w:ascii="Calibri" w:cs="Calibri" w:eastAsia="Calibri" w:hAnsi="Calibri"/>
          <w:color w:val="424242"/>
          <w:sz w:val="22"/>
          <w:szCs w:val="22"/>
        </w:rPr>
        <w:t xml:space="preserve">Approved supplier list (ASL): per material type, per client, the ASL defines which vendors are permitted suppliers. Only ASL vendors appear in the supplier dropdown when raising a PO. Non-ASL vendors are invisible to the procurement team, preventing unilateral unapproved sourcing.</w:t>
      </w:r>
    </w:p>
    <w:p>
      <w:pPr>
        <w:pStyle w:val="ListParagraph"/>
        <w:numPr>
          <w:ilvl w:val="0"/>
          <w:numId w:val="2"/>
        </w:numPr>
        <w:spacing w:after="45" w:before="45"/>
      </w:pPr>
      <w:r>
        <w:rPr>
          <w:rFonts w:ascii="Calibri" w:cs="Calibri" w:eastAsia="Calibri" w:hAnsi="Calibri"/>
          <w:color w:val="424242"/>
          <w:sz w:val="22"/>
          <w:szCs w:val="22"/>
        </w:rPr>
        <w:t xml:space="preserve">Rate variance protection: if a proposed PO rate exceeds the rate contract price by more than a configurable threshold (default 5%), the PO is flagged and requires a written justification note before the approval workflow can proceed.</w:t>
      </w:r>
    </w:p>
    <w:p>
      <w:pPr>
        <w:pStyle w:val="Heading3"/>
        <w:spacing w:after="80" w:before="200"/>
      </w:pPr>
      <w:r>
        <w:rPr>
          <w:rFonts w:ascii="Calibri" w:cs="Calibri" w:eastAsia="Calibri" w:hAnsi="Calibri"/>
          <w:b/>
          <w:bCs/>
          <w:color w:val="00695C"/>
          <w:sz w:val="24"/>
          <w:szCs w:val="24"/>
        </w:rPr>
        <w:t xml:space="preserve">2.2  Material Indent (Purchase Requisition)</w:t>
      </w:r>
    </w:p>
    <w:p>
      <w:pPr>
        <w:pStyle w:val="ListParagraph"/>
        <w:numPr>
          <w:ilvl w:val="0"/>
          <w:numId w:val="2"/>
        </w:numPr>
        <w:spacing w:after="45" w:before="45"/>
      </w:pPr>
      <w:r>
        <w:rPr>
          <w:rFonts w:ascii="Calibri" w:cs="Calibri" w:eastAsia="Calibri" w:hAnsi="Calibri"/>
          <w:color w:val="424242"/>
          <w:sz w:val="22"/>
          <w:szCs w:val="22"/>
        </w:rPr>
        <w:t xml:space="preserve">Raised by site engineer, store keeper, or production team on mobile or web. Specifies: material type and specification, quantity required, required-by date, delivery location (site/depot/plant/outlet), linked project or work order, purpose / activity, and priority level (routine / urgent / critical).</w:t>
      </w:r>
    </w:p>
    <w:p>
      <w:pPr>
        <w:pStyle w:val="ListParagraph"/>
        <w:numPr>
          <w:ilvl w:val="0"/>
          <w:numId w:val="2"/>
        </w:numPr>
        <w:spacing w:after="45" w:before="45"/>
      </w:pPr>
      <w:r>
        <w:rPr>
          <w:rFonts w:ascii="Calibri" w:cs="Calibri" w:eastAsia="Calibri" w:hAnsi="Calibri"/>
          <w:color w:val="424242"/>
          <w:sz w:val="22"/>
          <w:szCs w:val="22"/>
        </w:rPr>
        <w:t xml:space="preserve">Budget check: on submission, system checks indent quantity against the BOQ or BOM balance remaining. If indent would exceed the approved quantity, it is flagged for project manager's explicit override approval.</w:t>
      </w:r>
    </w:p>
    <w:p>
      <w:pPr>
        <w:pStyle w:val="ListParagraph"/>
        <w:numPr>
          <w:ilvl w:val="0"/>
          <w:numId w:val="2"/>
        </w:numPr>
        <w:spacing w:after="45" w:before="45"/>
      </w:pPr>
      <w:r>
        <w:rPr>
          <w:rFonts w:ascii="Calibri" w:cs="Calibri" w:eastAsia="Calibri" w:hAnsi="Calibri"/>
          <w:color w:val="424242"/>
          <w:sz w:val="22"/>
          <w:szCs w:val="22"/>
        </w:rPr>
        <w:t xml:space="preserve">Indent consolidation: procurement team can consolidate multiple indents for the same material into a single PO to avail bulk pricing. Consolidation is tracked — each individual indent remains visible even after consolidation.</w:t>
      </w:r>
    </w:p>
    <w:p>
      <w:pPr>
        <w:pStyle w:val="Heading3"/>
        <w:spacing w:after="80" w:before="200"/>
      </w:pPr>
      <w:r>
        <w:rPr>
          <w:rFonts w:ascii="Calibri" w:cs="Calibri" w:eastAsia="Calibri" w:hAnsi="Calibri"/>
          <w:b/>
          <w:bCs/>
          <w:color w:val="00695C"/>
          <w:sz w:val="24"/>
          <w:szCs w:val="24"/>
        </w:rPr>
        <w:t xml:space="preserve">2.3  Purchase Order Management</w:t>
      </w:r>
    </w:p>
    <w:p>
      <w:pPr>
        <w:pStyle w:val="ListParagraph"/>
        <w:numPr>
          <w:ilvl w:val="0"/>
          <w:numId w:val="2"/>
        </w:numPr>
        <w:spacing w:after="45" w:before="45"/>
      </w:pPr>
      <w:r>
        <w:rPr>
          <w:rFonts w:ascii="Calibri" w:cs="Calibri" w:eastAsia="Calibri" w:hAnsi="Calibri"/>
          <w:color w:val="424242"/>
          <w:sz w:val="22"/>
          <w:szCs w:val="22"/>
        </w:rPr>
        <w:t xml:space="preserve">PO auto-generated from approved indent: supplier selected from ASL, rate pulled from rate contract, delivery schedule set, site address populated. All commercial terms auto-filled — procurement team only selects supplier and confirms. Reduces PO preparation time from hours to minutes.</w:t>
      </w:r>
    </w:p>
    <w:p>
      <w:pPr>
        <w:pStyle w:val="ListParagraph"/>
        <w:numPr>
          <w:ilvl w:val="0"/>
          <w:numId w:val="2"/>
        </w:numPr>
        <w:spacing w:after="45" w:before="45"/>
      </w:pPr>
      <w:r>
        <w:rPr>
          <w:rFonts w:ascii="Calibri" w:cs="Calibri" w:eastAsia="Calibri" w:hAnsi="Calibri"/>
          <w:color w:val="424242"/>
          <w:sz w:val="22"/>
          <w:szCs w:val="22"/>
        </w:rPr>
        <w:t xml:space="preserve">PO types supported: standard single-delivery PO, blanket PO (for recurring supply over a period), rate-only PO (supplier pre-approved, quantity to be confirmed on each call-off), and emergency PO (simplified approval for critical stockouts).</w:t>
      </w:r>
    </w:p>
    <w:p>
      <w:pPr>
        <w:pStyle w:val="ListParagraph"/>
        <w:numPr>
          <w:ilvl w:val="0"/>
          <w:numId w:val="2"/>
        </w:numPr>
        <w:spacing w:after="45" w:before="45"/>
      </w:pPr>
      <w:r>
        <w:rPr>
          <w:rFonts w:ascii="Calibri" w:cs="Calibri" w:eastAsia="Calibri" w:hAnsi="Calibri"/>
          <w:color w:val="424242"/>
          <w:sz w:val="22"/>
          <w:szCs w:val="22"/>
        </w:rPr>
        <w:t xml:space="preserve">GST computation: system auto-computes GST (CGST + SGST for intra-state, IGST for inter-state) based on the material's HSN code and the supplier's and buyer's state. GST-registered vendors have reverse charge handled automatically.</w:t>
      </w:r>
    </w:p>
    <w:p>
      <w:pPr>
        <w:pStyle w:val="ListParagraph"/>
        <w:numPr>
          <w:ilvl w:val="0"/>
          <w:numId w:val="2"/>
        </w:numPr>
        <w:spacing w:after="45" w:before="45"/>
      </w:pPr>
      <w:r>
        <w:rPr>
          <w:rFonts w:ascii="Calibri" w:cs="Calibri" w:eastAsia="Calibri" w:hAnsi="Calibri"/>
          <w:color w:val="424242"/>
          <w:sz w:val="22"/>
          <w:szCs w:val="22"/>
        </w:rPr>
        <w:t xml:space="preserve">TDS on PO: for vendors above the TDS threshold (Section 194C for contractors, Section 194Q for goods purchases above Rs 50 Lakh/year), TDS is flagged on the PO and auto-deducted at payment stage.</w:t>
      </w:r>
    </w:p>
    <w:p>
      <w:pPr>
        <w:pStyle w:val="ListParagraph"/>
        <w:numPr>
          <w:ilvl w:val="0"/>
          <w:numId w:val="2"/>
        </w:numPr>
        <w:spacing w:after="45" w:before="45"/>
      </w:pPr>
      <w:r>
        <w:rPr>
          <w:rFonts w:ascii="Calibri" w:cs="Calibri" w:eastAsia="Calibri" w:hAnsi="Calibri"/>
          <w:color w:val="424242"/>
          <w:sz w:val="22"/>
          <w:szCs w:val="22"/>
        </w:rPr>
        <w:t xml:space="preserve">Multi-level PO approval: configurable approval matrix — PO value tiers trigger different approval levels. Example: below Rs 1 Lakh — site PM only; Rs 1–10 Lakh — PM + procurement head; Rs 10–50 Lakh — + CFO; above Rs 50 Lakh — + MD. Each level has SLA (default 2 working days). Breach escalates automatically.</w:t>
      </w:r>
    </w:p>
    <w:p>
      <w:pPr>
        <w:pStyle w:val="ListParagraph"/>
        <w:numPr>
          <w:ilvl w:val="0"/>
          <w:numId w:val="2"/>
        </w:numPr>
        <w:spacing w:after="45" w:before="45"/>
      </w:pPr>
      <w:r>
        <w:rPr>
          <w:rFonts w:ascii="Calibri" w:cs="Calibri" w:eastAsia="Calibri" w:hAnsi="Calibri"/>
          <w:color w:val="424242"/>
          <w:sz w:val="22"/>
          <w:szCs w:val="22"/>
        </w:rPr>
        <w:t xml:space="preserve">Digital PO delivery: approved PO is sent to the supplier's registered email and appears in their vendor portal. Supplier must confirm acceptance within a configurable window. Non-confirmation triggers an alert to the procurement team.</w:t>
      </w:r>
    </w:p>
    <w:p>
      <w:pPr>
        <w:pStyle w:val="Heading3"/>
        <w:spacing w:after="80" w:before="200"/>
      </w:pPr>
      <w:r>
        <w:rPr>
          <w:rFonts w:ascii="Calibri" w:cs="Calibri" w:eastAsia="Calibri" w:hAnsi="Calibri"/>
          <w:b/>
          <w:bCs/>
          <w:color w:val="00695C"/>
          <w:sz w:val="24"/>
          <w:szCs w:val="24"/>
        </w:rPr>
        <w:t xml:space="preserve">2.4  Gate Pass &amp; Vehicle Management</w:t>
      </w:r>
    </w:p>
    <w:p>
      <w:pPr>
        <w:pStyle w:val="ListParagraph"/>
        <w:numPr>
          <w:ilvl w:val="0"/>
          <w:numId w:val="2"/>
        </w:numPr>
        <w:spacing w:after="45" w:before="45"/>
      </w:pPr>
      <w:r>
        <w:rPr>
          <w:rFonts w:ascii="Calibri" w:cs="Calibri" w:eastAsia="Calibri" w:hAnsi="Calibri"/>
          <w:color w:val="424242"/>
          <w:sz w:val="22"/>
          <w:szCs w:val="22"/>
        </w:rPr>
        <w:t xml:space="preserve">Delivery scheduling: supplier logs into vendor portal and books a delivery slot (date and time window). System prevents double-booking at the same depot. Scheduled deliveries visible to site security on their mobile app in advance.</w:t>
      </w:r>
    </w:p>
    <w:p>
      <w:pPr>
        <w:pStyle w:val="ListParagraph"/>
        <w:numPr>
          <w:ilvl w:val="0"/>
          <w:numId w:val="2"/>
        </w:numPr>
        <w:spacing w:after="45" w:before="45"/>
      </w:pPr>
      <w:r>
        <w:rPr>
          <w:rFonts w:ascii="Calibri" w:cs="Calibri" w:eastAsia="Calibri" w:hAnsi="Calibri"/>
          <w:color w:val="424242"/>
          <w:sz w:val="22"/>
          <w:szCs w:val="22"/>
        </w:rPr>
        <w:t xml:space="preserve">Gate pass generation: on delivery confirmation, system generates a unique QR-coded gate pass containing: PO number, supplier name, vehicle registration number, material, expected quantity, and delivery window. Gate pass is tied to a specific vehicle — non-transferable.</w:t>
      </w:r>
    </w:p>
    <w:p>
      <w:pPr>
        <w:pStyle w:val="ListParagraph"/>
        <w:numPr>
          <w:ilvl w:val="0"/>
          <w:numId w:val="2"/>
        </w:numPr>
        <w:spacing w:after="45" w:before="45"/>
      </w:pPr>
      <w:r>
        <w:rPr>
          <w:rFonts w:ascii="Calibri" w:cs="Calibri" w:eastAsia="Calibri" w:hAnsi="Calibri"/>
          <w:color w:val="424242"/>
          <w:sz w:val="22"/>
          <w:szCs w:val="22"/>
        </w:rPr>
        <w:t xml:space="preserve">Site entry validation: security scans the vehicle's QR code on mobile. System validates: is the vehicle number pre-registered against this PO? Is the delivery within the scheduled window? Is the gate pass already used? If any check fails, vehicle is held and site manager is alerted.</w:t>
      </w:r>
    </w:p>
    <w:p>
      <w:pPr>
        <w:pStyle w:val="ListParagraph"/>
        <w:numPr>
          <w:ilvl w:val="0"/>
          <w:numId w:val="2"/>
        </w:numPr>
        <w:spacing w:after="45" w:before="45"/>
      </w:pPr>
      <w:r>
        <w:rPr>
          <w:rFonts w:ascii="Calibri" w:cs="Calibri" w:eastAsia="Calibri" w:hAnsi="Calibri"/>
          <w:color w:val="424242"/>
          <w:sz w:val="22"/>
          <w:szCs w:val="22"/>
        </w:rPr>
        <w:t xml:space="preserve">Vehicle number pre-registration: supplier must register vehicle numbers in the vendor portal before booking the delivery slot. Unregistered vehicles cannot get a gate pass. This prevents ghost deliveries and material substitution.</w:t>
      </w:r>
    </w:p>
    <w:p>
      <w:pPr>
        <w:pStyle w:val="Heading3"/>
        <w:spacing w:after="80" w:before="200"/>
      </w:pPr>
      <w:r>
        <w:rPr>
          <w:rFonts w:ascii="Calibri" w:cs="Calibri" w:eastAsia="Calibri" w:hAnsi="Calibri"/>
          <w:b/>
          <w:bCs/>
          <w:color w:val="00695C"/>
          <w:sz w:val="24"/>
          <w:szCs w:val="24"/>
        </w:rPr>
        <w:t xml:space="preserve">2.5  Goods Receipt Note (GRN) &amp; Weighbridge Integration</w:t>
      </w:r>
    </w:p>
    <w:p>
      <w:pPr>
        <w:pStyle w:val="ListParagraph"/>
        <w:numPr>
          <w:ilvl w:val="0"/>
          <w:numId w:val="2"/>
        </w:numPr>
        <w:spacing w:after="45" w:before="45"/>
      </w:pPr>
      <w:r>
        <w:rPr>
          <w:rFonts w:ascii="Calibri" w:cs="Calibri" w:eastAsia="Calibri" w:hAnsi="Calibri"/>
          <w:color w:val="424242"/>
          <w:sz w:val="22"/>
          <w:szCs w:val="22"/>
        </w:rPr>
        <w:t xml:space="preserve">GRN raised by site storekeeper on mobile app immediately on receipt. Fields: PO number (auto-fetched from scanned gate pass QR), vehicle number (pre-filled), material, batch number (assigned at receipt), net quantity received, delivery challan number, and any visible quality issues noted.</w:t>
      </w:r>
    </w:p>
    <w:p>
      <w:pPr>
        <w:pStyle w:val="ListParagraph"/>
        <w:numPr>
          <w:ilvl w:val="0"/>
          <w:numId w:val="2"/>
        </w:numPr>
        <w:spacing w:after="45" w:before="45"/>
      </w:pPr>
      <w:r>
        <w:rPr>
          <w:rFonts w:ascii="Calibri" w:cs="Calibri" w:eastAsia="Calibri" w:hAnsi="Calibri"/>
          <w:color w:val="424242"/>
          <w:sz w:val="22"/>
          <w:szCs w:val="22"/>
        </w:rPr>
        <w:t xml:space="preserve">Weighbridge integration: for bulk materials (aggregate, bitumen, cement, grain, chemicals) the platform connects to the site's digital weighbridge via serial (RS-232) or TCP/IP Modbus protocol. Gross weight on arrival and tare weight after unloading are auto-fetched and stored. Net weight = Gross − Tare. The quantity field in GRN is locked to the weighbridge reading — cannot be manually overridden.</w:t>
      </w:r>
    </w:p>
    <w:p>
      <w:pPr>
        <w:pStyle w:val="ListParagraph"/>
        <w:numPr>
          <w:ilvl w:val="0"/>
          <w:numId w:val="2"/>
        </w:numPr>
        <w:spacing w:after="45" w:before="45"/>
      </w:pPr>
      <w:r>
        <w:rPr>
          <w:rFonts w:ascii="Calibri" w:cs="Calibri" w:eastAsia="Calibri" w:hAnsi="Calibri"/>
          <w:color w:val="424242"/>
          <w:sz w:val="22"/>
          <w:szCs w:val="22"/>
        </w:rPr>
        <w:t xml:space="preserve">Manual override: if weighbridge is offline (documented downtime), a senior engineer (Grade SE or above) can enter weight manually using biometric authentication on their registered mobile device. Override is logged with reason, flagged for next-day review by project director, and generates an alert to the client's audit function.</w:t>
      </w:r>
    </w:p>
    <w:p>
      <w:pPr>
        <w:pStyle w:val="ListParagraph"/>
        <w:numPr>
          <w:ilvl w:val="0"/>
          <w:numId w:val="2"/>
        </w:numPr>
        <w:spacing w:after="45" w:before="45"/>
      </w:pPr>
      <w:r>
        <w:rPr>
          <w:rFonts w:ascii="Calibri" w:cs="Calibri" w:eastAsia="Calibri" w:hAnsi="Calibri"/>
          <w:color w:val="424242"/>
          <w:sz w:val="22"/>
          <w:szCs w:val="22"/>
        </w:rPr>
        <w:t xml:space="preserve">Short delivery detection: if net received quantity is more than 2% below the PO quantity for this delivery, system auto-raises a short delivery query to the supplier. Shortfall is tracked against PO outstanding balance. Supplier must either deliver the balance or raise a credit note.</w:t>
      </w:r>
    </w:p>
    <w:p>
      <w:pPr>
        <w:pStyle w:val="ListParagraph"/>
        <w:numPr>
          <w:ilvl w:val="0"/>
          <w:numId w:val="2"/>
        </w:numPr>
        <w:spacing w:after="45" w:before="45"/>
      </w:pPr>
      <w:r>
        <w:rPr>
          <w:rFonts w:ascii="Calibri" w:cs="Calibri" w:eastAsia="Calibri" w:hAnsi="Calibri"/>
          <w:color w:val="424242"/>
          <w:sz w:val="22"/>
          <w:szCs w:val="22"/>
        </w:rPr>
        <w:t xml:space="preserve">GRN update to inventory: approved GRN immediately updates the inventory balance at the relevant depot/store/plant. Inventory dashboard reflects the new stock in real time.</w:t>
      </w:r>
    </w:p>
    <w:p>
      <w:pPr>
        <w:pStyle w:val="Heading3"/>
        <w:spacing w:after="80" w:before="200"/>
      </w:pPr>
      <w:r>
        <w:rPr>
          <w:rFonts w:ascii="Calibri" w:cs="Calibri" w:eastAsia="Calibri" w:hAnsi="Calibri"/>
          <w:b/>
          <w:bCs/>
          <w:color w:val="00695C"/>
          <w:sz w:val="24"/>
          <w:szCs w:val="24"/>
        </w:rPr>
        <w:t xml:space="preserve">2.6  Three-Way Invoice Match &amp; Payment</w:t>
      </w:r>
    </w:p>
    <w:p>
      <w:pPr>
        <w:pStyle w:val="ListParagraph"/>
        <w:numPr>
          <w:ilvl w:val="0"/>
          <w:numId w:val="2"/>
        </w:numPr>
        <w:spacing w:after="45" w:before="45"/>
      </w:pPr>
      <w:r>
        <w:rPr>
          <w:rFonts w:ascii="Calibri" w:cs="Calibri" w:eastAsia="Calibri" w:hAnsi="Calibri"/>
          <w:color w:val="424242"/>
          <w:sz w:val="22"/>
          <w:szCs w:val="22"/>
        </w:rPr>
        <w:t xml:space="preserve">Supplier submits invoice through vendor portal. System performs automatic three-way match: (1) Invoice quantity and rate vs PO — must match within tolerance. (2) Invoice quantity vs GRN net quantity — must match. (3) Material QC status — all invoiced batches must have Approved QC status (no Quarantine or Failed batches in the bill).</w:t>
      </w:r>
    </w:p>
    <w:p>
      <w:pPr>
        <w:pStyle w:val="ListParagraph"/>
        <w:numPr>
          <w:ilvl w:val="0"/>
          <w:numId w:val="2"/>
        </w:numPr>
        <w:spacing w:after="45" w:before="45"/>
      </w:pPr>
      <w:r>
        <w:rPr>
          <w:rFonts w:ascii="Calibri" w:cs="Calibri" w:eastAsia="Calibri" w:hAnsi="Calibri"/>
          <w:color w:val="424242"/>
          <w:sz w:val="22"/>
          <w:szCs w:val="22"/>
        </w:rPr>
        <w:t xml:space="preserve">All three checks must pass before the invoice enters the payment approval workflow. Any mismatch auto-generates a discrepancy notice to the supplier with specific details. Invoice is held pending resolution.</w:t>
      </w:r>
    </w:p>
    <w:p>
      <w:pPr>
        <w:pStyle w:val="ListParagraph"/>
        <w:numPr>
          <w:ilvl w:val="0"/>
          <w:numId w:val="2"/>
        </w:numPr>
        <w:spacing w:after="45" w:before="45"/>
      </w:pPr>
      <w:r>
        <w:rPr>
          <w:rFonts w:ascii="Calibri" w:cs="Calibri" w:eastAsia="Calibri" w:hAnsi="Calibri"/>
          <w:color w:val="424242"/>
          <w:sz w:val="22"/>
          <w:szCs w:val="22"/>
        </w:rPr>
        <w:t xml:space="preserve">Payment terms enforcement: net payment terms (Net 30, Net 45, Net 60) are configured per supplier in the rate contract. System calculates the payment due date from GRN approval date. Approaching due dates trigger reminders. MSME suppliers (Net 45 mandatory) get priority routing through the approval chain.</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3 — Material &amp; Inventory Management</w:t>
      </w:r>
    </w:p>
    <w:p>
      <w:pPr>
        <w:pStyle w:val="Heading3"/>
        <w:spacing w:after="80" w:before="200"/>
      </w:pPr>
      <w:r>
        <w:rPr>
          <w:rFonts w:ascii="Calibri" w:cs="Calibri" w:eastAsia="Calibri" w:hAnsi="Calibri"/>
          <w:b/>
          <w:bCs/>
          <w:color w:val="00695C"/>
          <w:sz w:val="24"/>
          <w:szCs w:val="24"/>
        </w:rPr>
        <w:t xml:space="preserve">3.1  Multi-Location Inventory Tracking</w:t>
      </w:r>
    </w:p>
    <w:p>
      <w:pPr>
        <w:pStyle w:val="ListParagraph"/>
        <w:numPr>
          <w:ilvl w:val="0"/>
          <w:numId w:val="2"/>
        </w:numPr>
        <w:spacing w:after="45" w:before="45"/>
      </w:pPr>
      <w:r>
        <w:rPr>
          <w:rFonts w:ascii="Calibri" w:cs="Calibri" w:eastAsia="Calibri" w:hAnsi="Calibri"/>
          <w:color w:val="424242"/>
          <w:sz w:val="22"/>
          <w:szCs w:val="22"/>
        </w:rPr>
        <w:t xml:space="preserve">Inventory tracked at three hierarchical levels: Organisation level (total stock across all locations), Project / facility level (each construction site, factory, or outlet cluster), and Storage location level (each physical depot, warehouse, or store room).</w:t>
      </w:r>
    </w:p>
    <w:p>
      <w:pPr>
        <w:pStyle w:val="ListParagraph"/>
        <w:numPr>
          <w:ilvl w:val="0"/>
          <w:numId w:val="2"/>
        </w:numPr>
        <w:spacing w:after="45" w:before="45"/>
      </w:pPr>
      <w:r>
        <w:rPr>
          <w:rFonts w:ascii="Calibri" w:cs="Calibri" w:eastAsia="Calibri" w:hAnsi="Calibri"/>
          <w:color w:val="424242"/>
          <w:sz w:val="22"/>
          <w:szCs w:val="22"/>
        </w:rPr>
        <w:t xml:space="preserve">Real-time stock update: every GRN credits inventory; every consumption entry (MB entry, production issue, store issue) debits inventory. Dashboard always shows current stock without manual stock-takes.</w:t>
      </w:r>
    </w:p>
    <w:p>
      <w:pPr>
        <w:pStyle w:val="ListParagraph"/>
        <w:numPr>
          <w:ilvl w:val="0"/>
          <w:numId w:val="2"/>
        </w:numPr>
        <w:spacing w:after="45" w:before="45"/>
      </w:pPr>
      <w:r>
        <w:rPr>
          <w:rFonts w:ascii="Calibri" w:cs="Calibri" w:eastAsia="Calibri" w:hAnsi="Calibri"/>
          <w:color w:val="424242"/>
          <w:sz w:val="22"/>
          <w:szCs w:val="22"/>
        </w:rPr>
        <w:t xml:space="preserve">Batch-level tracking: each GRN creates a batch with a unique batch ID. Inventory is tracked at batch level — first-in-first-out (FIFO) or manual batch selection configurable per material type. Full traceability from supplier invoice to point of use.</w:t>
      </w:r>
    </w:p>
    <w:p>
      <w:pPr>
        <w:pStyle w:val="ListParagraph"/>
        <w:numPr>
          <w:ilvl w:val="0"/>
          <w:numId w:val="2"/>
        </w:numPr>
        <w:spacing w:after="45" w:before="45"/>
      </w:pPr>
      <w:r>
        <w:rPr>
          <w:rFonts w:ascii="Calibri" w:cs="Calibri" w:eastAsia="Calibri" w:hAnsi="Calibri"/>
          <w:color w:val="424242"/>
          <w:sz w:val="22"/>
          <w:szCs w:val="22"/>
        </w:rPr>
        <w:t xml:space="preserve">Shelf-life management: materials with shelf life (cement — 3 months, adhesives, chemicals, food ingredients, pharma raw materials) are configured with expiry tracking. System alerts 30 days before batch expiry and blocks issuance of expired batches.</w:t>
      </w:r>
    </w:p>
    <w:p>
      <w:pPr>
        <w:pStyle w:val="Heading3"/>
        <w:spacing w:after="80" w:before="200"/>
      </w:pPr>
      <w:r>
        <w:rPr>
          <w:rFonts w:ascii="Calibri" w:cs="Calibri" w:eastAsia="Calibri" w:hAnsi="Calibri"/>
          <w:b/>
          <w:bCs/>
          <w:color w:val="00695C"/>
          <w:sz w:val="24"/>
          <w:szCs w:val="24"/>
        </w:rPr>
        <w:t xml:space="preserve">3.2  Reorder Management</w:t>
      </w:r>
    </w:p>
    <w:p>
      <w:pPr>
        <w:pStyle w:val="ListParagraph"/>
        <w:numPr>
          <w:ilvl w:val="0"/>
          <w:numId w:val="2"/>
        </w:numPr>
        <w:spacing w:after="45" w:before="45"/>
      </w:pPr>
      <w:r>
        <w:rPr>
          <w:rFonts w:ascii="Calibri" w:cs="Calibri" w:eastAsia="Calibri" w:hAnsi="Calibri"/>
          <w:color w:val="424242"/>
          <w:sz w:val="22"/>
          <w:szCs w:val="22"/>
        </w:rPr>
        <w:t xml:space="preserve">Reorder level auto-calculated: system computes reorder point = average daily consumption rate × supplier lead time (in days) × safety factor (default 1.2). When stock drops to reorder point, an automatic procurement alert is generated — before stockout occurs.</w:t>
      </w:r>
    </w:p>
    <w:p>
      <w:pPr>
        <w:pStyle w:val="ListParagraph"/>
        <w:numPr>
          <w:ilvl w:val="0"/>
          <w:numId w:val="2"/>
        </w:numPr>
        <w:spacing w:after="45" w:before="45"/>
      </w:pPr>
      <w:r>
        <w:rPr>
          <w:rFonts w:ascii="Calibri" w:cs="Calibri" w:eastAsia="Calibri" w:hAnsi="Calibri"/>
          <w:color w:val="424242"/>
          <w:sz w:val="22"/>
          <w:szCs w:val="22"/>
        </w:rPr>
        <w:t xml:space="preserve">Economic Order Quantity (EOQ) suggestion: for high-value materials with predictable consumption (bitumen, steel, cement, raw materials), system suggests the optimal order quantity based on carrying cost and ordering cost. Procurement team can accept or override.</w:t>
      </w:r>
    </w:p>
    <w:p>
      <w:pPr>
        <w:pStyle w:val="ListParagraph"/>
        <w:numPr>
          <w:ilvl w:val="0"/>
          <w:numId w:val="2"/>
        </w:numPr>
        <w:spacing w:after="45" w:before="45"/>
      </w:pPr>
      <w:r>
        <w:rPr>
          <w:rFonts w:ascii="Calibri" w:cs="Calibri" w:eastAsia="Calibri" w:hAnsi="Calibri"/>
          <w:color w:val="424242"/>
          <w:sz w:val="22"/>
          <w:szCs w:val="22"/>
        </w:rPr>
        <w:t xml:space="preserve">Inter-location transfer: if Location A has surplus and Location B has critical shortage of the same material, system automatically suggests an inter-location transfer. Transfer request raised, approved by project/operations director, inventory debited at source and credited at destination. Cost reallocated between budget envelopes. Full audit trail.</w:t>
      </w:r>
    </w:p>
    <w:p>
      <w:pPr>
        <w:pStyle w:val="ListParagraph"/>
        <w:numPr>
          <w:ilvl w:val="0"/>
          <w:numId w:val="2"/>
        </w:numPr>
        <w:spacing w:after="45" w:before="45"/>
      </w:pPr>
      <w:r>
        <w:rPr>
          <w:rFonts w:ascii="Calibri" w:cs="Calibri" w:eastAsia="Calibri" w:hAnsi="Calibri"/>
          <w:color w:val="424242"/>
          <w:sz w:val="22"/>
          <w:szCs w:val="22"/>
        </w:rPr>
        <w:t xml:space="preserve">Stock reconciliation: monthly system-generated stock reconciliation comparing physical count (entered by store staff on mobile) vs system stock. Variance report highlights discrepancies. Large unexplained variances trigger an investigation flag.</w:t>
      </w:r>
    </w:p>
    <w:p>
      <w:pPr>
        <w:pStyle w:val="Heading3"/>
        <w:spacing w:after="80" w:before="200"/>
      </w:pPr>
      <w:r>
        <w:rPr>
          <w:rFonts w:ascii="Calibri" w:cs="Calibri" w:eastAsia="Calibri" w:hAnsi="Calibri"/>
          <w:b/>
          <w:bCs/>
          <w:color w:val="00695C"/>
          <w:sz w:val="24"/>
          <w:szCs w:val="24"/>
        </w:rPr>
        <w:t xml:space="preserve">3.3  Quality Gate System</w:t>
      </w:r>
    </w:p>
    <w:p>
      <w:pPr>
        <w:pStyle w:val="ListParagraph"/>
        <w:numPr>
          <w:ilvl w:val="0"/>
          <w:numId w:val="2"/>
        </w:numPr>
        <w:spacing w:after="45" w:before="45"/>
      </w:pPr>
      <w:r>
        <w:rPr>
          <w:rFonts w:ascii="Calibri" w:cs="Calibri" w:eastAsia="Calibri" w:hAnsi="Calibri"/>
          <w:color w:val="424242"/>
          <w:sz w:val="22"/>
          <w:szCs w:val="22"/>
        </w:rPr>
        <w:t xml:space="preserve">Every material type has a configurable mandatory test register. Tests are linked to applicable standards: IS codes for construction (IS 73, IS 1203, IS 2386, IS 1786, IS 269), ASTM or ISO standards for manufacturing, FSSAI standards for food, pharmacopoeial standards for pharma. Platform ships with pre-loaded test templates for 50+ common materials.</w:t>
      </w:r>
    </w:p>
    <w:p>
      <w:pPr>
        <w:pStyle w:val="ListParagraph"/>
        <w:numPr>
          <w:ilvl w:val="0"/>
          <w:numId w:val="2"/>
        </w:numPr>
        <w:spacing w:after="45" w:before="45"/>
      </w:pPr>
      <w:r>
        <w:rPr>
          <w:rFonts w:ascii="Calibri" w:cs="Calibri" w:eastAsia="Calibri" w:hAnsi="Calibri"/>
          <w:color w:val="424242"/>
          <w:sz w:val="22"/>
          <w:szCs w:val="22"/>
        </w:rPr>
        <w:t xml:space="preserve">Test sampling: on GRN, system prompts 'Quality sample required' based on configurable sampling frequency (every batch, every 5th batch, every 50 MT, etc.). Lab sample request generated with batch ID, linked to GRN.</w:t>
      </w:r>
    </w:p>
    <w:p>
      <w:pPr>
        <w:pStyle w:val="ListParagraph"/>
        <w:numPr>
          <w:ilvl w:val="0"/>
          <w:numId w:val="2"/>
        </w:numPr>
        <w:spacing w:after="45" w:before="45"/>
      </w:pPr>
      <w:r>
        <w:rPr>
          <w:rFonts w:ascii="Calibri" w:cs="Calibri" w:eastAsia="Calibri" w:hAnsi="Calibri"/>
          <w:color w:val="424242"/>
          <w:sz w:val="22"/>
          <w:szCs w:val="22"/>
        </w:rPr>
        <w:t xml:space="preserve">Test result entry: quality lab enters results against each test parameter. System compares against specified limits and auto-assigns Pass / Fail. Test certificate (NABL-accredited labs can upload PDF certificate directly) stored against the batch.</w:t>
      </w:r>
    </w:p>
    <w:p>
      <w:pPr>
        <w:pStyle w:val="ListParagraph"/>
        <w:numPr>
          <w:ilvl w:val="0"/>
          <w:numId w:val="2"/>
        </w:numPr>
        <w:spacing w:after="45" w:before="45"/>
      </w:pPr>
      <w:r>
        <w:rPr>
          <w:rFonts w:ascii="Calibri" w:cs="Calibri" w:eastAsia="Calibri" w:hAnsi="Calibri"/>
          <w:color w:val="424242"/>
          <w:sz w:val="22"/>
          <w:szCs w:val="22"/>
        </w:rPr>
        <w:t xml:space="preserve">Hard quality gate: a batch with Fail or Pending QC status cannot be issued from inventory for use in production, construction, or store operations. This is enforced at the database level — not advisory. The issue transaction is physically blocked until QC status is Approved.</w:t>
      </w:r>
    </w:p>
    <w:p>
      <w:pPr>
        <w:pStyle w:val="ListParagraph"/>
        <w:numPr>
          <w:ilvl w:val="0"/>
          <w:numId w:val="2"/>
        </w:numPr>
        <w:spacing w:after="45" w:before="45"/>
      </w:pPr>
      <w:r>
        <w:rPr>
          <w:rFonts w:ascii="Calibri" w:cs="Calibri" w:eastAsia="Calibri" w:hAnsi="Calibri"/>
          <w:color w:val="424242"/>
          <w:sz w:val="22"/>
          <w:szCs w:val="22"/>
        </w:rPr>
        <w:t xml:space="preserve">Non-Conformance Report (NCR): on any test failure, system auto-raises an NCR linked to the batch, the GRN, and the supplier. NCR follows a structured workflow: Raised → Root cause submitted by supplier → Corrective action verified by quality team → NCR closed. Open NCRs against a supplier affect their performance rating.</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4 — Project &amp; Work Order Management</w:t>
      </w:r>
    </w:p>
    <w:p>
      <w:pPr>
        <w:pStyle w:val="Heading3"/>
        <w:spacing w:after="80" w:before="200"/>
      </w:pPr>
      <w:r>
        <w:rPr>
          <w:rFonts w:ascii="Calibri" w:cs="Calibri" w:eastAsia="Calibri" w:hAnsi="Calibri"/>
          <w:b/>
          <w:bCs/>
          <w:color w:val="00695C"/>
          <w:sz w:val="24"/>
          <w:szCs w:val="24"/>
        </w:rPr>
        <w:t xml:space="preserve">4.1  Work Order &amp; Scope Management</w:t>
      </w:r>
    </w:p>
    <w:p>
      <w:pPr>
        <w:pStyle w:val="ListParagraph"/>
        <w:numPr>
          <w:ilvl w:val="0"/>
          <w:numId w:val="2"/>
        </w:numPr>
        <w:spacing w:after="45" w:before="45"/>
      </w:pPr>
      <w:r>
        <w:rPr>
          <w:rFonts w:ascii="Calibri" w:cs="Calibri" w:eastAsia="Calibri" w:hAnsi="Calibri"/>
          <w:color w:val="424242"/>
          <w:sz w:val="22"/>
          <w:szCs w:val="22"/>
        </w:rPr>
        <w:t xml:space="preserve">Work orders (WOs) are the unit of work assignment. A project is broken into multiple WOs — one per contractor, one per activity, one per location, or any combination. WO hierarchy: Project → Sub-project → Work Order → Activity → Task.</w:t>
      </w:r>
    </w:p>
    <w:p>
      <w:pPr>
        <w:pStyle w:val="ListParagraph"/>
        <w:numPr>
          <w:ilvl w:val="0"/>
          <w:numId w:val="2"/>
        </w:numPr>
        <w:spacing w:after="45" w:before="45"/>
      </w:pPr>
      <w:r>
        <w:rPr>
          <w:rFonts w:ascii="Calibri" w:cs="Calibri" w:eastAsia="Calibri" w:hAnsi="Calibri"/>
          <w:color w:val="424242"/>
          <w:sz w:val="22"/>
          <w:szCs w:val="22"/>
        </w:rPr>
        <w:t xml:space="preserve">WO specifies: assigned vendor/team, scope of work description, linked BOQ or BOM items, budget allocation, start and end dates, milestone schedule, quality inspection requirements, applicable drawings and specifications, and advance payment terms.</w:t>
      </w:r>
    </w:p>
    <w:p>
      <w:pPr>
        <w:pStyle w:val="ListParagraph"/>
        <w:numPr>
          <w:ilvl w:val="0"/>
          <w:numId w:val="2"/>
        </w:numPr>
        <w:spacing w:after="45" w:before="45"/>
      </w:pPr>
      <w:r>
        <w:rPr>
          <w:rFonts w:ascii="Calibri" w:cs="Calibri" w:eastAsia="Calibri" w:hAnsi="Calibri"/>
          <w:color w:val="424242"/>
          <w:sz w:val="22"/>
          <w:szCs w:val="22"/>
        </w:rPr>
        <w:t xml:space="preserve">WO amendments: any change to scope, value, or timeline goes through a formal change order workflow. Change order requires: reason, impact on cost and schedule, approval by designated authority. All change orders versioned and auditable.</w:t>
      </w:r>
    </w:p>
    <w:p>
      <w:pPr>
        <w:pStyle w:val="ListParagraph"/>
        <w:numPr>
          <w:ilvl w:val="0"/>
          <w:numId w:val="2"/>
        </w:numPr>
        <w:spacing w:after="45" w:before="45"/>
      </w:pPr>
      <w:r>
        <w:rPr>
          <w:rFonts w:ascii="Calibri" w:cs="Calibri" w:eastAsia="Calibri" w:hAnsi="Calibri"/>
          <w:color w:val="424242"/>
          <w:sz w:val="22"/>
          <w:szCs w:val="22"/>
        </w:rPr>
        <w:t xml:space="preserve">WO progress tracking: progress percentage computed from either milestone completion (for discrete deliverables) or MB/production quantity vs total (for quantity-based work). System never relies on self-reported progress percentages from the contractor — it computes from verified data.</w:t>
      </w:r>
    </w:p>
    <w:p>
      <w:pPr>
        <w:pStyle w:val="Heading3"/>
        <w:spacing w:after="80" w:before="200"/>
      </w:pPr>
      <w:r>
        <w:rPr>
          <w:rFonts w:ascii="Calibri" w:cs="Calibri" w:eastAsia="Calibri" w:hAnsi="Calibri"/>
          <w:b/>
          <w:bCs/>
          <w:color w:val="00695C"/>
          <w:sz w:val="24"/>
          <w:szCs w:val="24"/>
        </w:rPr>
        <w:t xml:space="preserve">4.2  Milestone &amp; S-Curve Tracking</w:t>
      </w:r>
    </w:p>
    <w:p>
      <w:pPr>
        <w:pStyle w:val="ListParagraph"/>
        <w:numPr>
          <w:ilvl w:val="0"/>
          <w:numId w:val="2"/>
        </w:numPr>
        <w:spacing w:after="45" w:before="45"/>
      </w:pPr>
      <w:r>
        <w:rPr>
          <w:rFonts w:ascii="Calibri" w:cs="Calibri" w:eastAsia="Calibri" w:hAnsi="Calibri"/>
          <w:color w:val="424242"/>
          <w:sz w:val="22"/>
          <w:szCs w:val="22"/>
        </w:rPr>
        <w:t xml:space="preserve">Milestone schedule loaded at project kick-off: each milestone has a name, planned date, completion criteria, and responsible party. Milestones can be linked — completion of Milestone 3 automatically triggers the start of Milestone 4's SLA clock.</w:t>
      </w:r>
    </w:p>
    <w:p>
      <w:pPr>
        <w:pStyle w:val="ListParagraph"/>
        <w:numPr>
          <w:ilvl w:val="0"/>
          <w:numId w:val="2"/>
        </w:numPr>
        <w:spacing w:after="45" w:before="45"/>
      </w:pPr>
      <w:r>
        <w:rPr>
          <w:rFonts w:ascii="Calibri" w:cs="Calibri" w:eastAsia="Calibri" w:hAnsi="Calibri"/>
          <w:color w:val="424242"/>
          <w:sz w:val="22"/>
          <w:szCs w:val="22"/>
        </w:rPr>
        <w:t xml:space="preserve">S-curve: planned cumulative progress vs time curve is auto-generated from the milestone schedule. Actual S-curve is continuously updated from DPR / MB / production data. Gap between planned and actual is the schedule variance — displayed prominently on the project dashboard.</w:t>
      </w:r>
    </w:p>
    <w:p>
      <w:pPr>
        <w:pStyle w:val="ListParagraph"/>
        <w:numPr>
          <w:ilvl w:val="0"/>
          <w:numId w:val="2"/>
        </w:numPr>
        <w:spacing w:after="45" w:before="45"/>
      </w:pPr>
      <w:r>
        <w:rPr>
          <w:rFonts w:ascii="Calibri" w:cs="Calibri" w:eastAsia="Calibri" w:hAnsi="Calibri"/>
          <w:color w:val="424242"/>
          <w:sz w:val="22"/>
          <w:szCs w:val="22"/>
        </w:rPr>
        <w:t xml:space="preserve">Variance alert thresholds (configurable): actual &gt; 10% behind planned → alert to project manager; &gt; 20% → alert to project director + client; &gt; 30% → escalation flag raised, show-cause notice template generated for issuance to contractor.</w:t>
      </w:r>
    </w:p>
    <w:p>
      <w:pPr>
        <w:pStyle w:val="ListParagraph"/>
        <w:numPr>
          <w:ilvl w:val="0"/>
          <w:numId w:val="2"/>
        </w:numPr>
        <w:spacing w:after="45" w:before="45"/>
      </w:pPr>
      <w:r>
        <w:rPr>
          <w:rFonts w:ascii="Calibri" w:cs="Calibri" w:eastAsia="Calibri" w:hAnsi="Calibri"/>
          <w:color w:val="424242"/>
          <w:sz w:val="22"/>
          <w:szCs w:val="22"/>
        </w:rPr>
        <w:t xml:space="preserve">Critical path computation: system identifies the critical path among all project activities. Any delay on a critical path activity auto-computes the revised project completion date. Non-critical activities show float remaining.</w:t>
      </w:r>
    </w:p>
    <w:p>
      <w:pPr>
        <w:pStyle w:val="Heading3"/>
        <w:spacing w:after="80" w:before="200"/>
      </w:pPr>
      <w:r>
        <w:rPr>
          <w:rFonts w:ascii="Calibri" w:cs="Calibri" w:eastAsia="Calibri" w:hAnsi="Calibri"/>
          <w:b/>
          <w:bCs/>
          <w:color w:val="00695C"/>
          <w:sz w:val="24"/>
          <w:szCs w:val="24"/>
        </w:rPr>
        <w:t xml:space="preserve">4.3  Daily Progress Report (DPR)</w:t>
      </w:r>
    </w:p>
    <w:p>
      <w:pPr>
        <w:pStyle w:val="ListParagraph"/>
        <w:numPr>
          <w:ilvl w:val="0"/>
          <w:numId w:val="2"/>
        </w:numPr>
        <w:spacing w:after="45" w:before="45"/>
      </w:pPr>
      <w:r>
        <w:rPr>
          <w:rFonts w:ascii="Calibri" w:cs="Calibri" w:eastAsia="Calibri" w:hAnsi="Calibri"/>
          <w:color w:val="424242"/>
          <w:sz w:val="22"/>
          <w:szCs w:val="22"/>
        </w:rPr>
        <w:t xml:space="preserve">Site engineers submit DPR from mobile app each working day. Mandatory fields: activities completed (each with quantity, unit, and chainage/location), workforce headcount by trade (skilled/semi-skilled/unskilled), equipment on site (type, hours worked, hours idle, downtime reason), materials consumed (batch ID, quantity, issue from which depot), weather conditions, and at least 2 site photos.</w:t>
      </w:r>
    </w:p>
    <w:p>
      <w:pPr>
        <w:pStyle w:val="ListParagraph"/>
        <w:numPr>
          <w:ilvl w:val="0"/>
          <w:numId w:val="2"/>
        </w:numPr>
        <w:spacing w:after="45" w:before="45"/>
      </w:pPr>
      <w:r>
        <w:rPr>
          <w:rFonts w:ascii="Calibri" w:cs="Calibri" w:eastAsia="Calibri" w:hAnsi="Calibri"/>
          <w:color w:val="424242"/>
          <w:sz w:val="22"/>
          <w:szCs w:val="22"/>
        </w:rPr>
        <w:t xml:space="preserve">DPR photos: must be taken live through the app camera — gallery upload disabled. Each photo auto-stamped with GPS coordinates, timestamp, logged-in user's identity, and a watermark showing project name and date. Cannot be backdated or location-spoofed.</w:t>
      </w:r>
    </w:p>
    <w:p>
      <w:pPr>
        <w:pStyle w:val="ListParagraph"/>
        <w:numPr>
          <w:ilvl w:val="0"/>
          <w:numId w:val="2"/>
        </w:numPr>
        <w:spacing w:after="45" w:before="45"/>
      </w:pPr>
      <w:r>
        <w:rPr>
          <w:rFonts w:ascii="Calibri" w:cs="Calibri" w:eastAsia="Calibri" w:hAnsi="Calibri"/>
          <w:color w:val="424242"/>
          <w:sz w:val="22"/>
          <w:szCs w:val="22"/>
        </w:rPr>
        <w:t xml:space="preserve">Voice input: engineer can dictate the DPR remarks in regional language (Telugu, Hindi, Tamil, Marathi). Transcribed by Google Speech-to-Text API. Reduces data entry burden on site staff.</w:t>
      </w:r>
    </w:p>
    <w:p>
      <w:pPr>
        <w:pStyle w:val="ListParagraph"/>
        <w:numPr>
          <w:ilvl w:val="0"/>
          <w:numId w:val="2"/>
        </w:numPr>
        <w:spacing w:after="45" w:before="45"/>
      </w:pPr>
      <w:r>
        <w:rPr>
          <w:rFonts w:ascii="Calibri" w:cs="Calibri" w:eastAsia="Calibri" w:hAnsi="Calibri"/>
          <w:color w:val="424242"/>
          <w:sz w:val="22"/>
          <w:szCs w:val="22"/>
        </w:rPr>
        <w:t xml:space="preserve">DPR aggregation: system auto-aggregates DPRs into: weekly progress statements (sent to client every Monday), monthly progress reports (for RA Bill support), and cumulative progress for S-curve. No separate report preparation.</w:t>
      </w:r>
    </w:p>
    <w:p>
      <w:pPr>
        <w:pStyle w:val="Heading3"/>
        <w:spacing w:after="80" w:before="200"/>
      </w:pPr>
      <w:r>
        <w:rPr>
          <w:rFonts w:ascii="Calibri" w:cs="Calibri" w:eastAsia="Calibri" w:hAnsi="Calibri"/>
          <w:b/>
          <w:bCs/>
          <w:color w:val="00695C"/>
          <w:sz w:val="24"/>
          <w:szCs w:val="24"/>
        </w:rPr>
        <w:t xml:space="preserve">4.4  GIS &amp; Location-Based Tracking</w:t>
      </w:r>
    </w:p>
    <w:p>
      <w:pPr>
        <w:pStyle w:val="ListParagraph"/>
        <w:numPr>
          <w:ilvl w:val="0"/>
          <w:numId w:val="2"/>
        </w:numPr>
        <w:spacing w:after="45" w:before="45"/>
      </w:pPr>
      <w:r>
        <w:rPr>
          <w:rFonts w:ascii="Calibri" w:cs="Calibri" w:eastAsia="Calibri" w:hAnsi="Calibri"/>
          <w:color w:val="424242"/>
          <w:sz w:val="22"/>
          <w:szCs w:val="22"/>
        </w:rPr>
        <w:t xml:space="preserve">Project alignment loaded as GIS layer: for road projects, the alignment with chainage markers; for real estate, the site boundary with building footprints; for manufacturing, the factory layout with production zones; for retail, the franchise territory map with outlet pins.</w:t>
      </w:r>
    </w:p>
    <w:p>
      <w:pPr>
        <w:pStyle w:val="ListParagraph"/>
        <w:numPr>
          <w:ilvl w:val="0"/>
          <w:numId w:val="2"/>
        </w:numPr>
        <w:spacing w:after="45" w:before="45"/>
      </w:pPr>
      <w:r>
        <w:rPr>
          <w:rFonts w:ascii="Calibri" w:cs="Calibri" w:eastAsia="Calibri" w:hAnsi="Calibri"/>
          <w:color w:val="424242"/>
          <w:sz w:val="22"/>
          <w:szCs w:val="22"/>
        </w:rPr>
        <w:t xml:space="preserve">Progress heat map: each zone or chainage segment colour-coded by completion percentage. Updated daily from DPR data. Green (&gt; 80%), amber (40–80%), orange (10–40%), red (&lt; 10%).</w:t>
      </w:r>
    </w:p>
    <w:p>
      <w:pPr>
        <w:pStyle w:val="ListParagraph"/>
        <w:numPr>
          <w:ilvl w:val="0"/>
          <w:numId w:val="2"/>
        </w:numPr>
        <w:spacing w:after="45" w:before="45"/>
      </w:pPr>
      <w:r>
        <w:rPr>
          <w:rFonts w:ascii="Calibri" w:cs="Calibri" w:eastAsia="Calibri" w:hAnsi="Calibri"/>
          <w:color w:val="424242"/>
          <w:sz w:val="22"/>
          <w:szCs w:val="22"/>
        </w:rPr>
        <w:t xml:space="preserve">Asset tracking: heavy equipment (excavators, pavers, cranes, batching plants) fitted with GPS trackers can be shown live on the GIS map. System tracks utilisation (on-site vs yard vs idle), fuel consumption, and maintenance due dates.</w:t>
      </w:r>
    </w:p>
    <w:p>
      <w:pPr>
        <w:pStyle w:val="ListParagraph"/>
        <w:numPr>
          <w:ilvl w:val="0"/>
          <w:numId w:val="2"/>
        </w:numPr>
        <w:spacing w:after="45" w:before="45"/>
      </w:pPr>
      <w:r>
        <w:rPr>
          <w:rFonts w:ascii="Calibri" w:cs="Calibri" w:eastAsia="Calibri" w:hAnsi="Calibri"/>
          <w:color w:val="424242"/>
          <w:sz w:val="22"/>
          <w:szCs w:val="22"/>
        </w:rPr>
        <w:t xml:space="preserve">Incident mapping: all safety incidents plotted by GPS location. Clusters of incidents at specific locations trigger a safety review flag for that zone.</w:t>
      </w:r>
    </w:p>
    <w:p>
      <w:pPr>
        <w:pStyle w:val="ListParagraph"/>
        <w:numPr>
          <w:ilvl w:val="0"/>
          <w:numId w:val="2"/>
        </w:numPr>
        <w:spacing w:after="45" w:before="45"/>
      </w:pPr>
      <w:r>
        <w:rPr>
          <w:rFonts w:ascii="Calibri" w:cs="Calibri" w:eastAsia="Calibri" w:hAnsi="Calibri"/>
          <w:color w:val="424242"/>
          <w:sz w:val="22"/>
          <w:szCs w:val="22"/>
        </w:rPr>
        <w:t xml:space="preserve">Fly-through view: slide-show mode progressing location-by-location showing the latest DPR photo and progress entry for each section. Allows senior management to remotely inspect project progress without site visit.</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5 — Financial Controls &amp; Billing Engine</w:t>
      </w:r>
    </w:p>
    <w:p>
      <w:pPr>
        <w:pStyle w:val="Heading3"/>
        <w:spacing w:after="80" w:before="200"/>
      </w:pPr>
      <w:r>
        <w:rPr>
          <w:rFonts w:ascii="Calibri" w:cs="Calibri" w:eastAsia="Calibri" w:hAnsi="Calibri"/>
          <w:b/>
          <w:bCs/>
          <w:color w:val="00695C"/>
          <w:sz w:val="24"/>
          <w:szCs w:val="24"/>
        </w:rPr>
        <w:t xml:space="preserve">5.1  Budget Management</w:t>
      </w:r>
    </w:p>
    <w:p>
      <w:pPr>
        <w:pStyle w:val="ListParagraph"/>
        <w:numPr>
          <w:ilvl w:val="0"/>
          <w:numId w:val="2"/>
        </w:numPr>
        <w:spacing w:after="45" w:before="45"/>
      </w:pPr>
      <w:r>
        <w:rPr>
          <w:rFonts w:ascii="Calibri" w:cs="Calibri" w:eastAsia="Calibri" w:hAnsi="Calibri"/>
          <w:color w:val="424242"/>
          <w:sz w:val="22"/>
          <w:szCs w:val="22"/>
        </w:rPr>
        <w:t xml:space="preserve">Budget hierarchy: total project budget → sub-project / package budget → work order budget → activity budget → material / labour / equipment cost heads. Budget can be loaded top-down (start with total, allocate down) or bottom-up (sum of WOs builds to project total).</w:t>
      </w:r>
    </w:p>
    <w:p>
      <w:pPr>
        <w:pStyle w:val="ListParagraph"/>
        <w:numPr>
          <w:ilvl w:val="0"/>
          <w:numId w:val="2"/>
        </w:numPr>
        <w:spacing w:after="45" w:before="45"/>
      </w:pPr>
      <w:r>
        <w:rPr>
          <w:rFonts w:ascii="Calibri" w:cs="Calibri" w:eastAsia="Calibri" w:hAnsi="Calibri"/>
          <w:color w:val="424242"/>
          <w:sz w:val="22"/>
          <w:szCs w:val="22"/>
        </w:rPr>
        <w:t xml:space="preserve">Budget vs actual dashboard: every PO raised and every payment made is tracked against the relevant budget line. Real-time variance shown as: amount spent, amount committed (approved POs not yet paid), amount remaining, and projected final cost (EAC).</w:t>
      </w:r>
    </w:p>
    <w:p>
      <w:pPr>
        <w:pStyle w:val="ListParagraph"/>
        <w:numPr>
          <w:ilvl w:val="0"/>
          <w:numId w:val="2"/>
        </w:numPr>
        <w:spacing w:after="45" w:before="45"/>
      </w:pPr>
      <w:r>
        <w:rPr>
          <w:rFonts w:ascii="Calibri" w:cs="Calibri" w:eastAsia="Calibri" w:hAnsi="Calibri"/>
          <w:color w:val="424242"/>
          <w:sz w:val="22"/>
          <w:szCs w:val="22"/>
        </w:rPr>
        <w:t xml:space="preserve">Budget freeze: if actual + committed exceeds budget by a configurable threshold (default 95%), new POs against that budget line require explicit budget owner approval. At 100%, no new POs can be raised without formal budget revision.</w:t>
      </w:r>
    </w:p>
    <w:p>
      <w:pPr>
        <w:pStyle w:val="ListParagraph"/>
        <w:numPr>
          <w:ilvl w:val="0"/>
          <w:numId w:val="2"/>
        </w:numPr>
        <w:spacing w:after="45" w:before="45"/>
      </w:pPr>
      <w:r>
        <w:rPr>
          <w:rFonts w:ascii="Calibri" w:cs="Calibri" w:eastAsia="Calibri" w:hAnsi="Calibri"/>
          <w:color w:val="424242"/>
          <w:sz w:val="22"/>
          <w:szCs w:val="22"/>
        </w:rPr>
        <w:t xml:space="preserve">Contingency management: a configurable contingency reserve (% of total budget) is ring-fenced. Drawdowns from contingency require a separate approval workflow with documented justification.</w:t>
      </w:r>
    </w:p>
    <w:p>
      <w:pPr>
        <w:pStyle w:val="Heading3"/>
        <w:spacing w:after="80" w:before="200"/>
      </w:pPr>
      <w:r>
        <w:rPr>
          <w:rFonts w:ascii="Calibri" w:cs="Calibri" w:eastAsia="Calibri" w:hAnsi="Calibri"/>
          <w:b/>
          <w:bCs/>
          <w:color w:val="00695C"/>
          <w:sz w:val="24"/>
          <w:szCs w:val="24"/>
        </w:rPr>
        <w:t xml:space="preserve">5.2  Billing Engine (Configurable Format per Industry)</w:t>
      </w:r>
    </w:p>
    <w:p>
      <w:pPr>
        <w:spacing w:after="80" w:before="80"/>
      </w:pPr>
      <w:r>
        <w:rPr>
          <w:rFonts w:ascii="Calibri" w:cs="Calibri" w:eastAsia="Calibri" w:hAnsi="Calibri"/>
          <w:color w:val="424242"/>
          <w:sz w:val="22"/>
          <w:szCs w:val="22"/>
        </w:rPr>
        <w:t xml:space="preserve">The billing engine uses the same calculation logic across all industries — quantities × rates, minus deductions, multi-level approval, bank transfer. The output format and input source differ by industry vertical. Industry-specific billing is described in Part 3–6.</w:t>
      </w:r>
    </w:p>
    <w:p>
      <w:pPr>
        <w:pStyle w:val="ListParagraph"/>
        <w:numPr>
          <w:ilvl w:val="0"/>
          <w:numId w:val="2"/>
        </w:numPr>
        <w:spacing w:after="45" w:before="45"/>
      </w:pPr>
      <w:r>
        <w:rPr>
          <w:rFonts w:ascii="Calibri" w:cs="Calibri" w:eastAsia="Calibri" w:hAnsi="Calibri"/>
          <w:color w:val="424242"/>
          <w:sz w:val="22"/>
          <w:szCs w:val="22"/>
        </w:rPr>
        <w:t xml:space="preserve">Core billing logic applicable to all verticals: this-period quantity = cumulative to date minus previously billed; gross amount = this-period quantity × contract rate; net payable = gross minus all applicable deductions; deductions are configurable (TDS, retention, advance recovery, penalties, others); multi-level approval with configurable thresholds; payment release to vendor's registered bank account.</w:t>
      </w:r>
    </w:p>
    <w:p>
      <w:pPr>
        <w:pStyle w:val="ListParagraph"/>
        <w:numPr>
          <w:ilvl w:val="0"/>
          <w:numId w:val="2"/>
        </w:numPr>
        <w:spacing w:after="45" w:before="45"/>
      </w:pPr>
      <w:r>
        <w:rPr>
          <w:rFonts w:ascii="Calibri" w:cs="Calibri" w:eastAsia="Calibri" w:hAnsi="Calibri"/>
          <w:color w:val="424242"/>
          <w:sz w:val="22"/>
          <w:szCs w:val="22"/>
        </w:rPr>
        <w:t xml:space="preserve">Deduction engine: TDS (Section 194C @ 1% individual / 2% company, Section 194Q for goods, 194J for professional services) auto-computed based on vendor PAN type and cumulative payment threshold. GSTN TDS (Section 51) for government entities auto-triggered. All deductions auditable with section reference.</w:t>
      </w:r>
    </w:p>
    <w:p>
      <w:pPr>
        <w:pStyle w:val="ListParagraph"/>
        <w:numPr>
          <w:ilvl w:val="0"/>
          <w:numId w:val="2"/>
        </w:numPr>
        <w:spacing w:after="45" w:before="45"/>
      </w:pPr>
      <w:r>
        <w:rPr>
          <w:rFonts w:ascii="Calibri" w:cs="Calibri" w:eastAsia="Calibri" w:hAnsi="Calibri"/>
          <w:color w:val="424242"/>
          <w:sz w:val="22"/>
          <w:szCs w:val="22"/>
        </w:rPr>
        <w:t xml:space="preserve">Retention tracking: configurable retention percentage withheld from each bill. Running retention balance tracked per vendor. Release rules configurable (50% at completion + 50% after DLP, or 100% at DLP expiry). Release triggers approval workflow.</w:t>
      </w:r>
    </w:p>
    <w:p>
      <w:pPr>
        <w:pStyle w:val="ListParagraph"/>
        <w:numPr>
          <w:ilvl w:val="0"/>
          <w:numId w:val="2"/>
        </w:numPr>
        <w:spacing w:after="45" w:before="45"/>
      </w:pPr>
      <w:r>
        <w:rPr>
          <w:rFonts w:ascii="Calibri" w:cs="Calibri" w:eastAsia="Calibri" w:hAnsi="Calibri"/>
          <w:color w:val="424242"/>
          <w:sz w:val="22"/>
          <w:szCs w:val="22"/>
        </w:rPr>
        <w:t xml:space="preserve">Advance tracking: if mobilisation or material advance was given, recovery percentage per bill is configured. System auto-deducts from each bill and tracks the running balance. Advance fully recovered before DLP release.</w:t>
      </w:r>
    </w:p>
    <w:p>
      <w:pPr>
        <w:pStyle w:val="Heading3"/>
        <w:spacing w:after="80" w:before="200"/>
      </w:pPr>
      <w:r>
        <w:rPr>
          <w:rFonts w:ascii="Calibri" w:cs="Calibri" w:eastAsia="Calibri" w:hAnsi="Calibri"/>
          <w:b/>
          <w:bCs/>
          <w:color w:val="00695C"/>
          <w:sz w:val="24"/>
          <w:szCs w:val="24"/>
        </w:rPr>
        <w:t xml:space="preserve">5.3  Multi-Level Payment Approval</w:t>
      </w:r>
    </w:p>
    <w:p>
      <w:pPr>
        <w:pStyle w:val="ListParagraph"/>
        <w:numPr>
          <w:ilvl w:val="0"/>
          <w:numId w:val="2"/>
        </w:numPr>
        <w:spacing w:after="45" w:before="45"/>
      </w:pPr>
      <w:r>
        <w:rPr>
          <w:rFonts w:ascii="Calibri" w:cs="Calibri" w:eastAsia="Calibri" w:hAnsi="Calibri"/>
          <w:color w:val="424242"/>
          <w:sz w:val="22"/>
          <w:szCs w:val="22"/>
        </w:rPr>
        <w:t xml:space="preserve">Configurable approval matrix per client: payment value tiers mapped to required approval levels. Each level has a named approver (or role-based approver), an SLA in working days, and a delegation rule (who covers during absence).</w:t>
      </w:r>
    </w:p>
    <w:p>
      <w:pPr>
        <w:pStyle w:val="ListParagraph"/>
        <w:numPr>
          <w:ilvl w:val="0"/>
          <w:numId w:val="2"/>
        </w:numPr>
        <w:spacing w:after="45" w:before="45"/>
      </w:pPr>
      <w:r>
        <w:rPr>
          <w:rFonts w:ascii="Calibri" w:cs="Calibri" w:eastAsia="Calibri" w:hAnsi="Calibri"/>
          <w:color w:val="424242"/>
          <w:sz w:val="22"/>
          <w:szCs w:val="22"/>
        </w:rPr>
        <w:t xml:space="preserve">Approval actions: Approve (payment proceeds to next level), Reject with comment (returned to preparer for correction), Hold (payment paused pending clarification without rejection), and Partial approve (approve a subset of bill items, hold the rest).</w:t>
      </w:r>
    </w:p>
    <w:p>
      <w:pPr>
        <w:pStyle w:val="ListParagraph"/>
        <w:numPr>
          <w:ilvl w:val="0"/>
          <w:numId w:val="2"/>
        </w:numPr>
        <w:spacing w:after="45" w:before="45"/>
      </w:pPr>
      <w:r>
        <w:rPr>
          <w:rFonts w:ascii="Calibri" w:cs="Calibri" w:eastAsia="Calibri" w:hAnsi="Calibri"/>
          <w:color w:val="424242"/>
          <w:sz w:val="22"/>
          <w:szCs w:val="22"/>
        </w:rPr>
        <w:t xml:space="preserve">SLA enforcement: if an approver does not act within their SLA, system first sends a reminder. If still no action after a grace period, the payment is auto-escalated to the approver's manager. Escalation chain is configurable. No payment can be stuck silently.</w:t>
      </w:r>
    </w:p>
    <w:p>
      <w:pPr>
        <w:pStyle w:val="ListParagraph"/>
        <w:numPr>
          <w:ilvl w:val="0"/>
          <w:numId w:val="2"/>
        </w:numPr>
        <w:spacing w:after="45" w:before="45"/>
      </w:pPr>
      <w:r>
        <w:rPr>
          <w:rFonts w:ascii="Calibri" w:cs="Calibri" w:eastAsia="Calibri" w:hAnsi="Calibri"/>
          <w:color w:val="424242"/>
          <w:sz w:val="22"/>
          <w:szCs w:val="22"/>
        </w:rPr>
        <w:t xml:space="preserve">Concurrent approval: for large payments requiring multiple independent approvals (e.g., both Finance and Technical head must approve), system supports parallel approval tracks that must both complete before payment is released.</w:t>
      </w:r>
    </w:p>
    <w:p>
      <w:pPr>
        <w:pStyle w:val="Heading3"/>
        <w:spacing w:after="80" w:before="200"/>
      </w:pPr>
      <w:r>
        <w:rPr>
          <w:rFonts w:ascii="Calibri" w:cs="Calibri" w:eastAsia="Calibri" w:hAnsi="Calibri"/>
          <w:b/>
          <w:bCs/>
          <w:color w:val="00695C"/>
          <w:sz w:val="24"/>
          <w:szCs w:val="24"/>
        </w:rPr>
        <w:t xml:space="preserve">5.4  Earned Value Management (EVM)</w:t>
      </w:r>
    </w:p>
    <w:p>
      <w:pPr>
        <w:pStyle w:val="ListParagraph"/>
        <w:numPr>
          <w:ilvl w:val="0"/>
          <w:numId w:val="2"/>
        </w:numPr>
        <w:spacing w:after="45" w:before="45"/>
      </w:pPr>
      <w:r>
        <w:rPr>
          <w:rFonts w:ascii="Calibri" w:cs="Calibri" w:eastAsia="Calibri" w:hAnsi="Calibri"/>
          <w:color w:val="424242"/>
          <w:sz w:val="22"/>
          <w:szCs w:val="22"/>
        </w:rPr>
        <w:t xml:space="preserve">Three core EVM metrics computed in real time: PV (Planned Value) — budgeted cost of work scheduled to date from the approved programme; EV (Earned Value) — budgeted cost of work actually completed, computed from DPR/MB/production data; AC (Actual Cost) — actual money spent to date, from paid bills and approved POs.</w:t>
      </w:r>
    </w:p>
    <w:p>
      <w:pPr>
        <w:pStyle w:val="ListParagraph"/>
        <w:numPr>
          <w:ilvl w:val="0"/>
          <w:numId w:val="2"/>
        </w:numPr>
        <w:spacing w:after="45" w:before="45"/>
      </w:pPr>
      <w:r>
        <w:rPr>
          <w:rFonts w:ascii="Calibri" w:cs="Calibri" w:eastAsia="Calibri" w:hAnsi="Calibri"/>
          <w:color w:val="424242"/>
          <w:sz w:val="22"/>
          <w:szCs w:val="22"/>
        </w:rPr>
        <w:t xml:space="preserve">Derived EVM indicators: CPI (Cost Performance Index = EV/AC — below 1.0 means spending more than earned), SPI (Schedule Performance Index = EV/PV — below 1.0 means behind schedule), CV (Cost Variance = EV−AC), SV (Schedule Variance = EV−PV), EAC (Estimate at Completion = BAC/CPI — forecast of total project cost).</w:t>
      </w:r>
    </w:p>
    <w:p>
      <w:pPr>
        <w:pStyle w:val="ListParagraph"/>
        <w:numPr>
          <w:ilvl w:val="0"/>
          <w:numId w:val="2"/>
        </w:numPr>
        <w:spacing w:after="45" w:before="45"/>
      </w:pPr>
      <w:r>
        <w:rPr>
          <w:rFonts w:ascii="Calibri" w:cs="Calibri" w:eastAsia="Calibri" w:hAnsi="Calibri"/>
          <w:color w:val="424242"/>
          <w:sz w:val="22"/>
          <w:szCs w:val="22"/>
        </w:rPr>
        <w:t xml:space="preserve">EVM alerts: CPI below 0.85 for any project → financially distressed flag, Recovery Plan submission required before next bill processed. SPI below 0.75 → schedule recovery plan required. EAC exceeding approved budget by &gt; 10% → mandatory client notification.</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6 — Compliance &amp; Audit Trail</w:t>
      </w:r>
    </w:p>
    <w:p>
      <w:pPr>
        <w:pStyle w:val="Heading3"/>
        <w:spacing w:after="80" w:before="200"/>
      </w:pPr>
      <w:r>
        <w:rPr>
          <w:rFonts w:ascii="Calibri" w:cs="Calibri" w:eastAsia="Calibri" w:hAnsi="Calibri"/>
          <w:b/>
          <w:bCs/>
          <w:color w:val="00695C"/>
          <w:sz w:val="24"/>
          <w:szCs w:val="24"/>
        </w:rPr>
        <w:t xml:space="preserve">6.1  Immutable Audit Log</w:t>
      </w:r>
    </w:p>
    <w:p>
      <w:pPr>
        <w:pStyle w:val="ListParagraph"/>
        <w:numPr>
          <w:ilvl w:val="0"/>
          <w:numId w:val="2"/>
        </w:numPr>
        <w:spacing w:after="45" w:before="45"/>
      </w:pPr>
      <w:r>
        <w:rPr>
          <w:rFonts w:ascii="Calibri" w:cs="Calibri" w:eastAsia="Calibri" w:hAnsi="Calibri"/>
          <w:color w:val="424242"/>
          <w:sz w:val="22"/>
          <w:szCs w:val="22"/>
        </w:rPr>
        <w:t xml:space="preserve">Every action in the platform — every data entry, every approval, every document upload, every login, every field change — is permanently logged. Log entry captures: actor (user ID, name, role), action type, entity modified (table and record ID), timestamp (UTC), IP address, device type, old value (where applicable), new value.</w:t>
      </w:r>
    </w:p>
    <w:p>
      <w:pPr>
        <w:pStyle w:val="ListParagraph"/>
        <w:numPr>
          <w:ilvl w:val="0"/>
          <w:numId w:val="2"/>
        </w:numPr>
        <w:spacing w:after="45" w:before="45"/>
      </w:pPr>
      <w:r>
        <w:rPr>
          <w:rFonts w:ascii="Calibri" w:cs="Calibri" w:eastAsia="Calibri" w:hAnsi="Calibri"/>
          <w:color w:val="424242"/>
          <w:sz w:val="22"/>
          <w:szCs w:val="22"/>
        </w:rPr>
        <w:t xml:space="preserve">Append-only storage: audit logs are written to a separate append-only database partition. No user — including system administrators — can delete, modify, or mask audit log entries. Attempts to do so are themselves logged at infrastructure level.</w:t>
      </w:r>
    </w:p>
    <w:p>
      <w:pPr>
        <w:pStyle w:val="ListParagraph"/>
        <w:numPr>
          <w:ilvl w:val="0"/>
          <w:numId w:val="2"/>
        </w:numPr>
        <w:spacing w:after="45" w:before="45"/>
      </w:pPr>
      <w:r>
        <w:rPr>
          <w:rFonts w:ascii="Calibri" w:cs="Calibri" w:eastAsia="Calibri" w:hAnsi="Calibri"/>
          <w:color w:val="424242"/>
          <w:sz w:val="22"/>
          <w:szCs w:val="22"/>
        </w:rPr>
        <w:t xml:space="preserve">Log access: log is searchable and filterable by user, date range, entity, action type. Authorised auditors (CAG, vigilance, ISO auditor, internal audit) can be given time-limited read-only access to the full audit log for specific projects.</w:t>
      </w:r>
    </w:p>
    <w:p>
      <w:pPr>
        <w:pStyle w:val="ListParagraph"/>
        <w:numPr>
          <w:ilvl w:val="0"/>
          <w:numId w:val="2"/>
        </w:numPr>
        <w:spacing w:after="45" w:before="45"/>
      </w:pPr>
      <w:r>
        <w:rPr>
          <w:rFonts w:ascii="Calibri" w:cs="Calibri" w:eastAsia="Calibri" w:hAnsi="Calibri"/>
          <w:color w:val="424242"/>
          <w:sz w:val="22"/>
          <w:szCs w:val="22"/>
        </w:rPr>
        <w:t xml:space="preserve">CAG-ready export: full audit trail for any project exportable in the structured format required by the Comptroller and Auditor General. Performance audit trail exportable in the format required by the Central Vigilance Commission.</w:t>
      </w:r>
    </w:p>
    <w:p>
      <w:pPr>
        <w:pStyle w:val="Heading3"/>
        <w:spacing w:after="80" w:before="200"/>
      </w:pPr>
      <w:r>
        <w:rPr>
          <w:rFonts w:ascii="Calibri" w:cs="Calibri" w:eastAsia="Calibri" w:hAnsi="Calibri"/>
          <w:b/>
          <w:bCs/>
          <w:color w:val="00695C"/>
          <w:sz w:val="24"/>
          <w:szCs w:val="24"/>
        </w:rPr>
        <w:t xml:space="preserve">6.2  Anti-Corruption Controls</w:t>
      </w:r>
    </w:p>
    <w:p>
      <w:pPr>
        <w:pStyle w:val="ListParagraph"/>
        <w:numPr>
          <w:ilvl w:val="0"/>
          <w:numId w:val="2"/>
        </w:numPr>
        <w:spacing w:after="45" w:before="45"/>
      </w:pPr>
      <w:r>
        <w:rPr>
          <w:rFonts w:ascii="Calibri" w:cs="Calibri" w:eastAsia="Calibri" w:hAnsi="Calibri"/>
          <w:color w:val="424242"/>
          <w:sz w:val="22"/>
          <w:szCs w:val="22"/>
        </w:rPr>
        <w:t xml:space="preserve">Shadow pricing: system maintains a reference rate register (updated quarterly from published government Schedule of Rates, market surveys, and awarded rate contracts). If any PO rate exceeds the reference rate by more than 15%, it is automatically flagged. Flagged POs require a written justification note and approval from a higher authority not involved in the procurement.</w:t>
      </w:r>
    </w:p>
    <w:p>
      <w:pPr>
        <w:pStyle w:val="ListParagraph"/>
        <w:numPr>
          <w:ilvl w:val="0"/>
          <w:numId w:val="2"/>
        </w:numPr>
        <w:spacing w:after="45" w:before="45"/>
      </w:pPr>
      <w:r>
        <w:rPr>
          <w:rFonts w:ascii="Calibri" w:cs="Calibri" w:eastAsia="Calibri" w:hAnsi="Calibri"/>
          <w:color w:val="424242"/>
          <w:sz w:val="22"/>
          <w:szCs w:val="22"/>
        </w:rPr>
        <w:t xml:space="preserve">Conflict of interest registry: all approving officials' PAN numbers and family members' PAN numbers are registered (where disclosed as per service rules). If a bidding vendor's directors or key officers share a name or PAN with any approving official in the approval chain, system auto-flags it.</w:t>
      </w:r>
    </w:p>
    <w:p>
      <w:pPr>
        <w:pStyle w:val="ListParagraph"/>
        <w:numPr>
          <w:ilvl w:val="0"/>
          <w:numId w:val="2"/>
        </w:numPr>
        <w:spacing w:after="45" w:before="45"/>
      </w:pPr>
      <w:r>
        <w:rPr>
          <w:rFonts w:ascii="Calibri" w:cs="Calibri" w:eastAsia="Calibri" w:hAnsi="Calibri"/>
          <w:color w:val="424242"/>
          <w:sz w:val="22"/>
          <w:szCs w:val="22"/>
        </w:rPr>
        <w:t xml:space="preserve">Duplicate invoice detection: system maintains a fingerprint of every paid invoice (amount, date, supplier, PO reference). If a supplier submits an invoice matching a previously paid invoice within configurable parameters, it is auto-held and flagged for review.</w:t>
      </w:r>
    </w:p>
    <w:p>
      <w:pPr>
        <w:pStyle w:val="ListParagraph"/>
        <w:numPr>
          <w:ilvl w:val="0"/>
          <w:numId w:val="2"/>
        </w:numPr>
        <w:spacing w:after="45" w:before="45"/>
      </w:pPr>
      <w:r>
        <w:rPr>
          <w:rFonts w:ascii="Calibri" w:cs="Calibri" w:eastAsia="Calibri" w:hAnsi="Calibri"/>
          <w:color w:val="424242"/>
          <w:sz w:val="22"/>
          <w:szCs w:val="22"/>
        </w:rPr>
        <w:t xml:space="preserve">Round-amount PO alert: POs with suspiciously round amounts (exactly Rs 49,99,999 — just below the Rs 50 Lakh approval threshold) are flagged for review. This is a common splitting pattern in procurement fraud.</w:t>
      </w:r>
    </w:p>
    <w:p>
      <w:pPr>
        <w:pStyle w:val="ListParagraph"/>
        <w:numPr>
          <w:ilvl w:val="0"/>
          <w:numId w:val="2"/>
        </w:numPr>
        <w:spacing w:after="45" w:before="45"/>
      </w:pPr>
      <w:r>
        <w:rPr>
          <w:rFonts w:ascii="Calibri" w:cs="Calibri" w:eastAsia="Calibri" w:hAnsi="Calibri"/>
          <w:color w:val="424242"/>
          <w:sz w:val="22"/>
          <w:szCs w:val="22"/>
        </w:rPr>
        <w:t xml:space="preserve">Concentration alert: if more than 40% of all POs in a period are awarded to the same supplier without a rate contract justification, an alert is raised for the client's procurement head.</w:t>
      </w:r>
    </w:p>
    <w:p>
      <w:pPr>
        <w:pStyle w:val="Heading3"/>
        <w:spacing w:after="80" w:before="200"/>
      </w:pPr>
      <w:r>
        <w:rPr>
          <w:rFonts w:ascii="Calibri" w:cs="Calibri" w:eastAsia="Calibri" w:hAnsi="Calibri"/>
          <w:b/>
          <w:bCs/>
          <w:color w:val="00695C"/>
          <w:sz w:val="24"/>
          <w:szCs w:val="24"/>
        </w:rPr>
        <w:t xml:space="preserve">6.3  Statutory Compliance Tracker</w:t>
      </w:r>
    </w:p>
    <w:p>
      <w:pPr>
        <w:pStyle w:val="ListParagraph"/>
        <w:numPr>
          <w:ilvl w:val="0"/>
          <w:numId w:val="2"/>
        </w:numPr>
        <w:spacing w:after="45" w:before="45"/>
      </w:pPr>
      <w:r>
        <w:rPr>
          <w:rFonts w:ascii="Calibri" w:cs="Calibri" w:eastAsia="Calibri" w:hAnsi="Calibri"/>
          <w:color w:val="424242"/>
          <w:sz w:val="22"/>
          <w:szCs w:val="22"/>
        </w:rPr>
        <w:t xml:space="preserve">Compliance calendar: all statutory filing deadlines are loaded per client type (GST returns, TDS challans, EPFO/ESIC ECR, BOCW annual returns, factory inspector reports, RERA milestone intimations, ROC filings). Dashboard shows upcoming deadlines, overdue filings, and completion status.</w:t>
      </w:r>
    </w:p>
    <w:p>
      <w:pPr>
        <w:pStyle w:val="ListParagraph"/>
        <w:numPr>
          <w:ilvl w:val="0"/>
          <w:numId w:val="2"/>
        </w:numPr>
        <w:spacing w:after="45" w:before="45"/>
      </w:pPr>
      <w:r>
        <w:rPr>
          <w:rFonts w:ascii="Calibri" w:cs="Calibri" w:eastAsia="Calibri" w:hAnsi="Calibri"/>
          <w:color w:val="424242"/>
          <w:sz w:val="22"/>
          <w:szCs w:val="22"/>
        </w:rPr>
        <w:t xml:space="preserve">Document expiry tracker: all vendor licenses, certifications, and registrations have expiry dates logged. System alerts 60 and 30 days before expiry. Expired licenses block the vendor from being selected in new POs until renewed.</w:t>
      </w:r>
    </w:p>
    <w:p>
      <w:pPr>
        <w:pStyle w:val="ListParagraph"/>
        <w:numPr>
          <w:ilvl w:val="0"/>
          <w:numId w:val="2"/>
        </w:numPr>
        <w:spacing w:after="45" w:before="45"/>
      </w:pPr>
      <w:r>
        <w:rPr>
          <w:rFonts w:ascii="Calibri" w:cs="Calibri" w:eastAsia="Calibri" w:hAnsi="Calibri"/>
          <w:color w:val="424242"/>
          <w:sz w:val="22"/>
          <w:szCs w:val="22"/>
        </w:rPr>
        <w:t xml:space="preserve">Statutory deduction reports: monthly TDS computation report (ready for Form 24Q / 26Q filing), ESIC and EPFO contribution report (ready for ECR upload), GST deducted at source report (for GSTR-7 filing). All auto-generated from system data.</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7 — Workflow &amp; Approvals Engine</w:t>
      </w:r>
    </w:p>
    <w:p>
      <w:pPr>
        <w:pStyle w:val="Heading3"/>
        <w:spacing w:after="80" w:before="200"/>
      </w:pPr>
      <w:r>
        <w:rPr>
          <w:rFonts w:ascii="Calibri" w:cs="Calibri" w:eastAsia="Calibri" w:hAnsi="Calibri"/>
          <w:b/>
          <w:bCs/>
          <w:color w:val="00695C"/>
          <w:sz w:val="24"/>
          <w:szCs w:val="24"/>
        </w:rPr>
        <w:t xml:space="preserve">7.1  Visual Workflow Builder</w:t>
      </w:r>
    </w:p>
    <w:p>
      <w:pPr>
        <w:pStyle w:val="ListParagraph"/>
        <w:numPr>
          <w:ilvl w:val="0"/>
          <w:numId w:val="2"/>
        </w:numPr>
        <w:spacing w:after="45" w:before="45"/>
      </w:pPr>
      <w:r>
        <w:rPr>
          <w:rFonts w:ascii="Calibri" w:cs="Calibri" w:eastAsia="Calibri" w:hAnsi="Calibri"/>
          <w:color w:val="424242"/>
          <w:sz w:val="22"/>
          <w:szCs w:val="22"/>
        </w:rPr>
        <w:t xml:space="preserve">Drag-and-drop workflow designer: client's admin can design custom approval workflows without coding. Workflow steps are nodes; conditions are edges. Supports: sequential approval (A then B then C), parallel approval (A and B simultaneously, then C), conditional routing (if value &gt; X, route to Y; else route to Z), and skip logic (if approved at level N with certain conditions, skip level N+1).</w:t>
      </w:r>
    </w:p>
    <w:p>
      <w:pPr>
        <w:pStyle w:val="ListParagraph"/>
        <w:numPr>
          <w:ilvl w:val="0"/>
          <w:numId w:val="2"/>
        </w:numPr>
        <w:spacing w:after="45" w:before="45"/>
      </w:pPr>
      <w:r>
        <w:rPr>
          <w:rFonts w:ascii="Calibri" w:cs="Calibri" w:eastAsia="Calibri" w:hAnsi="Calibri"/>
          <w:color w:val="424242"/>
          <w:sz w:val="22"/>
          <w:szCs w:val="22"/>
        </w:rPr>
        <w:t xml:space="preserve">Trigger events: workflows can be triggered by any system event — bill submitted, PO raised, NCR raised, milestone missed, vendor debarment initiated, material rejected, advance requested. Each trigger type has a library of pre-built workflow templates that can be customised.</w:t>
      </w:r>
    </w:p>
    <w:p>
      <w:pPr>
        <w:pStyle w:val="ListParagraph"/>
        <w:numPr>
          <w:ilvl w:val="0"/>
          <w:numId w:val="2"/>
        </w:numPr>
        <w:spacing w:after="45" w:before="45"/>
      </w:pPr>
      <w:r>
        <w:rPr>
          <w:rFonts w:ascii="Calibri" w:cs="Calibri" w:eastAsia="Calibri" w:hAnsi="Calibri"/>
          <w:color w:val="424242"/>
          <w:sz w:val="22"/>
          <w:szCs w:val="22"/>
        </w:rPr>
        <w:t xml:space="preserve">Delegation: each approver can set a delegation — 'while I am on leave from 15 March to 22 March, delegate to [named person] for approvals up to Rs 10 Lakh.' Delegations are time-bounded and logged.</w:t>
      </w:r>
    </w:p>
    <w:p>
      <w:pPr>
        <w:pStyle w:val="Heading3"/>
        <w:spacing w:after="80" w:before="200"/>
      </w:pPr>
      <w:r>
        <w:rPr>
          <w:rFonts w:ascii="Calibri" w:cs="Calibri" w:eastAsia="Calibri" w:hAnsi="Calibri"/>
          <w:b/>
          <w:bCs/>
          <w:color w:val="00695C"/>
          <w:sz w:val="24"/>
          <w:szCs w:val="24"/>
        </w:rPr>
        <w:t xml:space="preserve">7.2  Notification Engine</w:t>
      </w:r>
    </w:p>
    <w:p>
      <w:pPr>
        <w:pStyle w:val="ListParagraph"/>
        <w:numPr>
          <w:ilvl w:val="0"/>
          <w:numId w:val="2"/>
        </w:numPr>
        <w:spacing w:after="45" w:before="45"/>
      </w:pPr>
      <w:r>
        <w:rPr>
          <w:rFonts w:ascii="Calibri" w:cs="Calibri" w:eastAsia="Calibri" w:hAnsi="Calibri"/>
          <w:color w:val="424242"/>
          <w:sz w:val="22"/>
          <w:szCs w:val="22"/>
        </w:rPr>
        <w:t xml:space="preserve">Multi-channel notifications: in-app push notification, email, and WhatsApp Business API. Each user configures their preferred channel per notification type (e.g., urgent approvals via WhatsApp + email; informational updates via email only).</w:t>
      </w:r>
    </w:p>
    <w:p>
      <w:pPr>
        <w:pStyle w:val="ListParagraph"/>
        <w:numPr>
          <w:ilvl w:val="0"/>
          <w:numId w:val="2"/>
        </w:numPr>
        <w:spacing w:after="45" w:before="45"/>
      </w:pPr>
      <w:r>
        <w:rPr>
          <w:rFonts w:ascii="Calibri" w:cs="Calibri" w:eastAsia="Calibri" w:hAnsi="Calibri"/>
          <w:color w:val="424242"/>
          <w:sz w:val="22"/>
          <w:szCs w:val="22"/>
        </w:rPr>
        <w:t xml:space="preserve">Smart notification grouping: if 15 approvals are pending for a user, system sends one digest notification (not 15 individual ones) with a link to the approval queue. Prevents notification fatigue.</w:t>
      </w:r>
    </w:p>
    <w:p>
      <w:pPr>
        <w:pStyle w:val="ListParagraph"/>
        <w:numPr>
          <w:ilvl w:val="0"/>
          <w:numId w:val="2"/>
        </w:numPr>
        <w:spacing w:after="45" w:before="45"/>
      </w:pPr>
      <w:r>
        <w:rPr>
          <w:rFonts w:ascii="Calibri" w:cs="Calibri" w:eastAsia="Calibri" w:hAnsi="Calibri"/>
          <w:color w:val="424242"/>
          <w:sz w:val="22"/>
          <w:szCs w:val="22"/>
        </w:rPr>
        <w:t xml:space="preserve">Escalation notifications: escalation messages go to the approver's manager with a summary of the overdue item and the approver's name. Tone is informational, not accusatory — designed to be seen as a helpful nudge.</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8 — Analytics &amp; Dashboards</w:t>
      </w:r>
    </w:p>
    <w:p>
      <w:pPr>
        <w:pStyle w:val="Heading3"/>
        <w:spacing w:after="80" w:before="200"/>
      </w:pPr>
      <w:r>
        <w:rPr>
          <w:rFonts w:ascii="Calibri" w:cs="Calibri" w:eastAsia="Calibri" w:hAnsi="Calibri"/>
          <w:b/>
          <w:bCs/>
          <w:color w:val="00695C"/>
          <w:sz w:val="24"/>
          <w:szCs w:val="24"/>
        </w:rPr>
        <w:t xml:space="preserve">8.1  Executive Dashboard</w:t>
      </w:r>
    </w:p>
    <w:p>
      <w:pPr>
        <w:pStyle w:val="ListParagraph"/>
        <w:numPr>
          <w:ilvl w:val="0"/>
          <w:numId w:val="2"/>
        </w:numPr>
        <w:spacing w:after="45" w:before="45"/>
      </w:pPr>
      <w:r>
        <w:rPr>
          <w:rFonts w:ascii="Calibri" w:cs="Calibri" w:eastAsia="Calibri" w:hAnsi="Calibri"/>
          <w:color w:val="424242"/>
          <w:sz w:val="22"/>
          <w:szCs w:val="22"/>
        </w:rPr>
        <w:t xml:space="preserve">Single-screen command view for the senior decision-maker: all active projects / locations / outlets on one screen. KPI cards show: overall completion %, total spend vs budget, open NCRs, pending approvals, critical stock alerts, delayed milestones. Configurable per role.</w:t>
      </w:r>
    </w:p>
    <w:p>
      <w:pPr>
        <w:pStyle w:val="ListParagraph"/>
        <w:numPr>
          <w:ilvl w:val="0"/>
          <w:numId w:val="2"/>
        </w:numPr>
        <w:spacing w:after="45" w:before="45"/>
      </w:pPr>
      <w:r>
        <w:rPr>
          <w:rFonts w:ascii="Calibri" w:cs="Calibri" w:eastAsia="Calibri" w:hAnsi="Calibri"/>
          <w:color w:val="424242"/>
          <w:sz w:val="22"/>
          <w:szCs w:val="22"/>
        </w:rPr>
        <w:t xml:space="preserve">Drill-down capability: any KPI card is clickable. Click 'Open NCRs' → see list of all open NCRs → click one → see full NCR detail with photos and response timeline. Every dashboard element is a gateway to operational detail, not a dead-end summary.</w:t>
      </w:r>
    </w:p>
    <w:p>
      <w:pPr>
        <w:pStyle w:val="ListParagraph"/>
        <w:numPr>
          <w:ilvl w:val="0"/>
          <w:numId w:val="2"/>
        </w:numPr>
        <w:spacing w:after="45" w:before="45"/>
      </w:pPr>
      <w:r>
        <w:rPr>
          <w:rFonts w:ascii="Calibri" w:cs="Calibri" w:eastAsia="Calibri" w:hAnsi="Calibri"/>
          <w:color w:val="424242"/>
          <w:sz w:val="22"/>
          <w:szCs w:val="22"/>
        </w:rPr>
        <w:t xml:space="preserve">AI-assisted insights (Phase 2): system identifies patterns in the operational data — 'Vendor X has been late on 3 of last 4 milestones', 'Material Y is consistently 8% over the budgeted rate when procured in Q3', 'Site B has the highest NCR rate for bituminous works across all your projects'. Surfaces actionable intelligence, not just dashboards.</w:t>
      </w:r>
    </w:p>
    <w:p>
      <w:pPr>
        <w:pStyle w:val="Heading3"/>
        <w:spacing w:after="80" w:before="200"/>
      </w:pPr>
      <w:r>
        <w:rPr>
          <w:rFonts w:ascii="Calibri" w:cs="Calibri" w:eastAsia="Calibri" w:hAnsi="Calibri"/>
          <w:b/>
          <w:bCs/>
          <w:color w:val="00695C"/>
          <w:sz w:val="24"/>
          <w:szCs w:val="24"/>
        </w:rPr>
        <w:t xml:space="preserve">8.2  Custom Report Builder</w:t>
      </w:r>
    </w:p>
    <w:p>
      <w:pPr>
        <w:pStyle w:val="ListParagraph"/>
        <w:numPr>
          <w:ilvl w:val="0"/>
          <w:numId w:val="2"/>
        </w:numPr>
        <w:spacing w:after="45" w:before="45"/>
      </w:pPr>
      <w:r>
        <w:rPr>
          <w:rFonts w:ascii="Calibri" w:cs="Calibri" w:eastAsia="Calibri" w:hAnsi="Calibri"/>
          <w:color w:val="424242"/>
          <w:sz w:val="22"/>
          <w:szCs w:val="22"/>
        </w:rPr>
        <w:t xml:space="preserve">Any client user with the Report Builder permission can create a custom report: select entity (vendors, POs, GRNs, bills, milestones, NCRs), select fields to display, apply filters (date range, project, vendor, status, amount range), choose grouping and sorting, and save as a named report.</w:t>
      </w:r>
    </w:p>
    <w:p>
      <w:pPr>
        <w:pStyle w:val="ListParagraph"/>
        <w:numPr>
          <w:ilvl w:val="0"/>
          <w:numId w:val="2"/>
        </w:numPr>
        <w:spacing w:after="45" w:before="45"/>
      </w:pPr>
      <w:r>
        <w:rPr>
          <w:rFonts w:ascii="Calibri" w:cs="Calibri" w:eastAsia="Calibri" w:hAnsi="Calibri"/>
          <w:color w:val="424242"/>
          <w:sz w:val="22"/>
          <w:szCs w:val="22"/>
        </w:rPr>
        <w:t xml:space="preserve">Scheduled reports: any saved report can be scheduled to run automatically (daily, weekly, monthly) and delivered to a configurable list of email recipients as a PDF or Excel attachment. No manual trigger needed.</w:t>
      </w:r>
    </w:p>
    <w:p>
      <w:pPr>
        <w:pStyle w:val="ListParagraph"/>
        <w:numPr>
          <w:ilvl w:val="0"/>
          <w:numId w:val="2"/>
        </w:numPr>
        <w:spacing w:after="45" w:before="45"/>
      </w:pPr>
      <w:r>
        <w:rPr>
          <w:rFonts w:ascii="Calibri" w:cs="Calibri" w:eastAsia="Calibri" w:hAnsi="Calibri"/>
          <w:color w:val="424242"/>
          <w:sz w:val="22"/>
          <w:szCs w:val="22"/>
        </w:rPr>
        <w:t xml:space="preserve">Pre-built report library: 40+ standard reports pre-loaded covering: Vendor payment summary, Material consumption vs BOQ, Milestone status tracker, NCR open-closed trend, Approval cycle time analysis, Budget burn rate, Comparative cost analysis across projects.</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Module 9 — Mobile Application</w:t>
      </w:r>
    </w:p>
    <w:p>
      <w:pPr>
        <w:pStyle w:val="ListParagraph"/>
        <w:numPr>
          <w:ilvl w:val="0"/>
          <w:numId w:val="2"/>
        </w:numPr>
        <w:spacing w:after="45" w:before="45"/>
      </w:pPr>
      <w:r>
        <w:rPr>
          <w:rFonts w:ascii="Calibri" w:cs="Calibri" w:eastAsia="Calibri" w:hAnsi="Calibri"/>
          <w:color w:val="424242"/>
          <w:sz w:val="22"/>
          <w:szCs w:val="22"/>
        </w:rPr>
        <w:t xml:space="preserve">Platform: React Native — single codebase for iOS and Android. PWA available for desktop installation (Chrome / Edge) without app store.</w:t>
      </w:r>
    </w:p>
    <w:p>
      <w:pPr>
        <w:pStyle w:val="ListParagraph"/>
        <w:numPr>
          <w:ilvl w:val="0"/>
          <w:numId w:val="2"/>
        </w:numPr>
        <w:spacing w:after="45" w:before="45"/>
      </w:pPr>
      <w:r>
        <w:rPr>
          <w:rFonts w:ascii="Calibri" w:cs="Calibri" w:eastAsia="Calibri" w:hAnsi="Calibri"/>
          <w:color w:val="424242"/>
          <w:sz w:val="22"/>
          <w:szCs w:val="22"/>
        </w:rPr>
        <w:t xml:space="preserve">Offline-first architecture: WatermelonDB local database stores all data the user needs for their current assignment. DPRs, GRNs, MB entries, quality test results, site photos — all work without internet. Sync happens automatically and silently when connectivity is restored. Conflict resolution handles simultaneous offline edits by multiple users.</w:t>
      </w:r>
    </w:p>
    <w:p>
      <w:pPr>
        <w:pStyle w:val="ListParagraph"/>
        <w:numPr>
          <w:ilvl w:val="0"/>
          <w:numId w:val="2"/>
        </w:numPr>
        <w:spacing w:after="45" w:before="45"/>
      </w:pPr>
      <w:r>
        <w:rPr>
          <w:rFonts w:ascii="Calibri" w:cs="Calibri" w:eastAsia="Calibri" w:hAnsi="Calibri"/>
          <w:color w:val="424242"/>
          <w:sz w:val="22"/>
          <w:szCs w:val="22"/>
        </w:rPr>
        <w:t xml:space="preserve">Biometric authentication: fingerprint or Face ID login. Required for sensitive actions (manual weighbridge override, payment approval above threshold, penalty waiver).</w:t>
      </w:r>
    </w:p>
    <w:p>
      <w:pPr>
        <w:pStyle w:val="ListParagraph"/>
        <w:numPr>
          <w:ilvl w:val="0"/>
          <w:numId w:val="2"/>
        </w:numPr>
        <w:spacing w:after="45" w:before="45"/>
      </w:pPr>
      <w:r>
        <w:rPr>
          <w:rFonts w:ascii="Calibri" w:cs="Calibri" w:eastAsia="Calibri" w:hAnsi="Calibri"/>
          <w:color w:val="424242"/>
          <w:sz w:val="22"/>
          <w:szCs w:val="22"/>
        </w:rPr>
        <w:t xml:space="preserve">QR scanner: built-in scanner for gate pass validation, material batch scan, equipment ID scan, worker ID card scan. No separate hardware required.</w:t>
      </w:r>
    </w:p>
    <w:p>
      <w:pPr>
        <w:pStyle w:val="ListParagraph"/>
        <w:numPr>
          <w:ilvl w:val="0"/>
          <w:numId w:val="2"/>
        </w:numPr>
        <w:spacing w:after="45" w:before="45"/>
      </w:pPr>
      <w:r>
        <w:rPr>
          <w:rFonts w:ascii="Calibri" w:cs="Calibri" w:eastAsia="Calibri" w:hAnsi="Calibri"/>
          <w:color w:val="424242"/>
          <w:sz w:val="22"/>
          <w:szCs w:val="22"/>
        </w:rPr>
        <w:t xml:space="preserve">GPS photo capture: all photos taken through the app are geo-tagged and timestamped. Gallery upload disabled for official DPR, GRN, and quality photo submissions.</w:t>
      </w:r>
    </w:p>
    <w:p>
      <w:pPr>
        <w:pStyle w:val="ListParagraph"/>
        <w:numPr>
          <w:ilvl w:val="0"/>
          <w:numId w:val="2"/>
        </w:numPr>
        <w:spacing w:after="45" w:before="45"/>
      </w:pPr>
      <w:r>
        <w:rPr>
          <w:rFonts w:ascii="Calibri" w:cs="Calibri" w:eastAsia="Calibri" w:hAnsi="Calibri"/>
          <w:color w:val="424242"/>
          <w:sz w:val="22"/>
          <w:szCs w:val="22"/>
        </w:rPr>
        <w:t xml:space="preserve">Voice-to-text: regional language support for DPR remarks — Telugu, Hindi, Tamil, Marathi, Kannada, Bengali. Transcribed by Google Speech-to-Text.</w:t>
      </w:r>
    </w:p>
    <w:p>
      <w:pPr>
        <w:pStyle w:val="ListParagraph"/>
        <w:numPr>
          <w:ilvl w:val="0"/>
          <w:numId w:val="2"/>
        </w:numPr>
        <w:spacing w:after="45" w:before="45"/>
      </w:pPr>
      <w:r>
        <w:rPr>
          <w:rFonts w:ascii="Calibri" w:cs="Calibri" w:eastAsia="Calibri" w:hAnsi="Calibri"/>
          <w:color w:val="424242"/>
          <w:sz w:val="22"/>
          <w:szCs w:val="22"/>
        </w:rPr>
        <w:t xml:space="preserve">Push notifications: approval requests, payment releases, material delivery alerts, NCR assignments, safety incident flags — all delivered as push notifications with deep links to the relevant action screen.</w:t>
      </w:r>
    </w:p>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3 — Vertical 1: Government Infrastructure (GPEP)</w:t>
      </w:r>
    </w:p>
    <w:p>
      <w:pPr>
        <w:spacing w:after="100" w:before="80"/>
      </w:pPr>
      <w:r>
        <w:rPr>
          <w:rFonts w:ascii="Calibri" w:cs="Calibri" w:eastAsia="Calibri" w:hAnsi="Calibri"/>
          <w:color w:val="424242"/>
          <w:sz w:val="22"/>
          <w:szCs w:val="22"/>
        </w:rPr>
        <w:t xml:space="preserve">The government infrastructure vertical is the first and most fully designed vertical. All core modules (Parts 2) apply fully. The following are the industry-specific additions built on top of the core.</w:t>
      </w:r>
    </w:p>
    <w:p>
      <w:pPr>
        <w:pBdr>
          <w:left w:val="single" w:color="1565C0" w:sz="22"/>
        </w:pBdr>
        <w:shd w:fill="EBF3FB" w:val="clear"/>
        <w:spacing w:after="28" w:before="140"/>
        <w:ind w:left="440" w:right="440"/>
      </w:pPr>
      <w:r>
        <w:rPr>
          <w:rFonts w:ascii="Calibri" w:cs="Calibri" w:eastAsia="Calibri" w:hAnsi="Calibri"/>
          <w:b/>
          <w:bCs/>
          <w:color w:val="1A2F5A"/>
          <w:sz w:val="21"/>
          <w:szCs w:val="21"/>
        </w:rPr>
        <w:t xml:space="preserve">Reference case: Hyderabad Outer Ring Road (Nehru ORR)</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158km · 8-lane expressway · 4 construction packages · Houses A, B, C, D · HMDA administered</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PKG 1 (House A): Gachibowli → Shamshabad · ~40km · SW Zone · Depot: Narsingi</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PKG 2 (House B): Shamshabad → Ghatkesar · ~38km · SE Zone · Depot: Adibatla</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PKG 3 (House C): Ghatkesar → Shamirpet · ~42km · NE Zone · Depot: Kompally</w:t>
      </w:r>
    </w:p>
    <w:p>
      <w:pPr>
        <w:pBdr>
          <w:left w:val="single" w:color="1565C0" w:sz="22"/>
        </w:pBdr>
        <w:shd w:fill="EBF3FB" w:val="clear"/>
        <w:spacing w:after="140" w:before="28"/>
        <w:ind w:left="440" w:right="440"/>
      </w:pPr>
      <w:r>
        <w:rPr>
          <w:rFonts w:ascii="Calibri" w:cs="Calibri" w:eastAsia="Calibri" w:hAnsi="Calibri"/>
          <w:b w:val="false"/>
          <w:bCs w:val="false"/>
          <w:color w:val="1A2F5A"/>
          <w:sz w:val="20"/>
          <w:szCs w:val="20"/>
        </w:rPr>
        <w:t xml:space="preserve">PKG 4 (House D): Shamirpet → Patancheru · ~38km · NW Zone · Depot: Patancheru</w:t>
      </w:r>
    </w:p>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G1 — Tender &amp; Bid Management</w:t>
      </w:r>
    </w:p>
    <w:p>
      <w:pPr>
        <w:pStyle w:val="Heading3"/>
        <w:spacing w:after="80" w:before="200"/>
      </w:pPr>
      <w:r>
        <w:rPr>
          <w:rFonts w:ascii="Calibri" w:cs="Calibri" w:eastAsia="Calibri" w:hAnsi="Calibri"/>
          <w:b/>
          <w:bCs/>
          <w:color w:val="00695C"/>
          <w:sz w:val="24"/>
          <w:szCs w:val="24"/>
        </w:rPr>
        <w:t xml:space="preserve">G1.1  Tender Creation &amp; Publishing</w:t>
      </w:r>
    </w:p>
    <w:p>
      <w:pPr>
        <w:pStyle w:val="ListParagraph"/>
        <w:numPr>
          <w:ilvl w:val="0"/>
          <w:numId w:val="2"/>
        </w:numPr>
        <w:spacing w:after="45" w:before="45"/>
      </w:pPr>
      <w:r>
        <w:rPr>
          <w:rFonts w:ascii="Calibri" w:cs="Calibri" w:eastAsia="Calibri" w:hAnsi="Calibri"/>
          <w:color w:val="424242"/>
          <w:sz w:val="22"/>
          <w:szCs w:val="22"/>
        </w:rPr>
        <w:t xml:space="preserve">Tender types: Open tender (published publicly, any registered vendor can bid), Limited tender (invitation to pre-qualified vendors only), Single tender (one vendor identified — requires documented justification and higher approval). Tender type recorded immutably at creation.</w:t>
      </w:r>
    </w:p>
    <w:p>
      <w:pPr>
        <w:pStyle w:val="ListParagraph"/>
        <w:numPr>
          <w:ilvl w:val="0"/>
          <w:numId w:val="2"/>
        </w:numPr>
        <w:spacing w:after="45" w:before="45"/>
      </w:pPr>
      <w:r>
        <w:rPr>
          <w:rFonts w:ascii="Calibri" w:cs="Calibri" w:eastAsia="Calibri" w:hAnsi="Calibri"/>
          <w:color w:val="424242"/>
          <w:sz w:val="22"/>
          <w:szCs w:val="22"/>
        </w:rPr>
        <w:t xml:space="preserve">BOQ upload: the Bill of Quantities is uploaded as Excel (parsed by SheetJS) or entered item-by-item. Each BOQ item has: item code, description, unit of measurement, estimated quantity, owner's estimated rate (sealed until bid opening), and applicable specification reference (IS code, MoRTH clause, CPWD item).</w:t>
      </w:r>
    </w:p>
    <w:p>
      <w:pPr>
        <w:pStyle w:val="ListParagraph"/>
        <w:numPr>
          <w:ilvl w:val="0"/>
          <w:numId w:val="2"/>
        </w:numPr>
        <w:spacing w:after="45" w:before="45"/>
      </w:pPr>
      <w:r>
        <w:rPr>
          <w:rFonts w:ascii="Calibri" w:cs="Calibri" w:eastAsia="Calibri" w:hAnsi="Calibri"/>
          <w:color w:val="424242"/>
          <w:sz w:val="22"/>
          <w:szCs w:val="22"/>
        </w:rPr>
        <w:t xml:space="preserve">Eligibility criteria: minimum annual turnover, minimum completed similar project value, required equipment ownership (own or hired with undertaking), quality certifications required (ISO 9001, etc.), EMD amount, and bid validity period. System enforces these criteria — bids from non-eligible vendors are rejected at submission with specific reason.</w:t>
      </w:r>
    </w:p>
    <w:p>
      <w:pPr>
        <w:pStyle w:val="ListParagraph"/>
        <w:numPr>
          <w:ilvl w:val="0"/>
          <w:numId w:val="2"/>
        </w:numPr>
        <w:spacing w:after="45" w:before="45"/>
      </w:pPr>
      <w:r>
        <w:rPr>
          <w:rFonts w:ascii="Calibri" w:cs="Calibri" w:eastAsia="Calibri" w:hAnsi="Calibri"/>
          <w:color w:val="424242"/>
          <w:sz w:val="22"/>
          <w:szCs w:val="22"/>
        </w:rPr>
        <w:t xml:space="preserve">Pre-bid meeting: meeting date/time, venue, and agenda published through the platform. Minutes of the pre-bid meeting uploaded by the client and auto-distributed to all registered interested parties. Clarifications submitted and responded to through the platform — all become part of the official tender document.</w:t>
      </w:r>
    </w:p>
    <w:p>
      <w:pPr>
        <w:pStyle w:val="ListParagraph"/>
        <w:numPr>
          <w:ilvl w:val="0"/>
          <w:numId w:val="2"/>
        </w:numPr>
        <w:spacing w:after="45" w:before="45"/>
      </w:pPr>
      <w:r>
        <w:rPr>
          <w:rFonts w:ascii="Calibri" w:cs="Calibri" w:eastAsia="Calibri" w:hAnsi="Calibri"/>
          <w:color w:val="424242"/>
          <w:sz w:val="22"/>
          <w:szCs w:val="22"/>
        </w:rPr>
        <w:t xml:space="preserve">Corrigendum management: any amendment to the tender document creates a versioned corrigendum. All vendors who accessed the tender document are auto-notified. Bid submission deadline is automatically extended by a configurable period (default 7 days) when a corrigendum is issued.</w:t>
      </w:r>
    </w:p>
    <w:p>
      <w:pPr>
        <w:pStyle w:val="Heading3"/>
        <w:spacing w:after="80" w:before="200"/>
      </w:pPr>
      <w:r>
        <w:rPr>
          <w:rFonts w:ascii="Calibri" w:cs="Calibri" w:eastAsia="Calibri" w:hAnsi="Calibri"/>
          <w:b/>
          <w:bCs/>
          <w:color w:val="00695C"/>
          <w:sz w:val="24"/>
          <w:szCs w:val="24"/>
        </w:rPr>
        <w:t xml:space="preserve">G1.2  Sealed Bid Submission</w:t>
      </w:r>
    </w:p>
    <w:p>
      <w:pPr>
        <w:pStyle w:val="ListParagraph"/>
        <w:numPr>
          <w:ilvl w:val="0"/>
          <w:numId w:val="2"/>
        </w:numPr>
        <w:spacing w:after="45" w:before="45"/>
      </w:pPr>
      <w:r>
        <w:rPr>
          <w:rFonts w:ascii="Calibri" w:cs="Calibri" w:eastAsia="Calibri" w:hAnsi="Calibri"/>
          <w:color w:val="424242"/>
          <w:sz w:val="22"/>
          <w:szCs w:val="22"/>
        </w:rPr>
        <w:t xml:space="preserve">Two-envelope system: Technical Envelope (methodology, resource deployment plan, key personnel CVs, equipment schedule, construction programme) and Financial Envelope (unit rate for each BOQ item) submitted separately through the portal.</w:t>
      </w:r>
    </w:p>
    <w:p>
      <w:pPr>
        <w:pStyle w:val="ListParagraph"/>
        <w:numPr>
          <w:ilvl w:val="0"/>
          <w:numId w:val="2"/>
        </w:numPr>
        <w:spacing w:after="45" w:before="45"/>
      </w:pPr>
      <w:r>
        <w:rPr>
          <w:rFonts w:ascii="Calibri" w:cs="Calibri" w:eastAsia="Calibri" w:hAnsi="Calibri"/>
          <w:color w:val="424242"/>
          <w:sz w:val="22"/>
          <w:szCs w:val="22"/>
        </w:rPr>
        <w:t xml:space="preserve">Cryptographic sealing: financial bids are encrypted with a time-locked key. No user — including platform administrators — can access financial bids before the bid opening date and time. Encryption uses AES-256. Key is released automatically at the designated opening timestamp.</w:t>
      </w:r>
    </w:p>
    <w:p>
      <w:pPr>
        <w:pStyle w:val="ListParagraph"/>
        <w:numPr>
          <w:ilvl w:val="0"/>
          <w:numId w:val="2"/>
        </w:numPr>
        <w:spacing w:after="45" w:before="45"/>
      </w:pPr>
      <w:r>
        <w:rPr>
          <w:rFonts w:ascii="Calibri" w:cs="Calibri" w:eastAsia="Calibri" w:hAnsi="Calibri"/>
          <w:color w:val="424242"/>
          <w:sz w:val="22"/>
          <w:szCs w:val="22"/>
        </w:rPr>
        <w:t xml:space="preserve">Deadline enforcement: portal closes for bid submission at the exact deadline timestamp. Bids received after the deadline are auto-stamped as late and excluded from evaluation. No manual exception possible.</w:t>
      </w:r>
    </w:p>
    <w:p>
      <w:pPr>
        <w:pStyle w:val="ListParagraph"/>
        <w:numPr>
          <w:ilvl w:val="0"/>
          <w:numId w:val="2"/>
        </w:numPr>
        <w:spacing w:after="45" w:before="45"/>
      </w:pPr>
      <w:r>
        <w:rPr>
          <w:rFonts w:ascii="Calibri" w:cs="Calibri" w:eastAsia="Calibri" w:hAnsi="Calibri"/>
          <w:color w:val="424242"/>
          <w:sz w:val="22"/>
          <w:szCs w:val="22"/>
        </w:rPr>
        <w:t xml:space="preserve">Bid modification: bidder can withdraw and re-submit their bid any number of times before the deadline. Only the latest submission is valid. Each version is archived.</w:t>
      </w:r>
    </w:p>
    <w:p>
      <w:pPr>
        <w:pStyle w:val="Heading3"/>
        <w:spacing w:after="80" w:before="200"/>
      </w:pPr>
      <w:r>
        <w:rPr>
          <w:rFonts w:ascii="Calibri" w:cs="Calibri" w:eastAsia="Calibri" w:hAnsi="Calibri"/>
          <w:b/>
          <w:bCs/>
          <w:color w:val="00695C"/>
          <w:sz w:val="24"/>
          <w:szCs w:val="24"/>
        </w:rPr>
        <w:t xml:space="preserve">G1.3  Bid Evaluation &amp; L1 Determination</w:t>
      </w:r>
    </w:p>
    <w:p>
      <w:pPr>
        <w:pStyle w:val="ListParagraph"/>
        <w:numPr>
          <w:ilvl w:val="0"/>
          <w:numId w:val="2"/>
        </w:numPr>
        <w:spacing w:after="45" w:before="45"/>
      </w:pPr>
      <w:r>
        <w:rPr>
          <w:rFonts w:ascii="Calibri" w:cs="Calibri" w:eastAsia="Calibri" w:hAnsi="Calibri"/>
          <w:color w:val="424242"/>
          <w:sz w:val="22"/>
          <w:szCs w:val="22"/>
        </w:rPr>
        <w:t xml:space="preserve">Technical evaluation: evaluators score technical bids using a configurable marking scheme. Marks for construction methodology (30), key personnel qualifications (20), equipment availability (25), construction programme reasonableness (25). Minimum qualifying score (default 60 / 100) to proceed to financial evaluation.</w:t>
      </w:r>
    </w:p>
    <w:p>
      <w:pPr>
        <w:pStyle w:val="ListParagraph"/>
        <w:numPr>
          <w:ilvl w:val="0"/>
          <w:numId w:val="2"/>
        </w:numPr>
        <w:spacing w:after="45" w:before="45"/>
      </w:pPr>
      <w:r>
        <w:rPr>
          <w:rFonts w:ascii="Calibri" w:cs="Calibri" w:eastAsia="Calibri" w:hAnsi="Calibri"/>
          <w:color w:val="424242"/>
          <w:sz w:val="22"/>
          <w:szCs w:val="22"/>
        </w:rPr>
        <w:t xml:space="preserve">Comparative statement: on financial bid opening, system auto-generates the comparative statement — all technically qualified bidders as columns, all BOQ items as rows, each bidder's unit rate and total in their column. System-calculated totals at the bottom. L1 (lowest total evaluated bid) highlighted in green. The document that previously took 2–3 weeks to produce manually is generated in seconds.</w:t>
      </w:r>
    </w:p>
    <w:p>
      <w:pPr>
        <w:pStyle w:val="ListParagraph"/>
        <w:numPr>
          <w:ilvl w:val="0"/>
          <w:numId w:val="2"/>
        </w:numPr>
        <w:spacing w:after="45" w:before="45"/>
      </w:pPr>
      <w:r>
        <w:rPr>
          <w:rFonts w:ascii="Calibri" w:cs="Calibri" w:eastAsia="Calibri" w:hAnsi="Calibri"/>
          <w:color w:val="424242"/>
          <w:sz w:val="22"/>
          <w:szCs w:val="22"/>
        </w:rPr>
        <w:t xml:space="preserve">Abnormal rate detection: unit rates more than 25% below the owner's estimated rate for any BOQ item are auto-flagged as abnormally low. L1 bidder with abnormal rates must submit a detailed justification (front-loading check). System cannot award automatically if abnormal rates exist — mandatory human review.</w:t>
      </w:r>
    </w:p>
    <w:p>
      <w:pPr>
        <w:pStyle w:val="ListParagraph"/>
        <w:numPr>
          <w:ilvl w:val="0"/>
          <w:numId w:val="2"/>
        </w:numPr>
        <w:spacing w:after="45" w:before="45"/>
      </w:pPr>
      <w:r>
        <w:rPr>
          <w:rFonts w:ascii="Calibri" w:cs="Calibri" w:eastAsia="Calibri" w:hAnsi="Calibri"/>
          <w:color w:val="424242"/>
          <w:sz w:val="22"/>
          <w:szCs w:val="22"/>
        </w:rPr>
        <w:t xml:space="preserve">Negotiation module: if client elects to negotiate with L1 on select items, the negotiation rounds are conducted through the platform. Each round, L1 submits revised rates, client accepts or proposes further reduction, until agreement. All negotiation rounds archived.</w:t>
      </w:r>
    </w:p>
    <w:p>
      <w:pPr>
        <w:pStyle w:val="ListParagraph"/>
        <w:numPr>
          <w:ilvl w:val="0"/>
          <w:numId w:val="2"/>
        </w:numPr>
        <w:spacing w:after="45" w:before="45"/>
      </w:pPr>
      <w:r>
        <w:rPr>
          <w:rFonts w:ascii="Calibri" w:cs="Calibri" w:eastAsia="Calibri" w:hAnsi="Calibri"/>
          <w:color w:val="424242"/>
          <w:sz w:val="22"/>
          <w:szCs w:val="22"/>
        </w:rPr>
        <w:t xml:space="preserve">Reverse auction: for standard items (bulk material procurement, repetitive finishing works), a live reverse auction can replace the sealed bid process. Configurable: duration (30–120 min), decrement step (minimum 0.5% per bid), visibility (show current L1 price vs blind auction). Full immutable bidding log required for CAG audit.</w:t>
      </w:r>
    </w:p>
    <w:p>
      <w:pPr>
        <w:pStyle w:val="Heading2"/>
        <w:spacing w:after="120" w:before="280"/>
      </w:pPr>
      <w:r>
        <w:rPr>
          <w:rFonts w:ascii="Calibri" w:cs="Calibri" w:eastAsia="Calibri" w:hAnsi="Calibri"/>
          <w:b/>
          <w:bCs/>
          <w:color w:val="1565C0"/>
          <w:sz w:val="30"/>
          <w:szCs w:val="30"/>
        </w:rPr>
        <w:t xml:space="preserve">G2 — Contract &amp; Work Order Management</w:t>
      </w:r>
    </w:p>
    <w:p>
      <w:pPr>
        <w:pStyle w:val="Heading3"/>
        <w:spacing w:after="80" w:before="200"/>
      </w:pPr>
      <w:r>
        <w:rPr>
          <w:rFonts w:ascii="Calibri" w:cs="Calibri" w:eastAsia="Calibri" w:hAnsi="Calibri"/>
          <w:b/>
          <w:bCs/>
          <w:color w:val="00695C"/>
          <w:sz w:val="24"/>
          <w:szCs w:val="24"/>
        </w:rPr>
        <w:t xml:space="preserve">G2.1  Contract Generation</w:t>
      </w:r>
    </w:p>
    <w:p>
      <w:pPr>
        <w:pStyle w:val="ListParagraph"/>
        <w:numPr>
          <w:ilvl w:val="0"/>
          <w:numId w:val="2"/>
        </w:numPr>
        <w:spacing w:after="45" w:before="45"/>
      </w:pPr>
      <w:r>
        <w:rPr>
          <w:rFonts w:ascii="Calibri" w:cs="Calibri" w:eastAsia="Calibri" w:hAnsi="Calibri"/>
          <w:color w:val="424242"/>
          <w:sz w:val="22"/>
          <w:szCs w:val="22"/>
        </w:rPr>
        <w:t xml:space="preserve">Auto-generation from accepted bid: all quantities, unit rates, and milestone dates from the accepted bid are pulled directly into the contract. No manual re-entry. Clause library: NIT conditions, NHAI/MoRTH standard conditions, FIDIC (Red, Yellow, Silver books — configurable), arbitration clause (as per Arbitration and Conciliation Act 1996), and Liquidated Damages clause (rate: configurable % of contract value per week, cap: configurable % of total).</w:t>
      </w:r>
    </w:p>
    <w:p>
      <w:pPr>
        <w:pStyle w:val="ListParagraph"/>
        <w:numPr>
          <w:ilvl w:val="0"/>
          <w:numId w:val="2"/>
        </w:numPr>
        <w:spacing w:after="45" w:before="45"/>
      </w:pPr>
      <w:r>
        <w:rPr>
          <w:rFonts w:ascii="Calibri" w:cs="Calibri" w:eastAsia="Calibri" w:hAnsi="Calibri"/>
          <w:color w:val="424242"/>
          <w:sz w:val="22"/>
          <w:szCs w:val="22"/>
        </w:rPr>
        <w:t xml:space="preserve">Contract types: Item Rate (BOQ quantities × rates, most common for road works), Lump Sum/EPC (fixed price, contractor assumes risk), Percentage Rate (variation above/below CPWD Schedule of Rates), and Hybrid (Item Rate for civil, Lump Sum for MEP or IT components).</w:t>
      </w:r>
    </w:p>
    <w:p>
      <w:pPr>
        <w:pStyle w:val="ListParagraph"/>
        <w:numPr>
          <w:ilvl w:val="0"/>
          <w:numId w:val="2"/>
        </w:numPr>
        <w:spacing w:after="45" w:before="45"/>
      </w:pPr>
      <w:r>
        <w:rPr>
          <w:rFonts w:ascii="Calibri" w:cs="Calibri" w:eastAsia="Calibri" w:hAnsi="Calibri"/>
          <w:color w:val="424242"/>
          <w:sz w:val="22"/>
          <w:szCs w:val="22"/>
        </w:rPr>
        <w:t xml:space="preserve">Digital signature: DSC (Digital Signature Certificate via USB token) for formal government signatories. Aadhaar OTP eSign for contractors. Both methods produce legally valid signatures under the IT Act 2000. Contract locked after execution — all subsequent changes must go through the Amendment module.</w:t>
      </w:r>
    </w:p>
    <w:p>
      <w:pPr>
        <w:pStyle w:val="Heading3"/>
        <w:spacing w:after="80" w:before="200"/>
      </w:pPr>
      <w:r>
        <w:rPr>
          <w:rFonts w:ascii="Calibri" w:cs="Calibri" w:eastAsia="Calibri" w:hAnsi="Calibri"/>
          <w:b/>
          <w:bCs/>
          <w:color w:val="00695C"/>
          <w:sz w:val="24"/>
          <w:szCs w:val="24"/>
        </w:rPr>
        <w:t xml:space="preserve">G2.2  Running Account (RA) Bill &amp; Measurement Book</w:t>
      </w:r>
    </w:p>
    <w:p>
      <w:pPr>
        <w:pStyle w:val="ListParagraph"/>
        <w:numPr>
          <w:ilvl w:val="0"/>
          <w:numId w:val="2"/>
        </w:numPr>
        <w:spacing w:after="45" w:before="45"/>
      </w:pPr>
      <w:r>
        <w:rPr>
          <w:rFonts w:ascii="Calibri" w:cs="Calibri" w:eastAsia="Calibri" w:hAnsi="Calibri"/>
          <w:color w:val="424242"/>
          <w:sz w:val="22"/>
          <w:szCs w:val="22"/>
        </w:rPr>
        <w:t xml:space="preserve">Measurement Book (MB): the MB is the statutory field measurement register that is the basis for all payment in Indian government construction. The digital MB in the platform has the same legal standing as a physical MB — each entry is digitally signed by the engineer who measures and the engineer who checks.</w:t>
      </w:r>
    </w:p>
    <w:p>
      <w:pPr>
        <w:pStyle w:val="ListParagraph"/>
        <w:numPr>
          <w:ilvl w:val="0"/>
          <w:numId w:val="2"/>
        </w:numPr>
        <w:spacing w:after="45" w:before="45"/>
      </w:pPr>
      <w:r>
        <w:rPr>
          <w:rFonts w:ascii="Calibri" w:cs="Calibri" w:eastAsia="Calibri" w:hAnsi="Calibri"/>
          <w:color w:val="424242"/>
          <w:sz w:val="22"/>
          <w:szCs w:val="22"/>
        </w:rPr>
        <w:t xml:space="preserve">MB entry process: site engineer opens the digital MB on mobile. For each completed work item, enters: BOQ item reference, location (chainage range: e.g., CH 22+400 to CH 24+600), dimensions (length × breadth × depth in a dynamic calculation row, or count, or running metres — depends on unit), and derived quantity (auto-calculated from dimensions). System shows: this entry quantity, cumulative quantity to date, remaining BOQ quantity.</w:t>
      </w:r>
    </w:p>
    <w:p>
      <w:pPr>
        <w:pStyle w:val="ListParagraph"/>
        <w:numPr>
          <w:ilvl w:val="0"/>
          <w:numId w:val="2"/>
        </w:numPr>
        <w:spacing w:after="45" w:before="45"/>
      </w:pPr>
      <w:r>
        <w:rPr>
          <w:rFonts w:ascii="Calibri" w:cs="Calibri" w:eastAsia="Calibri" w:hAnsi="Calibri"/>
          <w:color w:val="424242"/>
          <w:sz w:val="22"/>
          <w:szCs w:val="22"/>
        </w:rPr>
        <w:t xml:space="preserve">MB check and countersign: Engineer-in-Charge reviews the MB entry on web or mobile. Can approve, reject with specific dimension corrections, or query with a comment. Disputed entries are flagged and excluded from billing until resolved. Approval is digital signature on each entry.</w:t>
      </w:r>
    </w:p>
    <w:p>
      <w:pPr>
        <w:pStyle w:val="ListParagraph"/>
        <w:numPr>
          <w:ilvl w:val="0"/>
          <w:numId w:val="2"/>
        </w:numPr>
        <w:spacing w:after="45" w:before="45"/>
      </w:pPr>
      <w:r>
        <w:rPr>
          <w:rFonts w:ascii="Calibri" w:cs="Calibri" w:eastAsia="Calibri" w:hAnsi="Calibri"/>
          <w:color w:val="424242"/>
          <w:sz w:val="22"/>
          <w:szCs w:val="22"/>
        </w:rPr>
        <w:t xml:space="preserve">RA Bill computation: system aggregates all MB-approved entries since the previous bill. For each BOQ item: this-bill quantity = cumulative MB quantity to date − quantity billed in previous bills. Gross bill amount for each item = this-bill quantity × BOQ rate. Items summed to gross bill amount.</w:t>
      </w:r>
    </w:p>
    <w:p>
      <w:pPr>
        <w:pStyle w:val="ListParagraph"/>
        <w:numPr>
          <w:ilvl w:val="0"/>
          <w:numId w:val="2"/>
        </w:numPr>
        <w:spacing w:after="45" w:before="45"/>
      </w:pPr>
      <w:r>
        <w:rPr>
          <w:rFonts w:ascii="Calibri" w:cs="Calibri" w:eastAsia="Calibri" w:hAnsi="Calibri"/>
          <w:color w:val="424242"/>
          <w:sz w:val="22"/>
          <w:szCs w:val="22"/>
        </w:rPr>
        <w:t xml:space="preserve">Deductions applied automatically: GST TDS (Section 51 CGST/SGST, 2% each, for notified government bodies), TDS (Section 194C at 1% for individuals, 2% for companies), Retention money (configurable %, typically 5%), Advance recovery (if mobilisation advance was given, recovery % configurable, tracked until fully recovered), Penalty for milestone delay (as per LD clause — computed from delay days × LD rate), any other contractual deductions (labour welfare cess, BOCW cess).</w:t>
      </w:r>
    </w:p>
    <w:p>
      <w:pPr>
        <w:pStyle w:val="ListParagraph"/>
        <w:numPr>
          <w:ilvl w:val="0"/>
          <w:numId w:val="2"/>
        </w:numPr>
        <w:spacing w:after="45" w:before="45"/>
      </w:pPr>
      <w:r>
        <w:rPr>
          <w:rFonts w:ascii="Calibri" w:cs="Calibri" w:eastAsia="Calibri" w:hAnsi="Calibri"/>
          <w:color w:val="424242"/>
          <w:sz w:val="22"/>
          <w:szCs w:val="22"/>
        </w:rPr>
        <w:t xml:space="preserve">Net payable = Gross bill − sum of all deductions. This is the amount transferred to the contractor's bank account on payment.</w:t>
      </w:r>
    </w:p>
    <w:p>
      <w:pPr>
        <w:pStyle w:val="ListParagraph"/>
        <w:numPr>
          <w:ilvl w:val="0"/>
          <w:numId w:val="2"/>
        </w:numPr>
        <w:spacing w:after="45" w:before="45"/>
      </w:pPr>
      <w:r>
        <w:rPr>
          <w:rFonts w:ascii="Calibri" w:cs="Calibri" w:eastAsia="Calibri" w:hAnsi="Calibri"/>
          <w:color w:val="424242"/>
          <w:sz w:val="22"/>
          <w:szCs w:val="22"/>
        </w:rPr>
        <w:t xml:space="preserve">RA Bill PDF: system generates a professionally formatted RA Bill document including the measurement sheets (extracted from MB), deduction schedule, and approval signatures. Format matches the standard PWD/NHAI RA Bill format required for submission.</w:t>
      </w:r>
    </w:p>
    <w:p>
      <w:pPr>
        <w:pStyle w:val="ListParagraph"/>
        <w:numPr>
          <w:ilvl w:val="0"/>
          <w:numId w:val="2"/>
        </w:numPr>
        <w:spacing w:after="45" w:before="45"/>
      </w:pPr>
      <w:r>
        <w:rPr>
          <w:rFonts w:ascii="Calibri" w:cs="Calibri" w:eastAsia="Calibri" w:hAnsi="Calibri"/>
          <w:color w:val="424242"/>
          <w:sz w:val="22"/>
          <w:szCs w:val="22"/>
        </w:rPr>
        <w:t xml:space="preserve">Bill approval chain: Site Engineer → Junior Engineer → Engineer-in-Charge (Division level) → Executive Engineer → Superintending Engineer → Chief Engineer → Finance. Number of levels and authority thresholds configurable. Each level has SLA (default 3 working days). MSME contractors flagged for priority routing. Breach triggers escalation. Final approved bill initiates bank transfer.</w:t>
      </w:r>
    </w:p>
    <w:p>
      <w:pPr>
        <w:pStyle w:val="Heading3"/>
        <w:spacing w:after="80" w:before="200"/>
      </w:pPr>
      <w:r>
        <w:rPr>
          <w:rFonts w:ascii="Calibri" w:cs="Calibri" w:eastAsia="Calibri" w:hAnsi="Calibri"/>
          <w:b/>
          <w:bCs/>
          <w:color w:val="00695C"/>
          <w:sz w:val="24"/>
          <w:szCs w:val="24"/>
        </w:rPr>
        <w:t xml:space="preserve">G2.3  Price Escalation (IEPE)</w:t>
      </w:r>
    </w:p>
    <w:p>
      <w:pPr>
        <w:pStyle w:val="ListParagraph"/>
        <w:numPr>
          <w:ilvl w:val="0"/>
          <w:numId w:val="2"/>
        </w:numPr>
        <w:spacing w:after="45" w:before="45"/>
      </w:pPr>
      <w:r>
        <w:rPr>
          <w:rFonts w:ascii="Calibri" w:cs="Calibri" w:eastAsia="Calibri" w:hAnsi="Calibri"/>
          <w:color w:val="424242"/>
          <w:sz w:val="22"/>
          <w:szCs w:val="22"/>
        </w:rPr>
        <w:t xml:space="preserve">Long-duration contracts (typically 3+ years) include IEPE (Increase in price of Engineering Products and materials) clauses. Standard IEPE formula: Escalation amount = Contract amount × [(Xn − Xo) / Xo] × weightage factor. Where X = relevant price index, n = current period, o = base period (contract award date).</w:t>
      </w:r>
    </w:p>
    <w:p>
      <w:pPr>
        <w:pStyle w:val="ListParagraph"/>
        <w:numPr>
          <w:ilvl w:val="0"/>
          <w:numId w:val="2"/>
        </w:numPr>
        <w:spacing w:after="45" w:before="45"/>
      </w:pPr>
      <w:r>
        <w:rPr>
          <w:rFonts w:ascii="Calibri" w:cs="Calibri" w:eastAsia="Calibri" w:hAnsi="Calibri"/>
          <w:color w:val="424242"/>
          <w:sz w:val="22"/>
          <w:szCs w:val="22"/>
        </w:rPr>
        <w:t xml:space="preserve">Index linkages: bitumen price linked to crude oil price index (published by IOC monthly); steel linked to WPI sub-index for iron and steel; cement linked to WPI sub-index for cement; labour linked to CPI-IW for construction workers; P&amp;M (plant and machinery) linked to WPI for machinery.</w:t>
      </w:r>
    </w:p>
    <w:p>
      <w:pPr>
        <w:pStyle w:val="ListParagraph"/>
        <w:numPr>
          <w:ilvl w:val="0"/>
          <w:numId w:val="2"/>
        </w:numPr>
        <w:spacing w:after="45" w:before="45"/>
      </w:pPr>
      <w:r>
        <w:rPr>
          <w:rFonts w:ascii="Calibri" w:cs="Calibri" w:eastAsia="Calibri" w:hAnsi="Calibri"/>
          <w:color w:val="424242"/>
          <w:sz w:val="22"/>
          <w:szCs w:val="22"/>
        </w:rPr>
        <w:t xml:space="preserve">Automated computation: system fetches index values monthly from RBI DBIE API and DIPP data feeds where available. Where API is unavailable, the index value is manually entered (with source document uploaded). System computes the escalation amount for each component per the IEPE formula and adds it as a separate line item on the RA Bill. Both parties see the same computation — no more disputes over escalation amounts.</w:t>
      </w:r>
    </w:p>
    <w:p>
      <w:pPr>
        <w:pStyle w:val="Heading2"/>
        <w:spacing w:after="120" w:before="280"/>
      </w:pPr>
      <w:r>
        <w:rPr>
          <w:rFonts w:ascii="Calibri" w:cs="Calibri" w:eastAsia="Calibri" w:hAnsi="Calibri"/>
          <w:b/>
          <w:bCs/>
          <w:color w:val="1565C0"/>
          <w:sz w:val="30"/>
          <w:szCs w:val="30"/>
        </w:rPr>
        <w:t xml:space="preserve">G3 — Government-Specific Compliance</w:t>
      </w:r>
    </w:p>
    <w:p>
      <w:pPr>
        <w:pStyle w:val="Heading3"/>
        <w:spacing w:after="80" w:before="200"/>
      </w:pPr>
      <w:r>
        <w:rPr>
          <w:rFonts w:ascii="Calibri" w:cs="Calibri" w:eastAsia="Calibri" w:hAnsi="Calibri"/>
          <w:b/>
          <w:bCs/>
          <w:color w:val="00695C"/>
          <w:sz w:val="24"/>
          <w:szCs w:val="24"/>
        </w:rPr>
        <w:t xml:space="preserve">G3.1  BOCW (Building &amp; Other Construction Workers) Compliance</w:t>
      </w:r>
    </w:p>
    <w:p>
      <w:pPr>
        <w:pStyle w:val="ListParagraph"/>
        <w:numPr>
          <w:ilvl w:val="0"/>
          <w:numId w:val="2"/>
        </w:numPr>
        <w:spacing w:after="45" w:before="45"/>
      </w:pPr>
      <w:r>
        <w:rPr>
          <w:rFonts w:ascii="Calibri" w:cs="Calibri" w:eastAsia="Calibri" w:hAnsi="Calibri"/>
          <w:color w:val="424242"/>
          <w:sz w:val="22"/>
          <w:szCs w:val="22"/>
        </w:rPr>
        <w:t xml:space="preserve">BOCW registration: every construction establishment above Rs 10 Lakh contract value must register under BOCW. Platform tracks registration status, registration certificate upload, and renewal dates for all contractors.</w:t>
      </w:r>
    </w:p>
    <w:p>
      <w:pPr>
        <w:pStyle w:val="ListParagraph"/>
        <w:numPr>
          <w:ilvl w:val="0"/>
          <w:numId w:val="2"/>
        </w:numPr>
        <w:spacing w:after="45" w:before="45"/>
      </w:pPr>
      <w:r>
        <w:rPr>
          <w:rFonts w:ascii="Calibri" w:cs="Calibri" w:eastAsia="Calibri" w:hAnsi="Calibri"/>
          <w:color w:val="424242"/>
          <w:sz w:val="22"/>
          <w:szCs w:val="22"/>
        </w:rPr>
        <w:t xml:space="preserve">Cess computation and tracking: BOCW cess @ 1% of cost of construction (as certified) is payable by the owner/principal employer. Platform computes cess on each RA Bill and tracks cumulative cess due vs paid. Generates the cess assessment form for submission to the BOCW authority.</w:t>
      </w:r>
    </w:p>
    <w:p>
      <w:pPr>
        <w:pStyle w:val="ListParagraph"/>
        <w:numPr>
          <w:ilvl w:val="0"/>
          <w:numId w:val="2"/>
        </w:numPr>
        <w:spacing w:after="45" w:before="45"/>
      </w:pPr>
      <w:r>
        <w:rPr>
          <w:rFonts w:ascii="Calibri" w:cs="Calibri" w:eastAsia="Calibri" w:hAnsi="Calibri"/>
          <w:color w:val="424242"/>
          <w:sz w:val="22"/>
          <w:szCs w:val="22"/>
        </w:rPr>
        <w:t xml:space="preserve">Worker registration: contractors log all construction workers in the platform (name, Aadhaar, trade, BOCW registration number). System tracks: total registered workers, unregistered workers (compliance gap), benefit scheme enrolment (ESIC, EPF, BOCW welfare fund).</w:t>
      </w:r>
    </w:p>
    <w:p>
      <w:pPr>
        <w:pStyle w:val="ListParagraph"/>
        <w:numPr>
          <w:ilvl w:val="0"/>
          <w:numId w:val="2"/>
        </w:numPr>
        <w:spacing w:after="45" w:before="45"/>
      </w:pPr>
      <w:r>
        <w:rPr>
          <w:rFonts w:ascii="Calibri" w:cs="Calibri" w:eastAsia="Calibri" w:hAnsi="Calibri"/>
          <w:color w:val="424242"/>
          <w:sz w:val="22"/>
          <w:szCs w:val="22"/>
        </w:rPr>
        <w:t xml:space="preserve">Annual BOCW return: system generates the annual return (Form 6 / state-equivalent) from accumulated data — number of workers, days worked, wages paid, cess deposited. Ready for submission to state BOCW Authority.</w:t>
      </w:r>
    </w:p>
    <w:p>
      <w:pPr>
        <w:pStyle w:val="Heading3"/>
        <w:spacing w:after="80" w:before="200"/>
      </w:pPr>
      <w:r>
        <w:rPr>
          <w:rFonts w:ascii="Calibri" w:cs="Calibri" w:eastAsia="Calibri" w:hAnsi="Calibri"/>
          <w:b/>
          <w:bCs/>
          <w:color w:val="00695C"/>
          <w:sz w:val="24"/>
          <w:szCs w:val="24"/>
        </w:rPr>
        <w:t xml:space="preserve">G3.2  Chainage-Level Cost &amp; Progress Tracking</w:t>
      </w:r>
    </w:p>
    <w:p>
      <w:pPr>
        <w:pStyle w:val="ListParagraph"/>
        <w:numPr>
          <w:ilvl w:val="0"/>
          <w:numId w:val="2"/>
        </w:numPr>
        <w:spacing w:after="45" w:before="45"/>
      </w:pPr>
      <w:r>
        <w:rPr>
          <w:rFonts w:ascii="Calibri" w:cs="Calibri" w:eastAsia="Calibri" w:hAnsi="Calibri"/>
          <w:color w:val="424242"/>
          <w:sz w:val="22"/>
          <w:szCs w:val="22"/>
        </w:rPr>
        <w:t xml:space="preserve">Every GRN, MB entry, and cost transaction is tagged to a chainage range (road section), a structure number (bridge, culvert), or a defined project zone. For the ORR: every transaction carries a 'CH 22+400 to CH 24+600' or 'Bridge No. 7' tag.</w:t>
      </w:r>
    </w:p>
    <w:p>
      <w:pPr>
        <w:pStyle w:val="ListParagraph"/>
        <w:numPr>
          <w:ilvl w:val="0"/>
          <w:numId w:val="2"/>
        </w:numPr>
        <w:spacing w:after="45" w:before="45"/>
      </w:pPr>
      <w:r>
        <w:rPr>
          <w:rFonts w:ascii="Calibri" w:cs="Calibri" w:eastAsia="Calibri" w:hAnsi="Calibri"/>
          <w:color w:val="424242"/>
          <w:sz w:val="22"/>
          <w:szCs w:val="22"/>
        </w:rPr>
        <w:t xml:space="preserve">Chainage-wise reporting: any report — material cost, labour cost, progress, NCRs, safety incidents — can be filtered and grouped by chainage range. The government audit question 'How much did we spend on km 22 to km 25?' is answered in 3 seconds, not 3 weeks.</w:t>
      </w:r>
    </w:p>
    <w:p>
      <w:pPr>
        <w:pStyle w:val="ListParagraph"/>
        <w:numPr>
          <w:ilvl w:val="0"/>
          <w:numId w:val="2"/>
        </w:numPr>
        <w:spacing w:after="45" w:before="45"/>
      </w:pPr>
      <w:r>
        <w:rPr>
          <w:rFonts w:ascii="Calibri" w:cs="Calibri" w:eastAsia="Calibri" w:hAnsi="Calibri"/>
          <w:color w:val="424242"/>
          <w:sz w:val="22"/>
          <w:szCs w:val="22"/>
        </w:rPr>
        <w:t xml:space="preserve">Package-wise consolidated view: HMDA sees all 4 packages (PKG 1–4) side by side: each package's completion %, cost vs budget, materials on hand, pending RA Bills, and open NCRs — on one screen. One dashboard for 158km of road construction.</w:t>
      </w:r>
    </w:p>
    <w:p>
      <w:pPr>
        <w:pStyle w:val="Heading3"/>
        <w:spacing w:after="80" w:before="200"/>
      </w:pPr>
      <w:r>
        <w:rPr>
          <w:rFonts w:ascii="Calibri" w:cs="Calibri" w:eastAsia="Calibri" w:hAnsi="Calibri"/>
          <w:b/>
          <w:bCs/>
          <w:color w:val="00695C"/>
          <w:sz w:val="24"/>
          <w:szCs w:val="24"/>
        </w:rPr>
        <w:t xml:space="preserve">G3.3  Security Deposit &amp; PBG Tracking</w:t>
      </w:r>
    </w:p>
    <w:p>
      <w:pPr>
        <w:pStyle w:val="ListParagraph"/>
        <w:numPr>
          <w:ilvl w:val="0"/>
          <w:numId w:val="2"/>
        </w:numPr>
        <w:spacing w:after="45" w:before="45"/>
      </w:pPr>
      <w:r>
        <w:rPr>
          <w:rFonts w:ascii="Calibri" w:cs="Calibri" w:eastAsia="Calibri" w:hAnsi="Calibri"/>
          <w:color w:val="424242"/>
          <w:sz w:val="22"/>
          <w:szCs w:val="22"/>
        </w:rPr>
        <w:t xml:space="preserve">Security deposit: amount, mode (cash / FDR / bank guarantee), date received, deductions made, and current balance tracked per contractor. For ORR, 5% of contract value typically.</w:t>
      </w:r>
    </w:p>
    <w:p>
      <w:pPr>
        <w:pStyle w:val="ListParagraph"/>
        <w:numPr>
          <w:ilvl w:val="0"/>
          <w:numId w:val="2"/>
        </w:numPr>
        <w:spacing w:after="45" w:before="45"/>
      </w:pPr>
      <w:r>
        <w:rPr>
          <w:rFonts w:ascii="Calibri" w:cs="Calibri" w:eastAsia="Calibri" w:hAnsi="Calibri"/>
          <w:color w:val="424242"/>
          <w:sz w:val="22"/>
          <w:szCs w:val="22"/>
        </w:rPr>
        <w:t xml:space="preserve">Performance Bank Guarantee (PBG): bank name, guarantee number, issuing branch, amount, validity date, and claim procedure stored for each contractor. System sends alerts 60 and 30 days before PBG expiry. If contractor fails to extend, work suspension notice template auto-generated for the client to issue. PBG tracking is one of the most commonly missed compliance obligations in government contracts.</w:t>
      </w:r>
    </w:p>
    <w:p>
      <w:pPr>
        <w:pStyle w:val="ListParagraph"/>
        <w:numPr>
          <w:ilvl w:val="0"/>
          <w:numId w:val="2"/>
        </w:numPr>
        <w:spacing w:after="45" w:before="45"/>
      </w:pPr>
      <w:r>
        <w:rPr>
          <w:rFonts w:ascii="Calibri" w:cs="Calibri" w:eastAsia="Calibri" w:hAnsi="Calibri"/>
          <w:color w:val="424242"/>
          <w:sz w:val="22"/>
          <w:szCs w:val="22"/>
        </w:rPr>
        <w:t xml:space="preserve">Defect Liability Period (DLP) tracking: DLP starts from Taking Over Certificate date. Duration configurable (typically 12 months for roads). During DLP, defects reported by client are logged and tracked. Contractor must rectify within configurable SLA. Defect rectification completion photo required before the defect is closed. Retention money released only after DLP expiry and final inspection sign-off.</w:t>
      </w:r>
    </w:p>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4 — Vertical 2: Real Estate &amp; Builders</w:t>
      </w:r>
    </w:p>
    <w:p>
      <w:pPr>
        <w:spacing w:after="100" w:before="80"/>
      </w:pPr>
      <w:r>
        <w:rPr>
          <w:rFonts w:ascii="Calibri" w:cs="Calibri" w:eastAsia="Calibri" w:hAnsi="Calibri"/>
          <w:color w:val="424242"/>
          <w:sz w:val="22"/>
          <w:szCs w:val="22"/>
        </w:rPr>
        <w:t xml:space="preserve">A real estate developer building 5 projects simultaneously has the same operational complexity as a government road project — multiple contractors, parallel procurement, quality inspections, and payment management. The core platform covers 70% of the need. The following are the real estate specific additions.</w:t>
      </w:r>
    </w:p>
    <w:p>
      <w:pPr>
        <w:pStyle w:val="Heading2"/>
        <w:spacing w:after="120" w:before="280"/>
      </w:pPr>
      <w:r>
        <w:rPr>
          <w:rFonts w:ascii="Calibri" w:cs="Calibri" w:eastAsia="Calibri" w:hAnsi="Calibri"/>
          <w:b/>
          <w:bCs/>
          <w:color w:val="1565C0"/>
          <w:sz w:val="30"/>
          <w:szCs w:val="30"/>
        </w:rPr>
        <w:t xml:space="preserve">RE1 — Project Structure for Real Estate</w:t>
      </w:r>
    </w:p>
    <w:p>
      <w:pPr>
        <w:pStyle w:val="ListParagraph"/>
        <w:numPr>
          <w:ilvl w:val="0"/>
          <w:numId w:val="2"/>
        </w:numPr>
        <w:spacing w:after="45" w:before="45"/>
      </w:pPr>
      <w:r>
        <w:rPr>
          <w:rFonts w:ascii="Calibri" w:cs="Calibri" w:eastAsia="Calibri" w:hAnsi="Calibri"/>
          <w:color w:val="424242"/>
          <w:sz w:val="22"/>
          <w:szCs w:val="22"/>
        </w:rPr>
        <w:t xml:space="preserve">Project hierarchy: Developer → Project (e.g., 'Prestige Celestia, Hyderabad') → Block / Tower → Floor → Unit (flat, plot, villa, shop). Every cost, progress entry, and quality record is trackable down to the unit level.</w:t>
      </w:r>
    </w:p>
    <w:p>
      <w:pPr>
        <w:pStyle w:val="ListParagraph"/>
        <w:numPr>
          <w:ilvl w:val="0"/>
          <w:numId w:val="2"/>
        </w:numPr>
        <w:spacing w:after="45" w:before="45"/>
      </w:pPr>
      <w:r>
        <w:rPr>
          <w:rFonts w:ascii="Calibri" w:cs="Calibri" w:eastAsia="Calibri" w:hAnsi="Calibri"/>
          <w:color w:val="424242"/>
          <w:sz w:val="22"/>
          <w:szCs w:val="22"/>
        </w:rPr>
        <w:t xml:space="preserve">Multiple project dashboard: developer MD sees all active projects — 5 towers in Hyderabad, 3 in Bangalore, 2 in Pune — on one screen. Project-level progress, cost, and contractor status side by side. Drill down to any project with one click.</w:t>
      </w:r>
    </w:p>
    <w:p>
      <w:pPr>
        <w:pStyle w:val="ListParagraph"/>
        <w:numPr>
          <w:ilvl w:val="0"/>
          <w:numId w:val="2"/>
        </w:numPr>
        <w:spacing w:after="45" w:before="45"/>
      </w:pPr>
      <w:r>
        <w:rPr>
          <w:rFonts w:ascii="Calibri" w:cs="Calibri" w:eastAsia="Calibri" w:hAnsi="Calibri"/>
          <w:color w:val="424242"/>
          <w:sz w:val="22"/>
          <w:szCs w:val="22"/>
        </w:rPr>
        <w:t xml:space="preserve">Contractor structure: main civil contractor, MEP (mechanical, electrical, plumbing) contractor, finishing contractor (tile, paint, woodwork), landscaping contractor, and lift/elevator supplier — all managed in the platform with separate work orders, progress tracking, and billing.</w:t>
      </w:r>
    </w:p>
    <w:p>
      <w:pPr>
        <w:pStyle w:val="Heading2"/>
        <w:spacing w:after="120" w:before="280"/>
      </w:pPr>
      <w:r>
        <w:rPr>
          <w:rFonts w:ascii="Calibri" w:cs="Calibri" w:eastAsia="Calibri" w:hAnsi="Calibri"/>
          <w:b/>
          <w:bCs/>
          <w:color w:val="1565C0"/>
          <w:sz w:val="30"/>
          <w:szCs w:val="30"/>
        </w:rPr>
        <w:t xml:space="preserve">RE2 — RERA Compliance Module</w:t>
      </w:r>
    </w:p>
    <w:p>
      <w:pPr>
        <w:pStyle w:val="ListParagraph"/>
        <w:numPr>
          <w:ilvl w:val="0"/>
          <w:numId w:val="2"/>
        </w:numPr>
        <w:spacing w:after="45" w:before="45"/>
      </w:pPr>
      <w:r>
        <w:rPr>
          <w:rFonts w:ascii="Calibri" w:cs="Calibri" w:eastAsia="Calibri" w:hAnsi="Calibri"/>
          <w:color w:val="424242"/>
          <w:sz w:val="22"/>
          <w:szCs w:val="22"/>
        </w:rPr>
        <w:t xml:space="preserve">Project RERA registration: RERA registration number, registration date, project end date, and quarterly update submission schedule stored. System auto-generates reminders for quarterly RERA update filings.</w:t>
      </w:r>
    </w:p>
    <w:p>
      <w:pPr>
        <w:pStyle w:val="ListParagraph"/>
        <w:numPr>
          <w:ilvl w:val="0"/>
          <w:numId w:val="2"/>
        </w:numPr>
        <w:spacing w:after="45" w:before="45"/>
      </w:pPr>
      <w:r>
        <w:rPr>
          <w:rFonts w:ascii="Calibri" w:cs="Calibri" w:eastAsia="Calibri" w:hAnsi="Calibri"/>
          <w:color w:val="424242"/>
          <w:sz w:val="22"/>
          <w:szCs w:val="22"/>
        </w:rPr>
        <w:t xml:space="preserve">RERA milestone tracker: projects registered under RERA must report progress against declared milestones to the state authority. Platform tracks declared milestones (foundation completion, slab casting, finishing works, OC application) against actual progress from DPR data. Generates the RERA quarterly report automatically.</w:t>
      </w:r>
    </w:p>
    <w:p>
      <w:pPr>
        <w:pStyle w:val="ListParagraph"/>
        <w:numPr>
          <w:ilvl w:val="0"/>
          <w:numId w:val="2"/>
        </w:numPr>
        <w:spacing w:after="45" w:before="45"/>
      </w:pPr>
      <w:r>
        <w:rPr>
          <w:rFonts w:ascii="Calibri" w:cs="Calibri" w:eastAsia="Calibri" w:hAnsi="Calibri"/>
          <w:color w:val="424242"/>
          <w:sz w:val="22"/>
          <w:szCs w:val="22"/>
        </w:rPr>
        <w:t xml:space="preserve">RERA escrow compliance: developers must maintain 70% of collected buyer funds in a RERA escrow account usable only for the project. Platform tracks inflows from buyers and outflows for construction expenditure. Generates the escrow utilisation statement required for RERA reporting.</w:t>
      </w:r>
    </w:p>
    <w:p>
      <w:pPr>
        <w:pStyle w:val="ListParagraph"/>
        <w:numPr>
          <w:ilvl w:val="0"/>
          <w:numId w:val="2"/>
        </w:numPr>
        <w:spacing w:after="45" w:before="45"/>
      </w:pPr>
      <w:r>
        <w:rPr>
          <w:rFonts w:ascii="Calibri" w:cs="Calibri" w:eastAsia="Calibri" w:hAnsi="Calibri"/>
          <w:color w:val="424242"/>
          <w:sz w:val="22"/>
          <w:szCs w:val="22"/>
        </w:rPr>
        <w:t xml:space="preserve">RERA defaulter alert: if declared milestone is not achieved by the committed date, system alerts the developer's compliance team. RERA penalty calculation (interest on delay, as per state RERA rules) shown. Gives developer 30 days notice to update RERA portal before penalty accrues.</w:t>
      </w:r>
    </w:p>
    <w:p>
      <w:pPr>
        <w:pStyle w:val="Heading2"/>
        <w:spacing w:after="120" w:before="280"/>
      </w:pPr>
      <w:r>
        <w:rPr>
          <w:rFonts w:ascii="Calibri" w:cs="Calibri" w:eastAsia="Calibri" w:hAnsi="Calibri"/>
          <w:b/>
          <w:bCs/>
          <w:color w:val="1565C0"/>
          <w:sz w:val="30"/>
          <w:szCs w:val="30"/>
        </w:rPr>
        <w:t xml:space="preserve">RE3 — Unit-Wise Billing &amp; Cost Allocation</w:t>
      </w:r>
    </w:p>
    <w:p>
      <w:pPr>
        <w:pStyle w:val="ListParagraph"/>
        <w:numPr>
          <w:ilvl w:val="0"/>
          <w:numId w:val="2"/>
        </w:numPr>
        <w:spacing w:after="45" w:before="45"/>
      </w:pPr>
      <w:r>
        <w:rPr>
          <w:rFonts w:ascii="Calibri" w:cs="Calibri" w:eastAsia="Calibri" w:hAnsi="Calibri"/>
          <w:color w:val="424242"/>
          <w:sz w:val="22"/>
          <w:szCs w:val="22"/>
        </w:rPr>
        <w:t xml:space="preserve">Every cost (material, labour, sub-contractor bill) is allocated to specific units at the time of entry. Cost of the lobby floor finishing is allocated to all units on those floors pro-rata. Cost of a specific bedroom's woodwork is allocated to that flat directly.</w:t>
      </w:r>
    </w:p>
    <w:p>
      <w:pPr>
        <w:pStyle w:val="ListParagraph"/>
        <w:numPr>
          <w:ilvl w:val="0"/>
          <w:numId w:val="2"/>
        </w:numPr>
        <w:spacing w:after="45" w:before="45"/>
      </w:pPr>
      <w:r>
        <w:rPr>
          <w:rFonts w:ascii="Calibri" w:cs="Calibri" w:eastAsia="Calibri" w:hAnsi="Calibri"/>
          <w:color w:val="424242"/>
          <w:sz w:val="22"/>
          <w:szCs w:val="22"/>
        </w:rPr>
        <w:t xml:space="preserve">Unit-wise cost dashboard: for each flat/unit — how much has been spent, how much is budgeted, what is the current progress percentage. Useful for revenue recognition accounting and for buyer queries ('how much of my flat is built?').</w:t>
      </w:r>
    </w:p>
    <w:p>
      <w:pPr>
        <w:pStyle w:val="ListParagraph"/>
        <w:numPr>
          <w:ilvl w:val="0"/>
          <w:numId w:val="2"/>
        </w:numPr>
        <w:spacing w:after="45" w:before="45"/>
      </w:pPr>
      <w:r>
        <w:rPr>
          <w:rFonts w:ascii="Calibri" w:cs="Calibri" w:eastAsia="Calibri" w:hAnsi="Calibri"/>
          <w:color w:val="424242"/>
          <w:sz w:val="22"/>
          <w:szCs w:val="22"/>
        </w:rPr>
        <w:t xml:space="preserve">Stage-wise payment billing: sub-contractor bills are raised on completion of defined stages (slab casting, brickwork, plastering, tiling, painting). Each stage billing requires: physical inspection sign-off, quality checklist completion, and photographic evidence. System enforces this sequence — bill cannot proceed without the stage inspection.</w:t>
      </w:r>
    </w:p>
    <w:p>
      <w:pPr>
        <w:pStyle w:val="Heading2"/>
        <w:spacing w:after="120" w:before="280"/>
      </w:pPr>
      <w:r>
        <w:rPr>
          <w:rFonts w:ascii="Calibri" w:cs="Calibri" w:eastAsia="Calibri" w:hAnsi="Calibri"/>
          <w:b/>
          <w:bCs/>
          <w:color w:val="1565C0"/>
          <w:sz w:val="30"/>
          <w:szCs w:val="30"/>
        </w:rPr>
        <w:t xml:space="preserve">RE4 — Buyer-Facing Progress Portal</w:t>
      </w:r>
    </w:p>
    <w:p>
      <w:pPr>
        <w:pStyle w:val="ListParagraph"/>
        <w:numPr>
          <w:ilvl w:val="0"/>
          <w:numId w:val="2"/>
        </w:numPr>
        <w:spacing w:after="45" w:before="45"/>
      </w:pPr>
      <w:r>
        <w:rPr>
          <w:rFonts w:ascii="Calibri" w:cs="Calibri" w:eastAsia="Calibri" w:hAnsi="Calibri"/>
          <w:color w:val="424242"/>
          <w:sz w:val="22"/>
          <w:szCs w:val="22"/>
        </w:rPr>
        <w:t xml:space="preserve">Each buyer (who has booked a unit) receives login credentials to a buyer portal. They can see: their unit's current construction stage (with photos from the last site DPR that covers their floor), the overall project progress percentage, RERA-reported milestones, and any delays with the developer's explanation.</w:t>
      </w:r>
    </w:p>
    <w:p>
      <w:pPr>
        <w:pStyle w:val="ListParagraph"/>
        <w:numPr>
          <w:ilvl w:val="0"/>
          <w:numId w:val="2"/>
        </w:numPr>
        <w:spacing w:after="45" w:before="45"/>
      </w:pPr>
      <w:r>
        <w:rPr>
          <w:rFonts w:ascii="Calibri" w:cs="Calibri" w:eastAsia="Calibri" w:hAnsi="Calibri"/>
          <w:color w:val="424242"/>
          <w:sz w:val="22"/>
          <w:szCs w:val="22"/>
        </w:rPr>
        <w:t xml:space="preserve">This is a powerful customer satisfaction and trust tool — buyers stop calling the sales team asking for updates. It also reduces 'delay dispute' risk because all progress is transparently documented.</w:t>
      </w:r>
    </w:p>
    <w:p>
      <w:pPr>
        <w:pStyle w:val="ListParagraph"/>
        <w:numPr>
          <w:ilvl w:val="0"/>
          <w:numId w:val="2"/>
        </w:numPr>
        <w:spacing w:after="45" w:before="45"/>
      </w:pPr>
      <w:r>
        <w:rPr>
          <w:rFonts w:ascii="Calibri" w:cs="Calibri" w:eastAsia="Calibri" w:hAnsi="Calibri"/>
          <w:color w:val="424242"/>
          <w:sz w:val="22"/>
          <w:szCs w:val="22"/>
        </w:rPr>
        <w:t xml:space="preserve">Buyer demand letter: when a construction milestone is achieved, system auto-generates a demand letter to the buyer for the next installment (as per the payment plan). Developer sends from the portal — buyer receives email and portal notification.</w:t>
      </w:r>
    </w:p>
    <w:p>
      <w:pPr>
        <w:pStyle w:val="Heading2"/>
        <w:spacing w:after="120" w:before="280"/>
      </w:pPr>
      <w:r>
        <w:rPr>
          <w:rFonts w:ascii="Calibri" w:cs="Calibri" w:eastAsia="Calibri" w:hAnsi="Calibri"/>
          <w:b/>
          <w:bCs/>
          <w:color w:val="1565C0"/>
          <w:sz w:val="30"/>
          <w:szCs w:val="30"/>
        </w:rPr>
        <w:t xml:space="preserve">RE5 — Handover &amp; OC/CC Management</w:t>
      </w:r>
    </w:p>
    <w:p>
      <w:pPr>
        <w:pStyle w:val="ListParagraph"/>
        <w:numPr>
          <w:ilvl w:val="0"/>
          <w:numId w:val="2"/>
        </w:numPr>
        <w:spacing w:after="45" w:before="45"/>
      </w:pPr>
      <w:r>
        <w:rPr>
          <w:rFonts w:ascii="Calibri" w:cs="Calibri" w:eastAsia="Calibri" w:hAnsi="Calibri"/>
          <w:color w:val="424242"/>
          <w:sz w:val="22"/>
          <w:szCs w:val="22"/>
        </w:rPr>
        <w:t xml:space="preserve">Pre-handover snag list: when a unit is ready, a joint inspection is scheduled. Snags are logged in the system with photo, location (room, wall), description, and responsible contractor. Contractor rectifies; snag is re-inspected and closed. Unit cannot be handed over until all critical snags are closed.</w:t>
      </w:r>
    </w:p>
    <w:p>
      <w:pPr>
        <w:pStyle w:val="ListParagraph"/>
        <w:numPr>
          <w:ilvl w:val="0"/>
          <w:numId w:val="2"/>
        </w:numPr>
        <w:spacing w:after="45" w:before="45"/>
      </w:pPr>
      <w:r>
        <w:rPr>
          <w:rFonts w:ascii="Calibri" w:cs="Calibri" w:eastAsia="Calibri" w:hAnsi="Calibri"/>
          <w:color w:val="424242"/>
          <w:sz w:val="22"/>
          <w:szCs w:val="22"/>
        </w:rPr>
        <w:t xml:space="preserve">Occupancy Certificate (OC) / Completion Certificate (CC) tracking: OC application date, inspection schedule, pending documents checklist, and issuance date tracked. System ensures OC is received before physical possession is given to buyers (a common compliance gap).</w:t>
      </w:r>
    </w:p>
    <w:p>
      <w:pPr>
        <w:pStyle w:val="ListParagraph"/>
        <w:numPr>
          <w:ilvl w:val="0"/>
          <w:numId w:val="2"/>
        </w:numPr>
        <w:spacing w:after="45" w:before="45"/>
      </w:pPr>
      <w:r>
        <w:rPr>
          <w:rFonts w:ascii="Calibri" w:cs="Calibri" w:eastAsia="Calibri" w:hAnsi="Calibri"/>
          <w:color w:val="424242"/>
          <w:sz w:val="22"/>
          <w:szCs w:val="22"/>
        </w:rPr>
        <w:t xml:space="preserve">Flat handover checklist: digital checklist on mobile — room-by-room, item-by-item (switches, taps, windows, paint, tiles, doors, fixtures). Buyer and developer representative both sign digitally on the handover document generated by the system.</w:t>
      </w:r>
    </w:p>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5 — Vertical 3: Manufacturing &amp; Supply Chain</w:t>
      </w:r>
    </w:p>
    <w:p>
      <w:pPr>
        <w:spacing w:after="100" w:before="80"/>
      </w:pPr>
      <w:r>
        <w:rPr>
          <w:rFonts w:ascii="Calibri" w:cs="Calibri" w:eastAsia="Calibri" w:hAnsi="Calibri"/>
          <w:color w:val="424242"/>
          <w:sz w:val="22"/>
          <w:szCs w:val="22"/>
        </w:rPr>
        <w:t xml:space="preserve">A multi-plant manufacturer has vendor management, procurement, quality control, and financial controls needs that map closely to the core platform. The following are the manufacturing-specific additions.</w:t>
      </w:r>
    </w:p>
    <w:p>
      <w:pPr>
        <w:pStyle w:val="Heading2"/>
        <w:spacing w:after="120" w:before="280"/>
      </w:pPr>
      <w:r>
        <w:rPr>
          <w:rFonts w:ascii="Calibri" w:cs="Calibri" w:eastAsia="Calibri" w:hAnsi="Calibri"/>
          <w:b/>
          <w:bCs/>
          <w:color w:val="1565C0"/>
          <w:sz w:val="30"/>
          <w:szCs w:val="30"/>
        </w:rPr>
        <w:t xml:space="preserve">MFG1 — Bill of Materials (BOM) Management</w:t>
      </w:r>
    </w:p>
    <w:p>
      <w:pPr>
        <w:pStyle w:val="ListParagraph"/>
        <w:numPr>
          <w:ilvl w:val="0"/>
          <w:numId w:val="2"/>
        </w:numPr>
        <w:spacing w:after="45" w:before="45"/>
      </w:pPr>
      <w:r>
        <w:rPr>
          <w:rFonts w:ascii="Calibri" w:cs="Calibri" w:eastAsia="Calibri" w:hAnsi="Calibri"/>
          <w:color w:val="424242"/>
          <w:sz w:val="22"/>
          <w:szCs w:val="22"/>
        </w:rPr>
        <w:t xml:space="preserve">Multi-level BOM: finished product → sub-assemblies → components → raw materials. BOM can have 5–10 levels for complex products (automotive, electronics). BOM versioning: every change to a BOM creates a new version. Old BOM version remains linked to production orders raised against it — no retroactive changes.</w:t>
      </w:r>
    </w:p>
    <w:p>
      <w:pPr>
        <w:pStyle w:val="ListParagraph"/>
        <w:numPr>
          <w:ilvl w:val="0"/>
          <w:numId w:val="2"/>
        </w:numPr>
        <w:spacing w:after="45" w:before="45"/>
      </w:pPr>
      <w:r>
        <w:rPr>
          <w:rFonts w:ascii="Calibri" w:cs="Calibri" w:eastAsia="Calibri" w:hAnsi="Calibri"/>
          <w:color w:val="424242"/>
          <w:sz w:val="22"/>
          <w:szCs w:val="22"/>
        </w:rPr>
        <w:t xml:space="preserve">BOM explosion: when a production order is raised for 1,000 units of Product A, system automatically explodes the BOM and generates material requirements for every raw material and component at every level. Material requirements planning (MRP) shows: what is needed, how much, by when, and whether current inventory is sufficient.</w:t>
      </w:r>
    </w:p>
    <w:p>
      <w:pPr>
        <w:pStyle w:val="ListParagraph"/>
        <w:numPr>
          <w:ilvl w:val="0"/>
          <w:numId w:val="2"/>
        </w:numPr>
        <w:spacing w:after="45" w:before="45"/>
      </w:pPr>
      <w:r>
        <w:rPr>
          <w:rFonts w:ascii="Calibri" w:cs="Calibri" w:eastAsia="Calibri" w:hAnsi="Calibri"/>
          <w:color w:val="424242"/>
          <w:sz w:val="22"/>
          <w:szCs w:val="22"/>
        </w:rPr>
        <w:t xml:space="preserve">Standard vs actual cost: BOM carries standard cost per component. Actual procurement cost from POs is tracked against standard. Variance (standard vs actual) reported per production order — the basis for cost variance analysis.</w:t>
      </w:r>
    </w:p>
    <w:p>
      <w:pPr>
        <w:pStyle w:val="Heading2"/>
        <w:spacing w:after="120" w:before="280"/>
      </w:pPr>
      <w:r>
        <w:rPr>
          <w:rFonts w:ascii="Calibri" w:cs="Calibri" w:eastAsia="Calibri" w:hAnsi="Calibri"/>
          <w:b/>
          <w:bCs/>
          <w:color w:val="1565C0"/>
          <w:sz w:val="30"/>
          <w:szCs w:val="30"/>
        </w:rPr>
        <w:t xml:space="preserve">MFG2 — Production Order Management</w:t>
      </w:r>
    </w:p>
    <w:p>
      <w:pPr>
        <w:pStyle w:val="ListParagraph"/>
        <w:numPr>
          <w:ilvl w:val="0"/>
          <w:numId w:val="2"/>
        </w:numPr>
        <w:spacing w:after="45" w:before="45"/>
      </w:pPr>
      <w:r>
        <w:rPr>
          <w:rFonts w:ascii="Calibri" w:cs="Calibri" w:eastAsia="Calibri" w:hAnsi="Calibri"/>
          <w:color w:val="424242"/>
          <w:sz w:val="22"/>
          <w:szCs w:val="22"/>
        </w:rPr>
        <w:t xml:space="preserve">Production order raised by production planning team: product, quantity, required-by date, plant, production line. System checks: BOM available? Raw materials in stock at required quantity? Machine capacity free on that line? Flags any constraint.</w:t>
      </w:r>
    </w:p>
    <w:p>
      <w:pPr>
        <w:pStyle w:val="ListParagraph"/>
        <w:numPr>
          <w:ilvl w:val="0"/>
          <w:numId w:val="2"/>
        </w:numPr>
        <w:spacing w:after="45" w:before="45"/>
      </w:pPr>
      <w:r>
        <w:rPr>
          <w:rFonts w:ascii="Calibri" w:cs="Calibri" w:eastAsia="Calibri" w:hAnsi="Calibri"/>
          <w:color w:val="424242"/>
          <w:sz w:val="22"/>
          <w:szCs w:val="22"/>
        </w:rPr>
        <w:t xml:space="preserve">Work-in-progress (WIP) tracking: production order progresses through configurable production stages (e.g., Casting → Machining → Heat treatment → Assembly → Inspection → Despatch). Each stage completion logged by the production supervisor on mobile with quantity and timestamp.</w:t>
      </w:r>
    </w:p>
    <w:p>
      <w:pPr>
        <w:pStyle w:val="ListParagraph"/>
        <w:numPr>
          <w:ilvl w:val="0"/>
          <w:numId w:val="2"/>
        </w:numPr>
        <w:spacing w:after="45" w:before="45"/>
      </w:pPr>
      <w:r>
        <w:rPr>
          <w:rFonts w:ascii="Calibri" w:cs="Calibri" w:eastAsia="Calibri" w:hAnsi="Calibri"/>
          <w:color w:val="424242"/>
          <w:sz w:val="22"/>
          <w:szCs w:val="22"/>
        </w:rPr>
        <w:t xml:space="preserve">Plant vs target dashboard: each production line shows planned vs actual output for the shift, day, week, and month. OEE (Overall Equipment Effectiveness) computed from production, availability, and quality data. Displayed per machine and per plant.</w:t>
      </w:r>
    </w:p>
    <w:p>
      <w:pPr>
        <w:pStyle w:val="ListParagraph"/>
        <w:numPr>
          <w:ilvl w:val="0"/>
          <w:numId w:val="2"/>
        </w:numPr>
        <w:spacing w:after="45" w:before="45"/>
      </w:pPr>
      <w:r>
        <w:rPr>
          <w:rFonts w:ascii="Calibri" w:cs="Calibri" w:eastAsia="Calibri" w:hAnsi="Calibri"/>
          <w:color w:val="424242"/>
          <w:sz w:val="22"/>
          <w:szCs w:val="22"/>
        </w:rPr>
        <w:t xml:space="preserve">Scrap and rework tracking: scrap generated at each production stage is logged with cause code (material defect, operator error, machine breakdown, design issue). Rework quantity and time logged separately. Scrap % per product per stage tracked over time — basis for quality improvement.</w:t>
      </w:r>
    </w:p>
    <w:p>
      <w:pPr>
        <w:pStyle w:val="Heading2"/>
        <w:spacing w:after="120" w:before="280"/>
      </w:pPr>
      <w:r>
        <w:rPr>
          <w:rFonts w:ascii="Calibri" w:cs="Calibri" w:eastAsia="Calibri" w:hAnsi="Calibri"/>
          <w:b/>
          <w:bCs/>
          <w:color w:val="1565C0"/>
          <w:sz w:val="30"/>
          <w:szCs w:val="30"/>
        </w:rPr>
        <w:t xml:space="preserve">MFG3 — Incoming Quality Control (IQC)</w:t>
      </w:r>
    </w:p>
    <w:p>
      <w:pPr>
        <w:pStyle w:val="ListParagraph"/>
        <w:numPr>
          <w:ilvl w:val="0"/>
          <w:numId w:val="2"/>
        </w:numPr>
        <w:spacing w:after="45" w:before="45"/>
      </w:pPr>
      <w:r>
        <w:rPr>
          <w:rFonts w:ascii="Calibri" w:cs="Calibri" w:eastAsia="Calibri" w:hAnsi="Calibri"/>
          <w:color w:val="424242"/>
          <w:sz w:val="22"/>
          <w:szCs w:val="22"/>
        </w:rPr>
        <w:t xml:space="preserve">Inspection plan per raw material: sampling plan (AQL level, sample size), inspection parameters, acceptable limits, and test methods. Sampling can be 100% (100% inspection), statistical (ANSI/ASQ Z1.4 sampling table), or skip-lot (for established approved suppliers with clean history).</w:t>
      </w:r>
    </w:p>
    <w:p>
      <w:pPr>
        <w:pStyle w:val="ListParagraph"/>
        <w:numPr>
          <w:ilvl w:val="0"/>
          <w:numId w:val="2"/>
        </w:numPr>
        <w:spacing w:after="45" w:before="45"/>
      </w:pPr>
      <w:r>
        <w:rPr>
          <w:rFonts w:ascii="Calibri" w:cs="Calibri" w:eastAsia="Calibri" w:hAnsi="Calibri"/>
          <w:color w:val="424242"/>
          <w:sz w:val="22"/>
          <w:szCs w:val="22"/>
        </w:rPr>
        <w:t xml:space="preserve">IQC result entry on mobile: inspector enters measurements for each parameter against each sample piece. System computes acceptance/rejection based on AQL and configured limits. Accept, Reject, or Conditional Accept (use with concession) outcome recorded with digital signature.</w:t>
      </w:r>
    </w:p>
    <w:p>
      <w:pPr>
        <w:pStyle w:val="ListParagraph"/>
        <w:numPr>
          <w:ilvl w:val="0"/>
          <w:numId w:val="2"/>
        </w:numPr>
        <w:spacing w:after="45" w:before="45"/>
      </w:pPr>
      <w:r>
        <w:rPr>
          <w:rFonts w:ascii="Calibri" w:cs="Calibri" w:eastAsia="Calibri" w:hAnsi="Calibri"/>
          <w:color w:val="424242"/>
          <w:sz w:val="22"/>
          <w:szCs w:val="22"/>
        </w:rPr>
        <w:t xml:space="preserve">PPAP management: for automotive and aerospace suppliers, Production Part Approval Process (PPAP) documents required from suppliers before their parts can be used in production. System tracks PPAP submission, review, and approval per part per supplier.</w:t>
      </w:r>
    </w:p>
    <w:p>
      <w:pPr>
        <w:pStyle w:val="ListParagraph"/>
        <w:numPr>
          <w:ilvl w:val="0"/>
          <w:numId w:val="2"/>
        </w:numPr>
        <w:spacing w:after="45" w:before="45"/>
      </w:pPr>
      <w:r>
        <w:rPr>
          <w:rFonts w:ascii="Calibri" w:cs="Calibri" w:eastAsia="Calibri" w:hAnsi="Calibri"/>
          <w:color w:val="424242"/>
          <w:sz w:val="22"/>
          <w:szCs w:val="22"/>
        </w:rPr>
        <w:t xml:space="preserve">Supplier quality scorecard: monthly score per supplier based on: delivery on time % (30%), quantity acceptance rate % (35%), PPAP / quality system score (20%), responsiveness to NCRs (15%). Scorecard auto-distributed to supplier monthly. Scorecard trend drives sourcing decisions.</w:t>
      </w:r>
    </w:p>
    <w:p>
      <w:pPr>
        <w:pStyle w:val="Heading2"/>
        <w:spacing w:after="120" w:before="280"/>
      </w:pPr>
      <w:r>
        <w:rPr>
          <w:rFonts w:ascii="Calibri" w:cs="Calibri" w:eastAsia="Calibri" w:hAnsi="Calibri"/>
          <w:b/>
          <w:bCs/>
          <w:color w:val="1565C0"/>
          <w:sz w:val="30"/>
          <w:szCs w:val="30"/>
        </w:rPr>
        <w:t xml:space="preserve">MFG4 — Dispatch &amp; Logistics Management</w:t>
      </w:r>
    </w:p>
    <w:p>
      <w:pPr>
        <w:pStyle w:val="ListParagraph"/>
        <w:numPr>
          <w:ilvl w:val="0"/>
          <w:numId w:val="2"/>
        </w:numPr>
        <w:spacing w:after="45" w:before="45"/>
      </w:pPr>
      <w:r>
        <w:rPr>
          <w:rFonts w:ascii="Calibri" w:cs="Calibri" w:eastAsia="Calibri" w:hAnsi="Calibri"/>
          <w:color w:val="424242"/>
          <w:sz w:val="22"/>
          <w:szCs w:val="22"/>
        </w:rPr>
        <w:t xml:space="preserve">Dispatch order: raised against a customer purchase order. Specifies: finished goods, quantity, customer, delivery address, required delivery date, mode of transport, and special handling instructions.</w:t>
      </w:r>
    </w:p>
    <w:p>
      <w:pPr>
        <w:pStyle w:val="ListParagraph"/>
        <w:numPr>
          <w:ilvl w:val="0"/>
          <w:numId w:val="2"/>
        </w:numPr>
        <w:spacing w:after="45" w:before="45"/>
      </w:pPr>
      <w:r>
        <w:rPr>
          <w:rFonts w:ascii="Calibri" w:cs="Calibri" w:eastAsia="Calibri" w:hAnsi="Calibri"/>
          <w:color w:val="424242"/>
          <w:sz w:val="22"/>
          <w:szCs w:val="22"/>
        </w:rPr>
        <w:t xml:space="preserve">Picking list and packing list: system generates picking list for warehouse (which bins, which batches to pick in FIFO order). Packing list generated for shipment — shows contents, batch numbers, weights, dimensions. E-way bill data pre-populated from system.</w:t>
      </w:r>
    </w:p>
    <w:p>
      <w:pPr>
        <w:pStyle w:val="ListParagraph"/>
        <w:numPr>
          <w:ilvl w:val="0"/>
          <w:numId w:val="2"/>
        </w:numPr>
        <w:spacing w:after="45" w:before="45"/>
      </w:pPr>
      <w:r>
        <w:rPr>
          <w:rFonts w:ascii="Calibri" w:cs="Calibri" w:eastAsia="Calibri" w:hAnsi="Calibri"/>
          <w:color w:val="424242"/>
          <w:sz w:val="22"/>
          <w:szCs w:val="22"/>
        </w:rPr>
        <w:t xml:space="preserve">Shipment tracking: vehicle number, driver details, transporter, departure time, and GPS tracking link (if integrated with transporter's GPS) logged against each dispatch. Customer can be sent a delivery tracking link.</w:t>
      </w:r>
    </w:p>
    <w:p>
      <w:pPr>
        <w:pStyle w:val="ListParagraph"/>
        <w:numPr>
          <w:ilvl w:val="0"/>
          <w:numId w:val="2"/>
        </w:numPr>
        <w:spacing w:after="45" w:before="45"/>
      </w:pPr>
      <w:r>
        <w:rPr>
          <w:rFonts w:ascii="Calibri" w:cs="Calibri" w:eastAsia="Calibri" w:hAnsi="Calibri"/>
          <w:color w:val="424242"/>
          <w:sz w:val="22"/>
          <w:szCs w:val="22"/>
        </w:rPr>
        <w:t xml:space="preserve">Proof of delivery (POD): driver captures customer's digital signature on mobile app on delivery. POD uploaded to system. POD is the trigger for customer invoice generation and payment clock start.</w:t>
      </w:r>
    </w:p>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6 — Vertical 4: Retail Franchise Chains</w:t>
      </w:r>
    </w:p>
    <w:p>
      <w:pPr>
        <w:spacing w:after="100" w:before="80"/>
      </w:pPr>
      <w:r>
        <w:rPr>
          <w:rFonts w:ascii="Calibri" w:cs="Calibri" w:eastAsia="Calibri" w:hAnsi="Calibri"/>
          <w:color w:val="424242"/>
          <w:sz w:val="22"/>
          <w:szCs w:val="22"/>
        </w:rPr>
        <w:t xml:space="preserve">A franchise chain with 200–2,000 outlets has a fundamentally different operational challenge: ensuring that every outlet complies with brand standards, uses approved suppliers, maintains quality, and reports accurately — across a geographically dispersed network. The core platform maps directly; the following are franchise-specific additions.</w:t>
      </w:r>
    </w:p>
    <w:p>
      <w:pPr>
        <w:pStyle w:val="Heading2"/>
        <w:spacing w:after="120" w:before="280"/>
      </w:pPr>
      <w:r>
        <w:rPr>
          <w:rFonts w:ascii="Calibri" w:cs="Calibri" w:eastAsia="Calibri" w:hAnsi="Calibri"/>
          <w:b/>
          <w:bCs/>
          <w:color w:val="1565C0"/>
          <w:sz w:val="30"/>
          <w:szCs w:val="30"/>
        </w:rPr>
        <w:t xml:space="preserve">FR1 — Outlet Management</w:t>
      </w:r>
    </w:p>
    <w:p>
      <w:pPr>
        <w:pStyle w:val="ListParagraph"/>
        <w:numPr>
          <w:ilvl w:val="0"/>
          <w:numId w:val="2"/>
        </w:numPr>
        <w:spacing w:after="45" w:before="45"/>
      </w:pPr>
      <w:r>
        <w:rPr>
          <w:rFonts w:ascii="Calibri" w:cs="Calibri" w:eastAsia="Calibri" w:hAnsi="Calibri"/>
          <w:color w:val="424242"/>
          <w:sz w:val="22"/>
          <w:szCs w:val="22"/>
        </w:rPr>
        <w:t xml:space="preserve">Outlet profile: name, location (with GIS coordinates), territory, franchisee owner details, outlet type (company-owned, franchisee-owned, dealer), area in square feet, team size, operational since date, and licence/approval status (FSSAI, local body licence, fire NOC, etc.).</w:t>
      </w:r>
    </w:p>
    <w:p>
      <w:pPr>
        <w:pStyle w:val="ListParagraph"/>
        <w:numPr>
          <w:ilvl w:val="0"/>
          <w:numId w:val="2"/>
        </w:numPr>
        <w:spacing w:after="45" w:before="45"/>
      </w:pPr>
      <w:r>
        <w:rPr>
          <w:rFonts w:ascii="Calibri" w:cs="Calibri" w:eastAsia="Calibri" w:hAnsi="Calibri"/>
          <w:color w:val="424242"/>
          <w:sz w:val="22"/>
          <w:szCs w:val="22"/>
        </w:rPr>
        <w:t xml:space="preserve">Outlet health score: composite score computed monthly from: compliance audit score (30%), procurement adherence % (25%), sales target achievement (20%), customer complaint rate (15%), staff training compliance (10%). Score drives the Head Office's attention — low-scoring outlets get more frequent audits.</w:t>
      </w:r>
    </w:p>
    <w:p>
      <w:pPr>
        <w:pStyle w:val="ListParagraph"/>
        <w:numPr>
          <w:ilvl w:val="0"/>
          <w:numId w:val="2"/>
        </w:numPr>
        <w:spacing w:after="45" w:before="45"/>
      </w:pPr>
      <w:r>
        <w:rPr>
          <w:rFonts w:ascii="Calibri" w:cs="Calibri" w:eastAsia="Calibri" w:hAnsi="Calibri"/>
          <w:color w:val="424242"/>
          <w:sz w:val="22"/>
          <w:szCs w:val="22"/>
        </w:rPr>
        <w:t xml:space="preserve">New outlet rollout management: when a new outlet is being set up, a rollout project is created in the platform (like a mini-construction project). Tasks: property identification, legal registration, interior works, equipment installation, staff recruitment and training, IT/POS setup, trial run, soft launch, official launch. Each task has an owner, deadline, and completion sign-off. Rollout dashboard shows all new outlets in pipeline and their current stage.</w:t>
      </w:r>
    </w:p>
    <w:p>
      <w:pPr>
        <w:pStyle w:val="Heading2"/>
        <w:spacing w:after="120" w:before="280"/>
      </w:pPr>
      <w:r>
        <w:rPr>
          <w:rFonts w:ascii="Calibri" w:cs="Calibri" w:eastAsia="Calibri" w:hAnsi="Calibri"/>
          <w:b/>
          <w:bCs/>
          <w:color w:val="1565C0"/>
          <w:sz w:val="30"/>
          <w:szCs w:val="30"/>
        </w:rPr>
        <w:t xml:space="preserve">FR2 — Franchise Compliance &amp; Audit</w:t>
      </w:r>
    </w:p>
    <w:p>
      <w:pPr>
        <w:pStyle w:val="ListParagraph"/>
        <w:numPr>
          <w:ilvl w:val="0"/>
          <w:numId w:val="2"/>
        </w:numPr>
        <w:spacing w:after="45" w:before="45"/>
      </w:pPr>
      <w:r>
        <w:rPr>
          <w:rFonts w:ascii="Calibri" w:cs="Calibri" w:eastAsia="Calibri" w:hAnsi="Calibri"/>
          <w:color w:val="424242"/>
          <w:sz w:val="22"/>
          <w:szCs w:val="22"/>
        </w:rPr>
        <w:t xml:space="preserve">Compliance checklist: configurable audit checklist per outlet type. For a QSR franchise: food preparation hygiene (30 items), storage temperature compliance (15 items), staff grooming standards (10 items), equipment cleanliness (20 items), cash handling (10 items), customer service (15 items). For a petrol pump: dispensing equipment calibration records, fire safety equipment, water quality (for CNG stations), daily meter readings, price board display.</w:t>
      </w:r>
    </w:p>
    <w:p>
      <w:pPr>
        <w:pStyle w:val="ListParagraph"/>
        <w:numPr>
          <w:ilvl w:val="0"/>
          <w:numId w:val="2"/>
        </w:numPr>
        <w:spacing w:after="45" w:before="45"/>
      </w:pPr>
      <w:r>
        <w:rPr>
          <w:rFonts w:ascii="Calibri" w:cs="Calibri" w:eastAsia="Calibri" w:hAnsi="Calibri"/>
          <w:color w:val="424242"/>
          <w:sz w:val="22"/>
          <w:szCs w:val="22"/>
        </w:rPr>
        <w:t xml:space="preserve">Audit scheduling: audit calendar generated automatically — frequency configurable per outlet health score (low-scoring outlets audited monthly; high-scoring outlets quarterly). Auditor assigned, outlet notified, audit date confirmed through platform.</w:t>
      </w:r>
    </w:p>
    <w:p>
      <w:pPr>
        <w:pStyle w:val="ListParagraph"/>
        <w:numPr>
          <w:ilvl w:val="0"/>
          <w:numId w:val="2"/>
        </w:numPr>
        <w:spacing w:after="45" w:before="45"/>
      </w:pPr>
      <w:r>
        <w:rPr>
          <w:rFonts w:ascii="Calibri" w:cs="Calibri" w:eastAsia="Calibri" w:hAnsi="Calibri"/>
          <w:color w:val="424242"/>
          <w:sz w:val="22"/>
          <w:szCs w:val="22"/>
        </w:rPr>
        <w:t xml:space="preserve">Mobile audit conduct: auditor visits outlet with mobile app. Goes through the digital checklist item by item — each item is passed, failed, or marked NA with a photo. System computes the audit score in real time. At the end, auditor adds overall comments and the franchisee signs the audit report digitally on the auditor's mobile screen.</w:t>
      </w:r>
    </w:p>
    <w:p>
      <w:pPr>
        <w:pStyle w:val="ListParagraph"/>
        <w:numPr>
          <w:ilvl w:val="0"/>
          <w:numId w:val="2"/>
        </w:numPr>
        <w:spacing w:after="45" w:before="45"/>
      </w:pPr>
      <w:r>
        <w:rPr>
          <w:rFonts w:ascii="Calibri" w:cs="Calibri" w:eastAsia="Calibri" w:hAnsi="Calibri"/>
          <w:color w:val="424242"/>
          <w:sz w:val="22"/>
          <w:szCs w:val="22"/>
        </w:rPr>
        <w:t xml:space="preserve">Corrective action plan (CAP): failed audit items automatically generate a CAP. Each non-compliant item has a responsible person, corrective action description, and deadline. Franchisee submits evidence of correction (photo, document) through their portal. Closure verified by auditor on next visit or remotely.</w:t>
      </w:r>
    </w:p>
    <w:p>
      <w:pPr>
        <w:pStyle w:val="ListParagraph"/>
        <w:numPr>
          <w:ilvl w:val="0"/>
          <w:numId w:val="2"/>
        </w:numPr>
        <w:spacing w:after="45" w:before="45"/>
      </w:pPr>
      <w:r>
        <w:rPr>
          <w:rFonts w:ascii="Calibri" w:cs="Calibri" w:eastAsia="Calibri" w:hAnsi="Calibri"/>
          <w:color w:val="424242"/>
          <w:sz w:val="22"/>
          <w:szCs w:val="22"/>
        </w:rPr>
        <w:t xml:space="preserve">Franchise agreement compliance: key franchise agreement terms tracked — minimum royalty payment (tracked against actual), brand standards compliance score (must stay above minimum threshold), prohibited products list (system cross-checks procurement orders against prohibited items). Automatic alert when any agreement KPI falls below threshold.</w:t>
      </w:r>
    </w:p>
    <w:p>
      <w:pPr>
        <w:pStyle w:val="Heading2"/>
        <w:spacing w:after="120" w:before="280"/>
      </w:pPr>
      <w:r>
        <w:rPr>
          <w:rFonts w:ascii="Calibri" w:cs="Calibri" w:eastAsia="Calibri" w:hAnsi="Calibri"/>
          <w:b/>
          <w:bCs/>
          <w:color w:val="1565C0"/>
          <w:sz w:val="30"/>
          <w:szCs w:val="30"/>
        </w:rPr>
        <w:t xml:space="preserve">FR3 — Centralised Procurement for Franchise Network</w:t>
      </w:r>
    </w:p>
    <w:p>
      <w:pPr>
        <w:pStyle w:val="ListParagraph"/>
        <w:numPr>
          <w:ilvl w:val="0"/>
          <w:numId w:val="2"/>
        </w:numPr>
        <w:spacing w:after="45" w:before="45"/>
      </w:pPr>
      <w:r>
        <w:rPr>
          <w:rFonts w:ascii="Calibri" w:cs="Calibri" w:eastAsia="Calibri" w:hAnsi="Calibri"/>
          <w:color w:val="424242"/>
          <w:sz w:val="22"/>
          <w:szCs w:val="22"/>
        </w:rPr>
        <w:t xml:space="preserve">Master procurement: Head Office negotiates rate contracts with approved brand suppliers (packaging material, ingredients, equipment, uniforms, marketing material). These rate contracts are loaded in the platform and are the ONLY valid sources for each item — outlets cannot independently source brand-controlled items.</w:t>
      </w:r>
    </w:p>
    <w:p>
      <w:pPr>
        <w:pStyle w:val="ListParagraph"/>
        <w:numPr>
          <w:ilvl w:val="0"/>
          <w:numId w:val="2"/>
        </w:numPr>
        <w:spacing w:after="45" w:before="45"/>
      </w:pPr>
      <w:r>
        <w:rPr>
          <w:rFonts w:ascii="Calibri" w:cs="Calibri" w:eastAsia="Calibri" w:hAnsi="Calibri"/>
          <w:color w:val="424242"/>
          <w:sz w:val="22"/>
          <w:szCs w:val="22"/>
        </w:rPr>
        <w:t xml:space="preserve">Outlet procurement orders: outlet managers raise purchase orders from the platform against the Head Office approved supplier list and rate contracts. Head Office can see every procurement order placed by every outlet in real time — prevents maverick spending and unauthorised substitutions.</w:t>
      </w:r>
    </w:p>
    <w:p>
      <w:pPr>
        <w:pStyle w:val="ListParagraph"/>
        <w:numPr>
          <w:ilvl w:val="0"/>
          <w:numId w:val="2"/>
        </w:numPr>
        <w:spacing w:after="45" w:before="45"/>
      </w:pPr>
      <w:r>
        <w:rPr>
          <w:rFonts w:ascii="Calibri" w:cs="Calibri" w:eastAsia="Calibri" w:hAnsi="Calibri"/>
          <w:color w:val="424242"/>
          <w:sz w:val="22"/>
          <w:szCs w:val="22"/>
        </w:rPr>
        <w:t xml:space="preserve">Consolidated ordering: system identifies outlets in the same geography ordering the same item and suggests a consolidated order to improve freight efficiency and negotiate volume discounts. Head Office procurement team can approve or reject the consolidation suggestion.</w:t>
      </w:r>
    </w:p>
    <w:p>
      <w:pPr>
        <w:pStyle w:val="ListParagraph"/>
        <w:numPr>
          <w:ilvl w:val="0"/>
          <w:numId w:val="2"/>
        </w:numPr>
        <w:spacing w:after="45" w:before="45"/>
      </w:pPr>
      <w:r>
        <w:rPr>
          <w:rFonts w:ascii="Calibri" w:cs="Calibri" w:eastAsia="Calibri" w:hAnsi="Calibri"/>
          <w:color w:val="424242"/>
          <w:sz w:val="22"/>
          <w:szCs w:val="22"/>
        </w:rPr>
        <w:t xml:space="preserve">Outlet inventory management: minimum stock levels set per outlet type. System tracks inventory at each outlet (entered daily or weekly by outlet manager). Low stock alerts sent to outlet manager and their territory manager simultaneously. Stock shortfall before a peak period (festival, sports event) flagged proactively.</w:t>
      </w:r>
    </w:p>
    <w:p>
      <w:pPr>
        <w:pStyle w:val="Heading2"/>
        <w:spacing w:after="120" w:before="280"/>
      </w:pPr>
      <w:r>
        <w:rPr>
          <w:rFonts w:ascii="Calibri" w:cs="Calibri" w:eastAsia="Calibri" w:hAnsi="Calibri"/>
          <w:b/>
          <w:bCs/>
          <w:color w:val="1565C0"/>
          <w:sz w:val="30"/>
          <w:szCs w:val="30"/>
        </w:rPr>
        <w:t xml:space="preserve">FR4 — Franchise Financial Controls</w:t>
      </w:r>
    </w:p>
    <w:p>
      <w:pPr>
        <w:pStyle w:val="ListParagraph"/>
        <w:numPr>
          <w:ilvl w:val="0"/>
          <w:numId w:val="2"/>
        </w:numPr>
        <w:spacing w:after="45" w:before="45"/>
      </w:pPr>
      <w:r>
        <w:rPr>
          <w:rFonts w:ascii="Calibri" w:cs="Calibri" w:eastAsia="Calibri" w:hAnsi="Calibri"/>
          <w:color w:val="424242"/>
          <w:sz w:val="22"/>
          <w:szCs w:val="22"/>
        </w:rPr>
        <w:t xml:space="preserve">Royalty billing: royalty (typically % of net sales) computed monthly from the POS-integrated sales data or manual sales entry. Royalty invoice auto-generated and sent to franchisee through the platform. Payment tracked — overdue royalty triggers escalation to the territory manager.</w:t>
      </w:r>
    </w:p>
    <w:p>
      <w:pPr>
        <w:pStyle w:val="ListParagraph"/>
        <w:numPr>
          <w:ilvl w:val="0"/>
          <w:numId w:val="2"/>
        </w:numPr>
        <w:spacing w:after="45" w:before="45"/>
      </w:pPr>
      <w:r>
        <w:rPr>
          <w:rFonts w:ascii="Calibri" w:cs="Calibri" w:eastAsia="Calibri" w:hAnsi="Calibri"/>
          <w:color w:val="424242"/>
          <w:sz w:val="22"/>
          <w:szCs w:val="22"/>
        </w:rPr>
        <w:t xml:space="preserve">Marketing development fund (MDF): brand-mandated MDF contribution (% of sales) tracked per outlet. Aggregated at franchise chain level. MDF utilisation reporting — how much was spent on which campaigns, what sales lift was achieved — available to franchisees through the portal.</w:t>
      </w:r>
    </w:p>
    <w:p>
      <w:pPr>
        <w:pStyle w:val="ListParagraph"/>
        <w:numPr>
          <w:ilvl w:val="0"/>
          <w:numId w:val="2"/>
        </w:numPr>
        <w:spacing w:after="45" w:before="45"/>
      </w:pPr>
      <w:r>
        <w:rPr>
          <w:rFonts w:ascii="Calibri" w:cs="Calibri" w:eastAsia="Calibri" w:hAnsi="Calibri"/>
          <w:color w:val="424242"/>
          <w:sz w:val="22"/>
          <w:szCs w:val="22"/>
        </w:rPr>
        <w:t xml:space="preserve">Franchisee financial health dashboard: Head Office sees each franchisee's payment behaviour (royalty on time / late / overdue), audit score trend, procurement compliance, and sales trajectory. Franchisees at financial risk (declining sales + late payments + deteriorating audit scores) are flagged for a structured support intervention before termination becomes necessary.</w:t>
      </w:r>
    </w:p>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7 — Technical Architecture &amp; Integration Map</w:t>
      </w:r>
    </w:p>
    <w:p>
      <w:pPr>
        <w:pStyle w:val="Heading2"/>
        <w:spacing w:after="120" w:before="280"/>
      </w:pPr>
      <w:r>
        <w:rPr>
          <w:rFonts w:ascii="Calibri" w:cs="Calibri" w:eastAsia="Calibri" w:hAnsi="Calibri"/>
          <w:b/>
          <w:bCs/>
          <w:color w:val="1565C0"/>
          <w:sz w:val="30"/>
          <w:szCs w:val="30"/>
        </w:rPr>
        <w:t xml:space="preserve">7.1  Core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Layer</w:t>
            </w:r>
          </w:p>
        </w:tc>
        <w:tc>
          <w:tcPr>
            <w:tcW w:type="dxa" w:w="36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Technology</w:t>
            </w:r>
          </w:p>
        </w:tc>
        <w:tc>
          <w:tcPr>
            <w:tcW w:type="dxa" w:w="36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Rationale</w:t>
            </w:r>
          </w:p>
        </w:tc>
      </w:tr>
      <w:tr>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Frontend (web)</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Next.js 14 + React + shadcn/ui + Tailwind CSS</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SSR for performance, Claude Code compatible, single codebase for web and API</w:t>
            </w:r>
          </w:p>
        </w:tc>
      </w:tr>
      <w:tr>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Frontend (mobile)</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React Native + WatermelonDB</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Offline-first, single codebase iOS + Android, WatermelonDB for local sync</w:t>
            </w:r>
          </w:p>
        </w:tc>
      </w:tr>
      <w:tr>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API gateway</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Node.js + Express</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Lightweight, handles auth, rate limiting, routing to microservices</w:t>
            </w:r>
          </w:p>
        </w:tc>
      </w:tr>
      <w:tr>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Business logic (compute-heavy)</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Python FastAPI microservices</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EVM computation, GIS analysis, escalation engine, report generation, BOM explosion</w:t>
            </w:r>
          </w:p>
        </w:tc>
      </w:tr>
      <w:tr>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Primary database</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PostgreSQL + PostGIS extension</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Relational for transactional data, PostGIS for spatial (chainage, outlet location) data</w:t>
            </w:r>
          </w:p>
        </w:tc>
      </w:tr>
      <w:tr>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Time-series data</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TimescaleDB (PostgreSQL extension)</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DPR history, S-curve data, sensor readings, performance trend data</w:t>
            </w:r>
          </w:p>
        </w:tc>
      </w:tr>
      <w:tr>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Cache</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Redis</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Session cache, real-time dashboard data, approval queue state</w:t>
            </w:r>
          </w:p>
        </w:tc>
      </w:tr>
      <w:tr>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Search</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Elasticsearch</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Full-text search across documents, drawings, audit logs, vendor profiles</w:t>
            </w:r>
          </w:p>
        </w:tc>
      </w:tr>
      <w:tr>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File storage</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AWS S3 + CloudFront CDN</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Drawings, documents, photos, audit logs — India region (ap-south-1)</w:t>
            </w:r>
          </w:p>
        </w:tc>
      </w:tr>
      <w:tr>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Async workflows</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RabbitMQ</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Payment approval chains, notification delivery, report generation — decoupled from UI</w:t>
            </w:r>
          </w:p>
        </w:tc>
      </w:tr>
      <w:tr>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Real-time updates</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WebSocket (Socket.io)</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Live dashboard updates, approval notifications, GIS asset tracking</w:t>
            </w:r>
          </w:p>
        </w:tc>
      </w:tr>
      <w:tr>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Multi-tenancy</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Schema-per-tenant (PostgreSQL)</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Strong data isolation; shared application, separate schemas per tenant</w:t>
            </w:r>
          </w:p>
        </w:tc>
      </w:tr>
    </w:tbl>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7.2  Complete Integration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0E0E0" w:sz="4"/>
              <w:left w:val="single" w:color="E0E0E0" w:sz="4"/>
              <w:bottom w:val="single" w:color="E0E0E0" w:sz="4"/>
              <w:right w:val="single" w:color="E0E0E0" w:sz="4"/>
            </w:tcBorders>
            <w:shd w:fill="1565C0"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Integration</w:t>
            </w:r>
          </w:p>
        </w:tc>
        <w:tc>
          <w:tcPr>
            <w:tcW w:type="dxa" w:w="3360"/>
            <w:tcBorders>
              <w:top w:val="single" w:color="E0E0E0" w:sz="4"/>
              <w:left w:val="single" w:color="E0E0E0" w:sz="4"/>
              <w:bottom w:val="single" w:color="E0E0E0" w:sz="4"/>
              <w:right w:val="single" w:color="E0E0E0" w:sz="4"/>
            </w:tcBorders>
            <w:shd w:fill="1565C0"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Purpose</w:t>
            </w:r>
          </w:p>
        </w:tc>
        <w:tc>
          <w:tcPr>
            <w:tcW w:type="dxa" w:w="3600"/>
            <w:tcBorders>
              <w:top w:val="single" w:color="E0E0E0" w:sz="4"/>
              <w:left w:val="single" w:color="E0E0E0" w:sz="4"/>
              <w:bottom w:val="single" w:color="E0E0E0" w:sz="4"/>
              <w:right w:val="single" w:color="E0E0E0" w:sz="4"/>
            </w:tcBorders>
            <w:shd w:fill="1565C0"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Protocol / Provider</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Digital weighbridge</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Auto-capture material delivery weights into GRN — eliminates manual entry fraud</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Modbus TCP / RS-232 serial. Hardware adapter ~Rs 15,000 per site. Mettler Toledo, Avery Weigh-Tronix compatible.</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Aadhaar eSign / DSC</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Digital contract execution, biometric auth for sensitive overrides</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NSDL / eMudhra REST API. Requires licensed ESP agreement.</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GST Network (GSTN)</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Auto-compute GST on all POs and bills; GSTR data generation; TDS on GST (Section 51)</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GSTN public API + ClearTax enterprise API</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NSDL TDS portal</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TDS certificate generation (Form 16A, Form 27D), quarterly return data (26Q, 24Q)</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NSDL OTCP API</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Bank payment (IMPS/RTGS)</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Direct vendor payment initiation from platform after final approval</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ICICI / HDFC / RBL corporate banking API. NACH mandate for recurring.</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WPI / CPI price indices</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Monthly index values for IEPE price escalation computation</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RBI DBIE API, DIPP data feeds. Manual entry fallback with source document upload.</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EPFO OTCP</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ECR (Electronic Challan cum Return) generation for EPFO monthly filing</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EPFO API (partial) + ECR file format for upload</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ESIC portal</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Monthly challan generation for ESIC employee contributions</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ESIC API / file-based export</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BOCW state portals</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Worker registration data, annual return filing</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State-specific APIs where available; file-based export for others</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RERA state portals</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Quarterly milestone update, escrow compliance reporting</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State RERA API where available; structured report export for manual upload</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GSTN E-way bill</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E-way bill generation for goods dispatches above Rs 50,000</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GSTN E-way bill API</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Google Speech-to-Text</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Voice input in regional languages for DPR, audit, and quality remarks</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Google Cloud Speech-to-Text API</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Mapbox GL JS / Leaflet</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GIS visualisation: project progress map, outlet map, depot map</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Mapbox API (production) / Leaflet.js (demo — free)</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WhatsApp Business API</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Field team notifications, approval alerts, payment confirmations</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Meta Cloud API</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POS integration (franchise)</w:t>
            </w:r>
          </w:p>
        </w:tc>
        <w:tc>
          <w:tcPr>
            <w:tcW w:type="dxa" w:w="33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Outlet sales data for royalty computation and sales target tracking</w:t>
            </w:r>
          </w:p>
        </w:tc>
        <w:tc>
          <w:tcPr>
            <w:tcW w:type="dxa" w:w="36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API per POS system (Petpooja, UrbanPiper, Navision, custom POS)</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GPS tracking (assets)</w:t>
            </w:r>
          </w:p>
        </w:tc>
        <w:tc>
          <w:tcPr>
            <w:tcW w:type="dxa" w:w="33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Live equipment location on GIS map, utilisation analysis</w:t>
            </w:r>
          </w:p>
        </w:tc>
        <w:tc>
          <w:tcPr>
            <w:tcW w:type="dxa" w:w="36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Syrotech / Teltonika GPS API; MQTT protocol</w:t>
            </w:r>
          </w:p>
        </w:tc>
      </w:tr>
    </w:tbl>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7.3  Security Architecture</w:t>
      </w:r>
    </w:p>
    <w:p>
      <w:pPr>
        <w:pStyle w:val="ListParagraph"/>
        <w:numPr>
          <w:ilvl w:val="0"/>
          <w:numId w:val="2"/>
        </w:numPr>
        <w:spacing w:after="45" w:before="45"/>
      </w:pPr>
      <w:r>
        <w:rPr>
          <w:rFonts w:ascii="Calibri" w:cs="Calibri" w:eastAsia="Calibri" w:hAnsi="Calibri"/>
          <w:color w:val="424242"/>
          <w:sz w:val="22"/>
          <w:szCs w:val="22"/>
        </w:rPr>
        <w:t xml:space="preserve">Data residency: all data stored exclusively on AWS Mumbai region (ap-south-1). No data exits India. Compliant with IT Act 2000, CERT-In cloud guidelines, and Digital Personal Data Protection Act 2023.</w:t>
      </w:r>
    </w:p>
    <w:p>
      <w:pPr>
        <w:pStyle w:val="ListParagraph"/>
        <w:numPr>
          <w:ilvl w:val="0"/>
          <w:numId w:val="2"/>
        </w:numPr>
        <w:spacing w:after="45" w:before="45"/>
      </w:pPr>
      <w:r>
        <w:rPr>
          <w:rFonts w:ascii="Calibri" w:cs="Calibri" w:eastAsia="Calibri" w:hAnsi="Calibri"/>
          <w:color w:val="424242"/>
          <w:sz w:val="22"/>
          <w:szCs w:val="22"/>
        </w:rPr>
        <w:t xml:space="preserve">Encryption: AES-256 at rest (full disk encryption + field-level encryption for PAN, Aadhaar, bank account numbers). TLS 1.3 in transit. Key management via AWS KMS. Annual key rotation.</w:t>
      </w:r>
    </w:p>
    <w:p>
      <w:pPr>
        <w:pStyle w:val="ListParagraph"/>
        <w:numPr>
          <w:ilvl w:val="0"/>
          <w:numId w:val="2"/>
        </w:numPr>
        <w:spacing w:after="45" w:before="45"/>
      </w:pPr>
      <w:r>
        <w:rPr>
          <w:rFonts w:ascii="Calibri" w:cs="Calibri" w:eastAsia="Calibri" w:hAnsi="Calibri"/>
          <w:color w:val="424242"/>
          <w:sz w:val="22"/>
          <w:szCs w:val="22"/>
        </w:rPr>
        <w:t xml:space="preserve">Access control: role-based access control (RBAC) at tenant level, module level, and field level. Sensitive fields (bank account numbers, PAN) visible only to finance role — masked as XXXX for all others. IP allowlisting available for government clients (approval actions only from office network).</w:t>
      </w:r>
    </w:p>
    <w:p>
      <w:pPr>
        <w:pStyle w:val="ListParagraph"/>
        <w:numPr>
          <w:ilvl w:val="0"/>
          <w:numId w:val="2"/>
        </w:numPr>
        <w:spacing w:after="45" w:before="45"/>
      </w:pPr>
      <w:r>
        <w:rPr>
          <w:rFonts w:ascii="Calibri" w:cs="Calibri" w:eastAsia="Calibri" w:hAnsi="Calibri"/>
          <w:color w:val="424242"/>
          <w:sz w:val="22"/>
          <w:szCs w:val="22"/>
        </w:rPr>
        <w:t xml:space="preserve">Vulnerability Assessment &amp; Penetration Testing (VAPT): quarterly VAPT by CERT-In empanelled auditor. VAPT report is standard government system approval prerequisite — included in the client onboarding timeline. Bug bounty programme from Year 2.</w:t>
      </w:r>
    </w:p>
    <w:p>
      <w:pPr>
        <w:pStyle w:val="ListParagraph"/>
        <w:numPr>
          <w:ilvl w:val="0"/>
          <w:numId w:val="2"/>
        </w:numPr>
        <w:spacing w:after="45" w:before="45"/>
      </w:pPr>
      <w:r>
        <w:rPr>
          <w:rFonts w:ascii="Calibri" w:cs="Calibri" w:eastAsia="Calibri" w:hAnsi="Calibri"/>
          <w:color w:val="424242"/>
          <w:sz w:val="22"/>
          <w:szCs w:val="22"/>
        </w:rPr>
        <w:t xml:space="preserve">ISO 27001 certification: target by Month 18. Required for onboarding NHAI and central government clients. SOC 2 Type II in Year 3 for international expansion.</w:t>
      </w:r>
    </w:p>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8 — Roles, Permissions &amp; Access Control</w:t>
      </w:r>
    </w:p>
    <w:p>
      <w:pPr>
        <w:spacing w:after="100" w:before="80"/>
      </w:pPr>
      <w:r>
        <w:rPr>
          <w:rFonts w:ascii="Calibri" w:cs="Calibri" w:eastAsia="Calibri" w:hAnsi="Calibri"/>
          <w:color w:val="424242"/>
          <w:sz w:val="22"/>
          <w:szCs w:val="22"/>
        </w:rPr>
        <w:t xml:space="preserve">Role-based access is configurable per tenant and per industry vertical. The following are the standard roles shipped with each vertical. Clients can create custom roles by combining permissions.</w:t>
      </w:r>
    </w:p>
    <w:p>
      <w:pPr>
        <w:pStyle w:val="Heading2"/>
        <w:spacing w:after="120" w:before="280"/>
      </w:pPr>
      <w:r>
        <w:rPr>
          <w:rFonts w:ascii="Calibri" w:cs="Calibri" w:eastAsia="Calibri" w:hAnsi="Calibri"/>
          <w:b/>
          <w:bCs/>
          <w:color w:val="1565C0"/>
          <w:sz w:val="30"/>
          <w:szCs w:val="30"/>
        </w:rPr>
        <w:t xml:space="preserve">8.1  Government Infrastructure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Role</w:t>
            </w:r>
          </w:p>
        </w:tc>
        <w:tc>
          <w:tcPr>
            <w:tcW w:type="dxa" w:w="696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Access &amp; permissions</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Government client — Secretary / Principal</w:t>
            </w:r>
          </w:p>
        </w:tc>
        <w:tc>
          <w:tcPr>
            <w:tcW w:type="dxa" w:w="6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Full read access to all project data across all packages. Payment approval authority above configurable threshold (e.g., &gt; Rs 5 Cr). Issue show-cause notices, work suspension orders, and debarment proceedings through the platform. See all vendor ratings and financial performance.</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Government client — Finance officer</w:t>
            </w:r>
          </w:p>
        </w:tc>
        <w:tc>
          <w:tcPr>
            <w:tcW w:type="dxa" w:w="6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Access to RA Bills, payment approvals within their threshold, deduction verification, bank transfer status. Cannot modify quantities or measurements. Sees TDS and GST deduction details. Generates statutory payment reports.</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PMC — Project director</w:t>
            </w:r>
          </w:p>
        </w:tc>
        <w:tc>
          <w:tcPr>
            <w:tcW w:type="dxa" w:w="6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Full access to their assigned project(s). Can approve RA Bills up to their threshold, approve change orders, override manual weighbridge entries with biometric auth, and issue NCRs. Cannot access other PMC's projects.</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PMC — Site engineer / Junior engineer</w:t>
            </w:r>
          </w:p>
        </w:tc>
        <w:tc>
          <w:tcPr>
            <w:tcW w:type="dxa" w:w="6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Can enter DPRs, MB measurements, GRN receipts, quality test results, and issue reports. Cannot approve payments. Cannot access financial data. Can raise NCRs and safety incidents.</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Primary contractor (House A/B/C/D)</w:t>
            </w:r>
          </w:p>
        </w:tc>
        <w:tc>
          <w:tcPr>
            <w:tcW w:type="dxa" w:w="6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Sees only their own package data — their WOs, their RA Bills, their material stock, their DPR submissions. Cannot see any other contractor's data, rates, or bills. Submits RA Bills, indents, DPRs. Views own payment status and vendor performance rating.</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Material supplier</w:t>
            </w:r>
          </w:p>
        </w:tc>
        <w:tc>
          <w:tcPr>
            <w:tcW w:type="dxa" w:w="6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Vendor portal only. Views their POs, books delivery slots, generates gate passes, uploads delivery challans and test certificates, submits invoices against approved GRNs. No access to project data, rates, or other vendors.</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Third-party quality auditor</w:t>
            </w:r>
          </w:p>
        </w:tc>
        <w:tc>
          <w:tcPr>
            <w:tcW w:type="dxa" w:w="6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Read-only access to quality records, test reports, MB entries, drawings, and inspection records for their assigned scope. Can upload NCRs and audit findings. Cannot modify any existing data.</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CAG / Vigilance auditor</w:t>
            </w:r>
          </w:p>
        </w:tc>
        <w:tc>
          <w:tcPr>
            <w:tcW w:type="dxa" w:w="6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Time-limited read-only access (configurable duration — typically 30–90 days per audit engagement) to all data within the specified scope. Every access event logged. Cannot download data in bulk — must use the system's export function which is also logged.</w:t>
            </w:r>
          </w:p>
        </w:tc>
      </w:tr>
    </w:tbl>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8.2  Cross-Vertical Standard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4"/>
              <w:left w:val="single" w:color="E0E0E0" w:sz="4"/>
              <w:bottom w:val="single" w:color="E0E0E0" w:sz="4"/>
              <w:right w:val="single" w:color="E0E0E0" w:sz="4"/>
            </w:tcBorders>
            <w:shd w:fill="1565C0"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Role</w:t>
            </w:r>
          </w:p>
        </w:tc>
        <w:tc>
          <w:tcPr>
            <w:tcW w:type="dxa" w:w="6960"/>
            <w:tcBorders>
              <w:top w:val="single" w:color="E0E0E0" w:sz="4"/>
              <w:left w:val="single" w:color="E0E0E0" w:sz="4"/>
              <w:bottom w:val="single" w:color="E0E0E0" w:sz="4"/>
              <w:right w:val="single" w:color="E0E0E0" w:sz="4"/>
            </w:tcBorders>
            <w:shd w:fill="1565C0"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Access</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Platform administrator (per tenant)</w:t>
            </w:r>
          </w:p>
        </w:tc>
        <w:tc>
          <w:tcPr>
            <w:tcW w:type="dxa" w:w="6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Configures the platform for their tenant: workflow designer, approval matrix, module activation, user management, role assignments, integration settings. Cannot access other tenants' data. Cannot modify audit logs.</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Procurement manager</w:t>
            </w:r>
          </w:p>
        </w:tc>
        <w:tc>
          <w:tcPr>
            <w:tcW w:type="dxa" w:w="6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Full procurement module access: rate contracts, ASL management, PO approval (within threshold), GRN review, supplier invoice processing, three-way match review. Cannot approve RA Bills or project payments.</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Finance — AP clerk</w:t>
            </w:r>
          </w:p>
        </w:tc>
        <w:tc>
          <w:tcPr>
            <w:tcW w:type="dxa" w:w="6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Invoice entry, three-way match review, payment scheduling. Cannot approve above their threshold. Cannot override deductions.</w:t>
            </w:r>
          </w:p>
        </w:tc>
      </w:tr>
      <w:tr>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Internal auditor</w:t>
            </w:r>
          </w:p>
        </w:tc>
        <w:tc>
          <w:tcPr>
            <w:tcW w:type="dxa" w:w="6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Read access to audit log, all transactions, all approval chains. Can run any report. Cannot modify any data. Not visible to operational users (silent audit mode configurable).</w:t>
            </w:r>
          </w:p>
        </w:tc>
      </w:tr>
      <w:tr>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Vendor onboarding team</w:t>
            </w:r>
          </w:p>
        </w:tc>
        <w:tc>
          <w:tcPr>
            <w:tcW w:type="dxa" w:w="6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Can onboard new vendors, review KYC documents, approve or reject vendors. Cannot raise POs or approve payments.</w:t>
            </w:r>
          </w:p>
        </w:tc>
      </w:tr>
    </w:tbl>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9 — Competitive Differentiation — Complete Gap Table</w:t>
      </w:r>
    </w:p>
    <w:p>
      <w:pPr>
        <w:spacing w:after="100" w:before="80"/>
      </w:pPr>
      <w:r>
        <w:rPr>
          <w:rFonts w:ascii="Calibri" w:cs="Calibri" w:eastAsia="Calibri" w:hAnsi="Calibri"/>
          <w:color w:val="424242"/>
          <w:sz w:val="22"/>
          <w:szCs w:val="22"/>
        </w:rPr>
        <w:t xml:space="preserve">Every row in this table is a real pain point that government, real estate, manufacturing, and franchise clients solve today using Excel, WhatsApp, or custom-built one-off systems. These gaps are what make the platform commercially compelling.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00"/>
        <w:gridCol w:w="5700"/>
      </w:tblGrid>
      <w:tr>
        <w:trPr>
          <w:tblHeader/>
        </w:trPr>
        <w:tc>
          <w:tcPr>
            <w:tcW w:type="dxa" w:w="276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Gap</w:t>
            </w:r>
          </w:p>
        </w:tc>
        <w:tc>
          <w:tcPr>
            <w:tcW w:type="dxa" w:w="9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Severity</w:t>
            </w:r>
          </w:p>
        </w:tc>
        <w:tc>
          <w:tcPr>
            <w:tcW w:type="dxa" w:w="57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Detail — what is missing and how the platform solves it</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RA Bill + Measurement Book engine</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B71C1C"/>
                <w:sz w:val="20"/>
                <w:szCs w:val="20"/>
              </w:rPr>
              <w:t xml:space="preserve">CRITICAL</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SAP has commercial billing — not cumulative, quantity-based, field-measurement-driven RA Bills. Building this in SAP costs Rs 40–80 Lakh per client in custom ABAP. Platform delivers it natively.</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Chainage-linked cost &amp; progress tracking</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B71C1C"/>
                <w:sz w:val="20"/>
                <w:szCs w:val="20"/>
              </w:rPr>
              <w:t xml:space="preserve">CRITICAL</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SAP tracks cost to WBS — never to road chainage. Every government audit question is chainage-based. This platform makes chainage a first-class dimension across all modules.</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Weighbridge API integration</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B71C1C"/>
                <w:sz w:val="20"/>
                <w:szCs w:val="20"/>
              </w:rPr>
              <w:t xml:space="preserve">CRITICAL</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SAP and Zoho require manual GRN quantity entry. Platform integrates with digital weighbridge — weight auto-captured, manual override requires biometric senior auth. Eliminates the primary fraud vector.</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IS-code quality gates on material use</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B71C1C"/>
                <w:sz w:val="20"/>
                <w:szCs w:val="20"/>
              </w:rPr>
              <w:t xml:space="preserve">CRITICAL</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SAP QM has generic quality — no IS 73, IS 1203, IS 2386, MoRTH specs. Platform enforces hard gate: material batch in Quarantine cannot appear in MB entry or any bill — enforced at DB level.</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BOQ-to-material indent auto-derivation</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BF360C"/>
                <w:sz w:val="20"/>
                <w:szCs w:val="20"/>
              </w:rPr>
              <w:t xml:space="preserve">HIGH</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SAP requires manual PR creation for every material. Platform auto-derives material requirements from BOQ on contract award for all 4 ORR packages in seconds.</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Inter-location / inter-contractor material transfer</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BF360C"/>
                <w:sz w:val="20"/>
                <w:szCs w:val="20"/>
              </w:rPr>
              <w:t xml:space="preserve">HIGH</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SAP treats each contract as a separate entity — no native inter-contractor transfer workflow with cost reallocation. Platform handles it natively with full audit trail.</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Gate pass &amp; vehicle number validation</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BF360C"/>
                <w:sz w:val="20"/>
                <w:szCs w:val="20"/>
              </w:rPr>
              <w:t xml:space="preserve">HIGH</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No generic ERP has site gate management linked to PO and delivery schedule. Platform's QR gate pass ensures only PO-linked, pre-registered vehicles enter site.</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RERA compliance tracker</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BF360C"/>
                <w:sz w:val="20"/>
                <w:szCs w:val="20"/>
              </w:rPr>
              <w:t xml:space="preserve">HIGH</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No ERP has RERA milestone tracking, escrow compliance monitoring, or RERA quarterly report auto-generation. Platform handles this natively for real estate vertical.</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BOM explosion + production order + IQC in one system</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BF360C"/>
                <w:sz w:val="20"/>
                <w:szCs w:val="20"/>
              </w:rPr>
              <w:t xml:space="preserve">HIGH</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Manufacturing ERPs (SAP PP module) do BOM and production but cost Rs 3–8 Cr to implement. Platform delivers BOM, production tracking, and IQC as a mid-market product at Rs 4–12 Lakh/month.</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Franchise outlet audit + compliance scoring</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BF360C"/>
                <w:sz w:val="20"/>
                <w:szCs w:val="20"/>
              </w:rPr>
              <w:t xml:space="preserve">HIGH</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No platform combines franchise audit management, centralized procurement enforcement, and outlet health scoring in one system. Franchise chains today use Google Forms + Excel for audits.</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Cross-organisation vendor blacklist sharing</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9E9E9E"/>
                <w:sz w:val="20"/>
                <w:szCs w:val="20"/>
              </w:rPr>
              <w:t xml:space="preserve">MEDIUM</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 vendor blacklisted by HMDA remains eligible at state PWD. Platform provides shared blacklist registry across all subscribing government organisations.</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Price escalation (IEPE) auto-computation</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9E9E9E"/>
                <w:sz w:val="20"/>
                <w:szCs w:val="20"/>
              </w:rPr>
              <w:t xml:space="preserve">MEDIUM</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SAP stores IEPE clauses but cannot auto-compute monthly escalation from live index values. Platform auto-fetches indices and computes escalation — one number, agreed by both parties.</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BOCW labour compliance</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9E9E9E"/>
                <w:sz w:val="20"/>
                <w:szCs w:val="20"/>
              </w:rPr>
              <w:t xml:space="preserve">MEDIUM</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No ERP tracks BOCW cess, worker registration, and annual return generation. Platform tracks all BOCW obligations with automated return generation.</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EVM natively integrated with DPR + billing</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9E9E9E"/>
                <w:sz w:val="20"/>
                <w:szCs w:val="20"/>
              </w:rPr>
              <w:t xml:space="preserve">MEDIUM</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SAP EVM requires extensive configuration and manual data entry. Platform computes CPI, SPI, EAC automatically from DPR (EV), budget (PV), and approved bills (AC).</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Franchise royalty billing from POS data</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9E9E9E"/>
                <w:sz w:val="20"/>
                <w:szCs w:val="20"/>
              </w:rPr>
              <w:t xml:space="preserve">MEDIUM</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Franchise chains invoice royalty manually from reported sales. Platform integrates with POS systems, auto-computes royalty, generates and tracks payment — eliminating the most common franchise financial dispute.</w:t>
            </w:r>
          </w:p>
        </w:tc>
      </w:tr>
      <w:tr>
        <w:tc>
          <w:tcPr>
            <w:tcW w:type="dxa" w:w="27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Supplier quality PPAP management</w:t>
            </w:r>
          </w:p>
        </w:tc>
        <w:tc>
          <w:tcPr>
            <w:tcW w:type="dxa" w:w="9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9E9E9E"/>
                <w:sz w:val="20"/>
                <w:szCs w:val="20"/>
              </w:rPr>
              <w:t xml:space="preserve">MEDIUM</w:t>
            </w:r>
          </w:p>
        </w:tc>
        <w:tc>
          <w:tcPr>
            <w:tcW w:type="dxa" w:w="57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Manufacturing companies manage PPAP documentation in SharePoint or email. Platform provides structured PPAP submission, review, approval, and tracking per part per supplier.</w:t>
            </w:r>
          </w:p>
        </w:tc>
      </w:tr>
      <w:tr>
        <w:tc>
          <w:tcPr>
            <w:tcW w:type="dxa" w:w="27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GIS progress heat map</w:t>
            </w:r>
          </w:p>
        </w:tc>
        <w:tc>
          <w:tcPr>
            <w:tcW w:type="dxa" w:w="9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9E9E9E"/>
                <w:sz w:val="20"/>
                <w:szCs w:val="20"/>
              </w:rPr>
              <w:t xml:space="preserve">MEDIUM</w:t>
            </w:r>
          </w:p>
        </w:tc>
        <w:tc>
          <w:tcPr>
            <w:tcW w:type="dxa" w:w="57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SAP has no GIS. Platform shows live chainage / outlet / zone map updated daily from operational data. The single most visually impactful feature in any client demo.</w:t>
            </w:r>
          </w:p>
        </w:tc>
      </w:tr>
    </w:tbl>
    <w:p>
      <w:pPr>
        <w:spacing w:after="60" w:before="60"/>
      </w:pPr>
      <w:r>
        <w:rPr>
          <w:rFonts w:ascii="Calibri" w:cs="Calibri" w:eastAsia="Calibri" w:hAnsi="Calibri"/>
          <w:color w:val="424242"/>
          <w:sz w:val="22"/>
          <w:szCs w:val="22"/>
        </w:rPr>
        <w:t xml:space="preserve"/>
      </w:r>
    </w:p>
    <w:p>
      <w:pPr>
        <w:spacing w:after="0" w:before="0"/>
      </w:pPr>
      <w:r>
        <w:br w:type="page"/>
      </w:r>
    </w:p>
    <w:p>
      <w:pPr>
        <w:pStyle w:val="Heading1"/>
        <w:pBdr>
          <w:bottom w:val="single" w:color="1565C0" w:sz="16" w:space="6"/>
        </w:pBdr>
        <w:spacing w:after="180" w:before="400"/>
      </w:pPr>
      <w:r>
        <w:rPr>
          <w:rFonts w:ascii="Calibri" w:cs="Calibri" w:eastAsia="Calibri" w:hAnsi="Calibri"/>
          <w:b/>
          <w:bCs/>
          <w:color w:val="1A2F5A"/>
          <w:sz w:val="40"/>
          <w:szCs w:val="40"/>
        </w:rPr>
        <w:t xml:space="preserve">Part 10 — Summary &amp; Build Priorities</w:t>
      </w:r>
    </w:p>
    <w:p>
      <w:pPr>
        <w:pStyle w:val="Heading2"/>
        <w:spacing w:after="120" w:before="280"/>
      </w:pPr>
      <w:r>
        <w:rPr>
          <w:rFonts w:ascii="Calibri" w:cs="Calibri" w:eastAsia="Calibri" w:hAnsi="Calibri"/>
          <w:b/>
          <w:bCs/>
          <w:color w:val="1565C0"/>
          <w:sz w:val="30"/>
          <w:szCs w:val="30"/>
        </w:rPr>
        <w:t xml:space="preserve">10.1  What Gets Built in What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160"/>
        <w:gridCol w:w="2400"/>
        <w:gridCol w:w="3840"/>
      </w:tblGrid>
      <w:tr>
        <w:trPr>
          <w:tblHeader/>
        </w:trPr>
        <w:tc>
          <w:tcPr>
            <w:tcW w:type="dxa" w:w="96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Priority</w:t>
            </w:r>
          </w:p>
        </w:tc>
        <w:tc>
          <w:tcPr>
            <w:tcW w:type="dxa" w:w="216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What</w:t>
            </w:r>
          </w:p>
        </w:tc>
        <w:tc>
          <w:tcPr>
            <w:tcW w:type="dxa" w:w="240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Timeline</w:t>
            </w:r>
          </w:p>
        </w:tc>
        <w:tc>
          <w:tcPr>
            <w:tcW w:type="dxa" w:w="3840"/>
            <w:tcBorders>
              <w:top w:val="single" w:color="E0E0E0" w:sz="4"/>
              <w:left w:val="single" w:color="E0E0E0" w:sz="4"/>
              <w:bottom w:val="single" w:color="E0E0E0" w:sz="4"/>
              <w:right w:val="single" w:color="E0E0E0" w:sz="4"/>
            </w:tcBorders>
            <w:shd w:fill="1A2F5A"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Why first</w:t>
            </w:r>
          </w:p>
        </w:tc>
      </w:tr>
      <w:tr>
        <w:tc>
          <w:tcPr>
            <w:tcW w:type="dxa" w:w="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1</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Core platform architecture</w:t>
            </w:r>
          </w:p>
        </w:tc>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Months 1–3</w:t>
            </w:r>
          </w:p>
        </w:tc>
        <w:tc>
          <w:tcPr>
            <w:tcW w:type="dxa" w:w="384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Multi-tenant DB, workflow engine, vendor model, procurement engine, billing engine, RBAC. Built once, used by all verticals. Do not skip this.</w:t>
            </w:r>
          </w:p>
        </w:tc>
      </w:tr>
      <w:tr>
        <w:tc>
          <w:tcPr>
            <w:tcW w:type="dxa" w:w="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2</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Vertical 1: Government (GPEP)</w:t>
            </w:r>
          </w:p>
        </w:tc>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Months 4–12</w:t>
            </w:r>
          </w:p>
        </w:tc>
        <w:tc>
          <w:tcPr>
            <w:tcW w:type="dxa" w:w="384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Largest immediate market, most urgent pain, GPEP is fully designed. RA Bill engine + chainage tracking are the biggest differentiators.</w:t>
            </w:r>
          </w:p>
        </w:tc>
      </w:tr>
      <w:tr>
        <w:tc>
          <w:tcPr>
            <w:tcW w:type="dxa" w:w="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3</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First paying client</w:t>
            </w:r>
          </w:p>
        </w:tc>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Months 6–12</w:t>
            </w:r>
          </w:p>
        </w:tc>
        <w:tc>
          <w:tcPr>
            <w:tcW w:type="dxa" w:w="384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 PMC firm, free for 6 months. Real feedback. Reference letter. Funds Vertical 2.</w:t>
            </w:r>
          </w:p>
        </w:tc>
      </w:tr>
      <w:tr>
        <w:tc>
          <w:tcPr>
            <w:tcW w:type="dxa" w:w="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4</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Vertical 2: Real estate</w:t>
            </w:r>
          </w:p>
        </w:tc>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Months 13–18</w:t>
            </w:r>
          </w:p>
        </w:tc>
        <w:tc>
          <w:tcPr>
            <w:tcW w:type="dxa" w:w="384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Core already built — 4–5 months to add RERA, unit-wise billing, buyer portal. Second revenue stream.</w:t>
            </w:r>
          </w:p>
        </w:tc>
      </w:tr>
      <w:tr>
        <w:tc>
          <w:tcPr>
            <w:tcW w:type="dxa" w:w="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5</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Vertical 3: Manufacturing</w:t>
            </w:r>
          </w:p>
        </w:tc>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Months 19–24</w:t>
            </w:r>
          </w:p>
        </w:tc>
        <w:tc>
          <w:tcPr>
            <w:tcW w:type="dxa" w:w="384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Add BOM, production orders, IQC. Procurement and vendor core already mature. Opens mid-market manufacturing.</w:t>
            </w:r>
          </w:p>
        </w:tc>
      </w:tr>
      <w:tr>
        <w:tc>
          <w:tcPr>
            <w:tcW w:type="dxa" w:w="9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bCs/>
                <w:color w:val="424242"/>
                <w:sz w:val="20"/>
                <w:szCs w:val="20"/>
              </w:rPr>
              <w:t xml:space="preserve">6</w:t>
            </w:r>
          </w:p>
        </w:tc>
        <w:tc>
          <w:tcPr>
            <w:tcW w:type="dxa" w:w="216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Vertical 4: Retail franchise</w:t>
            </w:r>
          </w:p>
        </w:tc>
        <w:tc>
          <w:tcPr>
            <w:tcW w:type="dxa" w:w="240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Months 25–30</w:t>
            </w:r>
          </w:p>
        </w:tc>
        <w:tc>
          <w:tcPr>
            <w:tcW w:type="dxa" w:w="3840"/>
            <w:tcBorders>
              <w:top w:val="single" w:color="E0E0E0" w:sz="4"/>
              <w:left w:val="single" w:color="E0E0E0" w:sz="4"/>
              <w:bottom w:val="single" w:color="E0E0E0" w:sz="4"/>
              <w:right w:val="single" w:color="E0E0E0" w:sz="4"/>
            </w:tcBorders>
            <w:shd w:fill="F5F5F5"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424242"/>
                <w:sz w:val="20"/>
                <w:szCs w:val="20"/>
              </w:rPr>
              <w:t xml:space="preserve">Add outlet audit, franchise compliance, centralised procurement. Network effect begins — vendors on platform serve all industries.</w:t>
            </w:r>
          </w:p>
        </w:tc>
      </w:tr>
      <w:tr>
        <w:tc>
          <w:tcPr>
            <w:tcW w:type="dxa" w:w="9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bCs/>
                <w:color w:val="FFFFFF"/>
                <w:sz w:val="20"/>
                <w:szCs w:val="20"/>
              </w:rPr>
              <w:t xml:space="preserve">7</w:t>
            </w:r>
          </w:p>
        </w:tc>
        <w:tc>
          <w:tcPr>
            <w:tcW w:type="dxa" w:w="216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International expansion</w:t>
            </w:r>
          </w:p>
        </w:tc>
        <w:tc>
          <w:tcPr>
            <w:tcW w:type="dxa" w:w="240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Month 30+</w:t>
            </w:r>
          </w:p>
        </w:tc>
        <w:tc>
          <w:tcPr>
            <w:tcW w:type="dxa" w:w="3840"/>
            <w:tcBorders>
              <w:top w:val="single" w:color="E0E0E0" w:sz="4"/>
              <w:left w:val="single" w:color="E0E0E0" w:sz="4"/>
              <w:bottom w:val="single" w:color="E0E0E0" w:sz="4"/>
              <w:right w:val="single" w:color="E0E0E0" w:sz="4"/>
            </w:tcBorders>
            <w:shd w:fill="FFFFFF" w:val="clear"/>
            <w:tcMar>
              <w:top w:type="dxa" w:w="85"/>
              <w:left w:type="dxa" w:w="140"/>
              <w:bottom w:type="dxa" w:w="85"/>
              <w:right w:type="dxa" w:w="140"/>
            </w:tcMar>
            <w:vAlign w:val="top"/>
          </w:tcPr>
          <w:p>
            <w:pPr>
              <w:spacing w:after="0" w:before="0"/>
              <w:jc w:val="left"/>
            </w:pPr>
            <w:r>
              <w:rPr>
                <w:rFonts w:ascii="Calibri" w:cs="Calibri" w:eastAsia="Calibri" w:hAnsi="Calibri"/>
                <w:b w:val="false"/>
                <w:bCs w:val="false"/>
                <w:color w:val="FFFFFF"/>
                <w:sz w:val="20"/>
                <w:szCs w:val="20"/>
              </w:rPr>
              <w:t xml:space="preserve">Series A funding. Same platform, localise compliance modules for Indonesia, Vietnam, GCC, Bangladesh.</w:t>
            </w:r>
          </w:p>
        </w:tc>
      </w:tr>
    </w:tbl>
    <w:p>
      <w:pPr>
        <w:spacing w:after="60" w:before="60"/>
      </w:pPr>
      <w:r>
        <w:rPr>
          <w:rFonts w:ascii="Calibri" w:cs="Calibri" w:eastAsia="Calibri" w:hAnsi="Calibri"/>
          <w:color w:val="424242"/>
          <w:sz w:val="22"/>
          <w:szCs w:val="22"/>
        </w:rPr>
        <w:t xml:space="preserve"/>
      </w:r>
    </w:p>
    <w:p>
      <w:pPr>
        <w:pStyle w:val="Heading2"/>
        <w:spacing w:after="120" w:before="280"/>
      </w:pPr>
      <w:r>
        <w:rPr>
          <w:rFonts w:ascii="Calibri" w:cs="Calibri" w:eastAsia="Calibri" w:hAnsi="Calibri"/>
          <w:b/>
          <w:bCs/>
          <w:color w:val="1565C0"/>
          <w:sz w:val="30"/>
          <w:szCs w:val="30"/>
        </w:rPr>
        <w:t xml:space="preserve">10.2  The Platform in One Paragraph</w:t>
      </w:r>
    </w:p>
    <w:p>
      <w:pPr>
        <w:pBdr>
          <w:left w:val="single" w:color="1565C0" w:sz="22"/>
        </w:pBdr>
        <w:shd w:fill="EBF3FB" w:val="clear"/>
        <w:spacing w:after="28" w:before="140"/>
        <w:ind w:left="440" w:right="440"/>
      </w:pPr>
      <w:r>
        <w:rPr>
          <w:rFonts w:ascii="Calibri" w:cs="Calibri" w:eastAsia="Calibri" w:hAnsi="Calibri"/>
          <w:b/>
          <w:bCs/>
          <w:color w:val="1A2F5A"/>
          <w:sz w:val="21"/>
          <w:szCs w:val="21"/>
        </w:rPr>
        <w:t xml:space="preserve">This platform is the Salesforce of operational management for project-driven businesses in India and emerging markets.</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The core handles vendor management, procurement, quality control, project monitoring, financial controls, compliance, and analytics. Industry verticals add only what is unique to each sector. Government infrastructure clients get RA Bills, chainage tracking, BOQ workflows, and BOCW compliance. Real estate clients get RERA, unit-wise billing, and buyer portals. Manufacturers get BOM, production tracking, and IQC. Franchise chains get outlet audits, compliance scoring, and centralised procurement.</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Every vertical shares one vendor network — the more industries use the platform, the more valuable that network becomes. This is the compounding moat that no ERP, no CRM, and no point solution can replicate.</w:t>
      </w:r>
    </w:p>
    <w:p>
      <w:pPr>
        <w:pBdr>
          <w:left w:val="single" w:color="1565C0" w:sz="22"/>
        </w:pBdr>
        <w:shd w:fill="EBF3FB" w:val="clear"/>
        <w:spacing w:after="28" w:before="28"/>
        <w:ind w:left="440" w:right="440"/>
      </w:pPr>
      <w:r>
        <w:rPr>
          <w:rFonts w:ascii="Calibri" w:cs="Calibri" w:eastAsia="Calibri" w:hAnsi="Calibri"/>
          <w:b w:val="false"/>
          <w:bCs w:val="false"/>
          <w:color w:val="1A2F5A"/>
          <w:sz w:val="20"/>
          <w:szCs w:val="20"/>
        </w:rPr>
        <w:t xml:space="preserve"/>
      </w:r>
    </w:p>
    <w:p>
      <w:pPr>
        <w:pBdr>
          <w:left w:val="single" w:color="1565C0" w:sz="22"/>
        </w:pBdr>
        <w:shd w:fill="EBF3FB" w:val="clear"/>
        <w:spacing w:after="140" w:before="28"/>
        <w:ind w:left="440" w:right="440"/>
      </w:pPr>
      <w:r>
        <w:rPr>
          <w:rFonts w:ascii="Calibri" w:cs="Calibri" w:eastAsia="Calibri" w:hAnsi="Calibri"/>
          <w:b w:val="false"/>
          <w:bCs w:val="false"/>
          <w:color w:val="1A2F5A"/>
          <w:sz w:val="20"/>
          <w:szCs w:val="20"/>
        </w:rPr>
        <w:t xml:space="preserve">At 0.1% market penetration across all four verticals, annual recurring revenue exceeds Rs 2,500 Crore. This is not a freelance project or a startup product. This is a platform company.</w:t>
      </w:r>
    </w:p>
    <w:p>
      <w:pPr>
        <w:spacing w:after="60" w:before="60"/>
      </w:pPr>
      <w:r>
        <w:rPr>
          <w:rFonts w:ascii="Calibri" w:cs="Calibri" w:eastAsia="Calibri" w:hAnsi="Calibri"/>
          <w:color w:val="424242"/>
          <w:sz w:val="22"/>
          <w:szCs w:val="22"/>
        </w:rPr>
        <w:t xml:space="preserve"/>
      </w:r>
    </w:p>
    <w:p>
      <w:pPr>
        <w:spacing w:after="60" w:before="60"/>
      </w:pPr>
      <w:r>
        <w:rPr>
          <w:rFonts w:ascii="Calibri" w:cs="Calibri" w:eastAsia="Calibri" w:hAnsi="Calibri"/>
          <w:color w:val="424242"/>
          <w:sz w:val="22"/>
          <w:szCs w:val="22"/>
        </w:rPr>
        <w:t xml:space="preserve"/>
      </w:r>
    </w:p>
    <w:p>
      <w:pPr>
        <w:spacing w:after="80" w:before="200"/>
        <w:jc w:val="center"/>
      </w:pPr>
      <w:r>
        <w:rPr>
          <w:rFonts w:ascii="Calibri" w:cs="Calibri" w:eastAsia="Calibri" w:hAnsi="Calibri"/>
          <w:i/>
          <w:iCs/>
          <w:color w:val="9E9E9E"/>
          <w:sz w:val="22"/>
          <w:szCs w:val="22"/>
        </w:rPr>
        <w:t xml:space="preserve">— End of Complete Functionality Reference —</w:t>
      </w:r>
    </w:p>
    <w:p>
      <w:pPr>
        <w:spacing w:after="0" w:before="0"/>
        <w:jc w:val="center"/>
      </w:pPr>
      <w:r>
        <w:rPr>
          <w:rFonts w:ascii="Calibri" w:cs="Calibri" w:eastAsia="Calibri" w:hAnsi="Calibri"/>
          <w:color w:val="9E9E9E"/>
          <w:sz w:val="18"/>
          <w:szCs w:val="18"/>
        </w:rPr>
        <w:t xml:space="preserve">Multi-Industry Operations Platform  |  Version 1.0  |  2025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space="4"/>
      </w:pBdr>
      <w:spacing w:after="0" w:before="120"/>
      <w:jc w:val="right"/>
    </w:pPr>
    <w:r>
      <w:rPr>
        <w:rFonts w:ascii="Calibri" w:cs="Calibri" w:eastAsia="Calibri" w:hAnsi="Calibri"/>
        <w:color w:val="9E9E9E"/>
        <w:sz w:val="18"/>
        <w:szCs w:val="18"/>
      </w:rPr>
      <w:t xml:space="preserve">Version 1.0  |  2025  |  Page </w:t>
    </w:r>
    <w:r>
      <w:rPr>
        <w:rFonts w:ascii="Calibri" w:cs="Calibri" w:eastAsia="Calibri" w:hAnsi="Calibri"/>
        <w:color w:val="9E9E9E"/>
        <w:sz w:val="18"/>
        <w:szCs w:val="18"/>
      </w:rPr>
      <w:fldChar w:fldCharType="begin"/>
      <w:instrText xml:space="preserve">PAGE</w:instrText>
      <w:fldChar w:fldCharType="separate"/>
      <w:fldChar w:fldCharType="end"/>
    </w:r>
    <w:r>
      <w:rPr>
        <w:rFonts w:ascii="Calibri" w:cs="Calibri" w:eastAsia="Calibri" w:hAnsi="Calibri"/>
        <w:color w:val="9E9E9E"/>
        <w:sz w:val="18"/>
        <w:szCs w:val="18"/>
      </w:rPr>
      <w:t xml:space="preserve"> of </w:t>
    </w:r>
    <w:r>
      <w:rPr>
        <w:rFonts w:ascii="Calibri" w:cs="Calibri" w:eastAsia="Calibri" w:hAnsi="Calibri"/>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8" w:space="4"/>
      </w:pBdr>
      <w:spacing w:after="140" w:before="0"/>
    </w:pPr>
    <w:r>
      <w:rPr>
        <w:rFonts w:ascii="Calibri" w:cs="Calibri" w:eastAsia="Calibri" w:hAnsi="Calibri"/>
        <w:b/>
        <w:bCs/>
        <w:color w:val="1565C0"/>
        <w:sz w:val="18"/>
        <w:szCs w:val="18"/>
      </w:rPr>
      <w:t xml:space="preserve">Multi-Industry Operations Platform — Complete Functionality Reference</w:t>
    </w:r>
    <w:r>
      <w:rPr>
        <w:rFonts w:ascii="Calibri" w:cs="Calibri" w:eastAsia="Calibri" w:hAnsi="Calibri"/>
        <w:color w:val="9E9E9E"/>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40"/>
      </w:pPr>
    </w:lvl>
    <w:lvl w:ilvl="1" w15:tentative="1">
      <w:start w:val="1"/>
      <w:numFmt w:val="bullet"/>
      <w:lvlText w:val="◦"/>
      <w:lvlJc w:val="left"/>
      <w:pPr>
        <w:ind w:left="900" w:hanging="340"/>
      </w:pPr>
    </w:lvl>
    <w:lvl w:ilvl="2" w15:tentative="1">
      <w:start w:val="1"/>
      <w:numFmt w:val="bullet"/>
      <w:lvlText w:val="–"/>
      <w:lvlJc w:val="left"/>
      <w:pPr>
        <w:ind w:left="1260" w:hanging="340"/>
      </w:pPr>
    </w:lvl>
  </w:abstractNum>
  <w:abstractNum w:abstractNumId="3" w15:restartNumberingAfterBreak="0">
    <w:multiLevelType w:val="hybridMultilevel"/>
    <w:lvl w:ilvl="0" w15:tentative="1">
      <w:start w:val="1"/>
      <w:numFmt w:val="decimal"/>
      <w:lvlText w:val="%1."/>
      <w:lvlJc w:val="left"/>
      <w:pPr>
        <w:ind w:left="540" w:hanging="340"/>
      </w:pPr>
    </w:lvl>
    <w:lvl w:ilvl="1" w15:tentative="1">
      <w:start w:val="1"/>
      <w:numFmt w:val="decimal"/>
      <w:lvlText w:val="%1.%2."/>
      <w:lvlJc w:val="left"/>
      <w:pPr>
        <w:ind w:left="9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1A2F5A"/>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1565C0"/>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00695C"/>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2026-04-04T09:25:10.323Z</dcterms:created>
  <dcterms:modified xsi:type="dcterms:W3CDTF">2026-04-04T09:25:10.324Z</dcterms:modified>
</cp:coreProperties>
</file>

<file path=docProps/custom.xml><?xml version="1.0" encoding="utf-8"?>
<Properties xmlns="http://schemas.openxmlformats.org/officeDocument/2006/custom-properties" xmlns:vt="http://schemas.openxmlformats.org/officeDocument/2006/docPropsVTypes"/>
</file>