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Mapeo Seguridad y Cumplimiento (V2 → MVP) — SegurAsist</w:t>
      </w:r>
    </w:p>
    <w:p>
      <w:pPr>
        <w:pStyle w:val="Subtitle"/>
      </w:pPr>
      <w:r>
        <w:t xml:space="preserve">Cada control de la Matriz V2 traducido a implementación técnica concreta en AWS · 88.7% sostenido desde D1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Mapeo Seguridad y Cumplimiento (V2 → MVP) — SegurAsist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 – Abril 2026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Audiencia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CISO, Tech Lead, DevOps, QA, auditores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Interno – Confidencial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ancla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Hospitales MAC – Roy / Innovación Segura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2026-04-25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Propósito</w:t>
      </w:r>
    </w:p>
    <w:p>
      <w:r>
        <w:t xml:space="preserve">Este documento traduce cada control de la Matriz de Evaluación SaaS V2 (Hospitales MAC, abril 2026) a su implementación técnica concreta en el MVP SegurAsist desplegado sobre AWS. Para cada control: (a) el módulo o componente responsable, (b) la implementación técnica, (c) los tests/evidencias que demuestran su funcionamiento, (d) el estado actual y plan si es "Parcial" o "No" en la matriz.</w:t>
      </w:r>
    </w:p>
    <w:p>
      <w:r>
        <w:t xml:space="preserve">La V2 reportó 27 controles "Si", 5 "Parcial", 1 "No", para un puntaje de 251/283 = 88.7%, riesgo Medio – Apto con plan de remediación. Este documento garantiza que el equipo no degrada esa postura durante el desarrollo y prepara la migración de los "Parcial"/"No" a "Si" según calendario del Plan de Cumplimiento.</w:t>
      </w:r>
    </w:p>
    <w:p>
      <w:r>
        <w:br w:type="page"/>
      </w:r>
    </w:p>
    <w:p>
      <w:pPr>
        <w:pStyle w:val="Heading1"/>
      </w:pPr>
      <w:r>
        <w:t xml:space="preserve">2. Resumen del estado V2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1200"/>
        <w:gridCol w:w="1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Controles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Parcial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cumplimiento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Gobernanza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84%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Infraestructura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86%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Física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Contrato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88.7%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Mapeo detallado por control</w:t>
      </w:r>
    </w:p>
    <w:p>
      <w:pPr>
        <w:pStyle w:val="Heading2"/>
      </w:pPr>
      <w:r>
        <w:t xml:space="preserve">3.1 — Gobernanza · Política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¿Cuenta con políticas de seguridad y certificaciones ISO/SOC2?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(único control en No de toda la matriz)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 interna formal alineada a ISO 27001:2022 publicada en repo legal/policies/. Certificación ISO 27001 en roadmap (Stage 2 julio 2027); SOC 2 Tipo I enero 2027.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Documentos firmados por CISO + Director General archivados en 1Password vault Compliance.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Plan_Accion_Cumplimiento_SegurAsist contempla gap assessment may-2026, auditoría Stage 2 jul-2027, SOC 2 Tipo I ene-2027, Tipo II mar-2027. Mensajería al cliente: 'certificación en roadmap formal'.</w:t>
            </w:r>
          </w:p>
        </w:tc>
      </w:tr>
    </w:tbl>
    <w:p>
      <w:pPr>
        <w:pStyle w:val="Heading2"/>
      </w:pPr>
      <w:r>
        <w:t xml:space="preserve">3.2 — Gobernanza · Cumplimiento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¿Cumple regulaciones de protección de datos (GDPR, etc.)?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LFPDPPP cubierta: Aviso de Privacidad publicado, ARCO operativo (≤5 d acuse, ≤20 d resp.), DPO designado, transferencias internacionales con DPA AWS firmado y SCCs cuando aplique.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AppRunner serve route /privacy + Lambda /arco (formulario público)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Aviso de privacidad versionado; bitácora ARCO consultable; DPA AWS en repositorio legal.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 — Gobernanza · Gestión de Subprocesadores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¿Utiliza terceros? ¿Están certificados?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 pública de subprocesadores actualizada al sprint 5. Cada uno con DPA y certificaciones documentadas: AWS (todas), GitHub (SOC 2), UptimeRobot (SOC 2).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 /docs/legal/subprocessors.md publicada también en /privacy/subprocessors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Tabla en doc + tickets de revisión semestral; alerta si cambia un subprocesador.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3.4 — IAM · SSO y MFA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¿Soporta SSO (SAML/OAuth2) y MFA obligatorio?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User Pool admin con SAML 2.0 / OIDC (Okta, Azure AD, Google Workspace). MFA TOTP/WebAuthn obligatorio para 100% admin. Pool asegurados con OTP email/SMS, MFA opt-in.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(NestJS) + Cognito + Terraform módulo cognito-user-pool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E2E login con MFA verde; Cognito Sign-in policy exporta evidencia; CloudWatch metric MFAEnrollment = 100% admins.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3.5 — IAM · RBAC/ABAC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¿Ofrece roles con privilegios mínimos?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roles en pool admin (Admin MAC, Operador, Admin SegurAsist, Supervisor) + 1 rol en pool asegurado (Insured), todos como Cognito groups. PostgreSQL RLS por tenant_id en cada tabla. Tests CI cross-tenant verde requerido para merge.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+ RolesGuard + PrismaService middleware + tests/security/cross-tenant.spec.ts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Suite cross-tenant 100% endpoints; RLS policies inspeccionables (pg_policies).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3.6 — IAM · Ciclo de vida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¿Automatiza altas, bajas y cambios vía SSO?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(3.5/7)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SCIM 2.0 nativo en Cognito Developer+ planeado en sprint 5. En ausencia de IdP del cliente: dashboard admin con checklist onboarding/offboarding (revocación ≤24h).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UsersModule + endpoints SCIM + UI checklist en /users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entrega SCIM contra Azure AD MAC; checklist visible en UI.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cierra el gap; provisional vía dashboard. Si MAC no provee IdP, fallback Cognito local opera con checklist.</w:t>
            </w:r>
          </w:p>
        </w:tc>
      </w:tr>
    </w:tbl>
    <w:p>
      <w:pPr>
        <w:pStyle w:val="Heading2"/>
      </w:pPr>
      <w:r>
        <w:t xml:space="preserve">3.7 — IAM · Auditoría de accesos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¿Registra accesos exitosos y fallidos?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Cognito CloudWatch Logs + audit_log NestJS persiste accesos; eventos críticos replicados a S3 Object Lock 24m. Cada evento con timestamp, user_id, IP, user-agent.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interceptor + AuditModule + Terraform módulo s3-audit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/v1/audit/log (paginated); query nativa CloudWatch Insights; tests integración registran log.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3.8 — Datos · Cifrado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¿Cifran datos en tránsito (TLS1.2+) y reposo (AES-256)?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1.3 forzado (TLS &lt;1.2 rechazado en ALB y CloudFront), HSTS preload. AES-256 reposo con KMS CMK rotación anual. Llaves separadas por ambiente.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Terraform: ACM, ALB listener TLS policy, módulo kms-key con rotation = true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rule TLS 1.2-min activa; KMS rotation status = enabled; testssl.sh en CI nightly.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3.9 — Datos · Ubicación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¿En qué país/región se almacenan los datos?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Primaria us-east-1, DR us-east-2. Para clientes que exijan residencia MX, SKU premium con migración a mx-central-1 (~+35% costo). DPA cubre transferencia internacional.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providers + módulo rds-postgres cross-region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rule 'desired-region' activa; arquitectura documentada; DPA AWS firmado.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3.10 — Datos · Retención y Borrado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¿Poseen políticas de retención y borrado seguro?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Política: vigencia + 6m gracia. Backups RDS 7d PITR + 30d snapshots. Borrado seguro NIST SP 800-88 Rev 1: crypto-shredding KMS + delete data + certificado firmado por CISO.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cron retention-policy + UsersModule (eliminación) + AuditModule (certificado)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Cron Lambda logs en CloudWatch; certificados firmados archivados en bucket legal/certificates/.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3.11 — Datos · Contrato DPA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¿Existe acuerdo de procesamiento de datos?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DPA anexa a contrato maestro, alineada LFPDPPP + cláusulas opcionales GDPR (SCCs UE). Notificación brechas ≤72h, lista subprocesadores, derecho auditoría.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en repo legal/templates/DPA.docx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DPA firmado MAC archivado en 1Password Compliance.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3.12 — AppSec · PenTesting 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¿Realizan pruebas de penetración anualmente?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(5/10)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CI/CD con SAST (Semgrep), SCA (Dependabot/Trivy), DAST (OWASP ZAP por PR). Pentest interno sprint 5. Pentest externo formal Q3-2026 con firma acreditada.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.github/workflows/security.yml + scripts/run-zap.sh + contrato pentest externo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Semgrep/ZAP/Dependabot en GitHub Security tab; pentest interno entregable sprint 5; contrato externo firmado mes 4.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cierra gap interno; Q3-2026 cierra gap externo. Reporte compartible bajo NDA con MAC.</w:t>
            </w:r>
          </w:p>
        </w:tc>
      </w:tr>
    </w:tbl>
    <w:p>
      <w:pPr>
        <w:pStyle w:val="Heading2"/>
      </w:pPr>
      <w:r>
        <w:t xml:space="preserve">3.13 — AppSec · OWASP (SAST/DAST)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¿Evalúan OWASP Top 10?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Top 10 web + API cubierto en múltiples capas: Prisma queries parametrizadas, output encoding React, headers seguridad, WAF AWS Managed Rules OWASP, Zod validations, code review obligatorio.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Helmet en Fastify + Next.js headers + WAF Terraform + ZAP en CI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Reportes Semgrep/ZAP en cada PR; WAF logs en CloudWatch; security headers verificados con securityheaders.com en CI.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3.14 — AppSec · Gestión de Vulnerabilidades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¿Parchean vulnerabilidades críticas en menos de 30 días?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SLA: Crítica ≤7d, Alta ≤30d, Media ≤60d, Baja ≤90d. Monitoreo: Dependabot, Inspector (hosts/contenedores), GuardDuty (amenazas activas). MTTR mensual al Comité.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Dependabot config + Amazon Inspector + GuardDuty + Linear automation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filtro vulnerability + SLA timestamps; reporte mensual al Comité Seguridad.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3.15 — AppSec · Aislamiento Multitenant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¿Existe aislamiento entre clientes?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tenant_id en cada query + RLS PostgreSQL (policy por tabla) + prefijos S3 separados por tenant + tests CI que un usuario A obtiene 403/404 en recursos del tenant B.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PrismaService middleware + RLS init script + tests/security/cross-tenant.spec.ts + s3 bucket policies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Suite cross-tenant 100% endpoints; pg_policies inspeccionables; pentest interno cubre 30 escenarios manuales.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3.16 — API · Autenticación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¿OAuth2, llaves rotables y rate-limiting?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JWTs Cognito OAuth 2.0 (15m access, 7d refresh). API keys con rotación inmediata desde dashboard. Rate-limiting WAF Rate-Based Rules (default 100 req/min, configurable por tenant). Soporte mTLS via API Gateway para enterprise.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+ Cognito + Terraform waf-web-acl + API key rotation Lambda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integración auth; WAF logs; Secrets Manager rotation status.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3.17 — API · Scopes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¿Permisos granulares por token?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Scopes OAuth2 granulares por recurso/acción (read:policies, write:policies, read:insureds, admin:users, export:data). Configuración en Cognito Resource Servers. Decorator @Scopes() valida.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AuthModule scopes guard + Cognito Resource Servers Terraform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negativos: scope insuficiente devuelve 403.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3.18 — API · Logs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¿Registra uso y errores de API?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JSON estructurados (endpoint, método, user_id, tenant_id, status, latencia, IP) → CloudWatch Logs. Trace_id X-Ray. Alarmas por picos 4xx/5xx, latencia p95, anomalías.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pino + nestjs-pino + AuditInterceptor + X-Ray SDK + CloudWatch alarms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CloudWatch Operacional muestra métricas en tiempo real; alarmas en SNS/PagerDuty.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3.19 — Incidentes · IRP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¿Tienen plan formal de respuesta a incidentes?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(5/10)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de Respuesta a Incidentes documentado siguiendo NIST SP 800-61 Rev 2. Roles formales (IR Lead = CISO, Comms Lead, Legal). Runbooks específicos. Primer simulacro tabletop Q2-2026.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/docs/security/IRP.md + runbooks RB-006, RB-010 + canal #segurasist-irp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IRP versionado en repo; tabletop programado y registro de simulacro.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Q2-2026 ejecutar primer tabletop; capturar lecciones aprendidas; certificar revisión semestral.</w:t>
            </w:r>
          </w:p>
        </w:tc>
      </w:tr>
    </w:tbl>
    <w:p>
      <w:pPr>
        <w:pStyle w:val="Heading2"/>
      </w:pPr>
      <w:r>
        <w:t xml:space="preserve">3.20 — Incidentes · Notificación Brechas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¿En cuánto tiempo notifican una brecha?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Notificación al cliente ≤72h desde confirmación. Para incidentes P1 (críticos), notificación inicial preliminar ≤4h. Plantillas pre-aprobadas por legal.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/docs/comms/breach-notification-template.md + endpoint /admin/incident/declare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Plantillas versionadas; bitácora de incidentes en repo seguro.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3.21 — Incidentes · Monitoreo 24/7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¿Tienen SOC o monitoreo continuo?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(4/8)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Monitoreo técnico 24/7 vía CloudWatch + GuardDuty con alarmas a rotación on-call. SLA P1: 15 min acuse, ≤4h resolución. SOC tercerizado (MDR) en evaluación Q1-2027.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+ GuardDuty + Lambda → PagerDuty + on-call schedule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Métricas MTTR; runbooks RB-001 a RB-010; PagerDuty escalation policy.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Q1-2027 evaluar MDR (Arctic Wolf, Expel, AWS MSSP) si volumen lo justifica.</w:t>
            </w:r>
          </w:p>
        </w:tc>
      </w:tr>
    </w:tbl>
    <w:p>
      <w:pPr>
        <w:pStyle w:val="Heading2"/>
      </w:pPr>
      <w:r>
        <w:t xml:space="preserve">3.22 — Infraestructura · SLA/Uptime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¿Garantizan 99.9% mínimo?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 (4.5/9)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 contractual base 99.5% mensual. Disponible 99.9% como addendum con cargo, habilitado por réplica activa cross-region (us-east-1 + us-east-2 activo-activo).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módulo apprunner-service Multi-AZ + RDS Multi-AZ + DR cross-region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mensual uptime UptimeRobot público en status.segurasist.mx; SLA tracking interno.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 MAC requiere 99.9%, activar SKU; involves activo-activo en us-east-2 + Route 53 health-check failover.</w:t>
            </w:r>
          </w:p>
        </w:tc>
      </w:tr>
    </w:tbl>
    <w:p>
      <w:pPr>
        <w:pStyle w:val="Heading2"/>
      </w:pPr>
      <w:r>
        <w:t xml:space="preserve">3.23 — Infraestructura ·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¿Realizan respaldos y pruebas de restauración?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RDS PITR 7d + snapshots semanales 30d + cross-region copy us-east-2. Pruebas restauración mensuales en ambiente aislado. RPO ≤24h, RTO ≤4h.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rds-postgres backup config + AWS Backup + Lambda restore-test mensual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 mensual restauración en /docs/runbooks/RB-008-evidence.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3.24 — Infraestructura · DRP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¿Cuentan con plan de recuperación ante desastres?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DRP documentado, probado cada 6 meses. Multi-AZ us-east-1 (auto failover) + réplica cross-region us-east-2 (manual ≤30 min). Runbooks por escenario.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/docs/runbooks/RB-003-failover-cross-region.md + DR drill calendar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Bitácora DR drill semestral; RTO/RPO medidos.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3.25 — Infraestructura ·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¿Aplican benchmarks CIS o equivalentes?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 AWS Foundations v2.0, PostgreSQL 16, Amazon Linux 2023, Docker. Auditoría continua via AWS Config + Security Hub. Desviaciones priorizadas semanal.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AWS Config rules + Security Hub + Inspector + Parameter Group RDS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Hub score CIS visible en dashboard; reporte semanal de desviaciones.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3.26 — Auditoría · Retención de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¿Conservan logs ≥12 meses?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Logs 12m online (consulta rápida). Archivado a S3 Glacier Deep Archive 24m adicionales. Logs de seguridad 24m online. Integridad por S3 Object Lock Compliance.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Terraform módulo s3-audit con Object Lock + lifecycle Glacier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rule retention-period; Object Lock attribute consulta posible solo lectura.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3.27 — Auditoría ·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¿Generan alertas automáticas por anomalías?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Reglas en CloudWatch + GuardDuty: picos login fallidos, accesos geo atípicos, exfiltración masiva, intentos cross-tenant, anomalías en error rate o latencia.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CloudWatch alarms + GuardDuty + Security Hub + EventBridge → SNS → PagerDuty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CloudWatch Seguridad; runbooks de triage.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3.28 — Auditoría · Acceso a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cliente puede solicitar logs?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Self-service para enterprise vía dashboard y API export (CSV/JSON). Para resto, ticket al CSM (≤2 días hábiles). Exportación firmada digitalmente.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AuditModule export endpoint + Lambda sign-export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integración export; firma verificable con clave pública SegurAsist.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3.29 — Física · DC Certificados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¿Datacenters Tier III/IV?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Infraestructura en AWS us-east-1, us-east-2: SOC 1/2/3, ISO 27001/27017/27018, PCI DSS, HIPAA BAA, FedRAMP High, Tier III+.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Artifact reportes self-service bajo NDA.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3.30 — Física · Acceso Restringido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¿Controlan y monitorean acceso físico?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Controlado por AWS: biometría multi-factor, CCTV 24/7, escolta visitantes, bitácora auditada, segregación por zonas.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SOC 2 Tipo II report (AWS Artifact bajo NDA).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3.31 — Contrato · Propiedad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¿El cliente conserva la propiedad total?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Cliente conserva propiedad total e irrestricta. SegurAsist procesador conforme DPA. Datos NO se usan para entrenar IA, análisis agregado comercial, ni se comparten con terceros fuera de subprocesadores declarados.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Cláusula explícita en contrato y DPA; configuración no-train en repo.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3.32 — Contrato · Portabilidad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¿Pueden exportarse datos al finalizar contrato?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días para exportar (CSV, JSON, Excel, PDF certificados) vía dashboard y API. Asistencia técnica incluida. Self-service exports en cualquier momento.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ReportsModule + Lambda export + endpoint /v1/export/full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Tests E2E full-export; documentación legal.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3.33 — Contrato · Borrado Seguro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Pregunta original (V2)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¿Emitirán certificado de eliminación?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en V2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Implementación MVP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Tras 30d portabilidad: borrado seguro NIST SP 800-88 Rev 1: delete data + crypto-shredding KMS + certificado firmado CISO.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Módulos / componentes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offboarding + KMS scheduled deletion + AuditModule cert sign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Evidencia / verificación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Plantilla certificado en repo legal; ejemplo firmado disponible bajo NDA.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 si gap</w:t>
            </w:r>
          </w:p>
        </w:tc>
        <w:tc>
          <w:tcPr>
            <w:tcW w:type="dxa" w:w="6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Plan para mover "Parcial" → "Si"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000"/>
        <w:gridCol w:w="1500"/>
        <w:gridCol w:w="126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 V2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Acción concreta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Sprint MVP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pasa a Si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 Lifecycle (3.6)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Implementar SCIM 2.0 nativo Cognito + flujo dual approval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release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 PenTest (3.12)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Pentest interno equipo + contrato externo Q3-2026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(interno) + Q3-2026 (externo)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Q3-2026 con reporte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 IRP (3.19)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Ejecutar primer tabletop con escenario brecha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Q2-2026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Q2-2026 con acta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 Monitoreo 24/7 (3.21)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Evaluar contratación MDR (Arctic Wolf/Expel)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Q1-2027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Q1-2027 con contrato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Infra SLA/Uptime (3.22)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Parcial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Activar SKU 99.9% si MAC lo solicita; activo-activo us-east-2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5 (capability), on-demand</w:t>
            </w:r>
          </w:p>
        </w:tc>
        <w:tc>
          <w:tcPr>
            <w:tcW w:type="dxa" w:w="1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Cuando MAC contrate addendum</w:t>
            </w:r>
          </w:p>
        </w:tc>
      </w:tr>
    </w:tbl>
    <w:p>
      <w:pPr>
        <w:pStyle w:val="Heading2"/>
      </w:pPr>
      <w:r>
        <w:t xml:space="preserve">4.1 Único "No" de la matriz</w:t>
      </w:r>
    </w:p>
    <w:p>
      <w:r>
        <w:t xml:space="preserve">Gobernanza – Política de Seguridad (3.1, en "No"): ya existen políticas internas alineadas a ISO 27001:2022. Lo que falta es la certificación formal externa. Trayectoria comprometida en el Plan de Acción de Cumplimiento:</w:t>
      </w:r>
    </w:p>
    <w:p>
      <w:pPr>
        <w:pStyle w:val="ListParagraph"/>
        <w:numPr>
          <w:ilvl w:val="0"/>
          <w:numId w:val="2"/>
        </w:numPr>
      </w:pPr>
      <w:r>
        <w:t xml:space="preserve">Mayo 2026: Gap assessment ISO 27001 (~60,000 MXN, una vez).</w:t>
      </w:r>
    </w:p>
    <w:p>
      <w:pPr>
        <w:pStyle w:val="ListParagraph"/>
        <w:numPr>
          <w:ilvl w:val="0"/>
          <w:numId w:val="2"/>
        </w:numPr>
      </w:pPr>
      <w:r>
        <w:t xml:space="preserve">Enero 2027: SOC 2 Tipo I auditoría (~280,000 MXN).</w:t>
      </w:r>
    </w:p>
    <w:p>
      <w:pPr>
        <w:pStyle w:val="ListParagraph"/>
        <w:numPr>
          <w:ilvl w:val="0"/>
          <w:numId w:val="2"/>
        </w:numPr>
      </w:pPr>
      <w:r>
        <w:t xml:space="preserve">Marzo 2027: SOC 2 Tipo II (~420,000 MXN anual).</w:t>
      </w:r>
    </w:p>
    <w:p>
      <w:pPr>
        <w:pStyle w:val="ListParagraph"/>
        <w:numPr>
          <w:ilvl w:val="0"/>
          <w:numId w:val="2"/>
        </w:numPr>
      </w:pPr>
      <w:r>
        <w:t xml:space="preserve">Julio 2027: ISO 27001 Stage 2 audit; certificado en diciembre 2027.</w:t>
      </w:r>
    </w:p>
    <w:p>
      <w:r>
        <w:t xml:space="preserve">Para la propuesta MAC: el gap se mitiga contractualmente con el DPA + roadmap formal compartido bajo NDA + evidencia ISO 27001 de AWS subyacente.</w:t>
      </w:r>
    </w:p>
    <w:p>
      <w:r>
        <w:br w:type="page"/>
      </w:r>
    </w:p>
    <w:p>
      <w:pPr>
        <w:pStyle w:val="Heading1"/>
      </w:pPr>
      <w:r>
        <w:t xml:space="preserve">5. Verificación operativa continua</w:t>
      </w:r>
    </w:p>
    <w:p>
      <w:r>
        <w:t xml:space="preserve">Cada control tiene un mecanismo de verificación que corre por sí solo y emite señal a CISO + Tech Lead. Si el control deja de cumplirse, abre ticket de Sev≥High.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700"/>
        <w:gridCol w:w="1860"/>
      </w:tblGrid>
      <w:tr>
        <w:trPr>
          <w:tblHeader/>
        </w:trP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Mecanismo automatizado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Destino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IAM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rules iam-user-mfa-enabled, iam-root-access-key-check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Datos cifrado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rules s3-bucket-server-side-encryption-enabled, rds-storage-encrypted, encrypted-volumes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Hub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AppSec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Semgrep + Dependabot + Trivy + ZAP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Security + Linear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Multitenant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Cross-tenant test suite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gate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OpenAPI contract test + auth fuzz tests k6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Cada PR + nightly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Incidentes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Runbook drill audit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Trimestral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firmada CISO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Backups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Lambda restore-test verifica restauración real RDS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evidence + email CISO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Drill cross-region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Semestral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Acta + RTO/RPO medido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Hardening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AWS Config CIS Benchmark v2.0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Hub score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Auditoría logs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Object Lock attribute check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rule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WAF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Bypass attempt test mensual + WAF logs review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Mensual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+ CISO</w:t>
            </w:r>
          </w:p>
        </w:tc>
      </w:tr>
      <w:tr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Subprocesadores</w:t>
            </w:r>
          </w:p>
        </w:tc>
        <w:tc>
          <w:tcPr>
            <w:tcW w:type="dxa" w:w="4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Calendario revisión semestral</w:t>
            </w:r>
          </w:p>
        </w:tc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Semestral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ticket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Roles y responsabilidades de cumplimiento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Responsabilidad cumplimiento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 del programa, aprueba release gates de seguridad, lidera IRP, firma certificados de eliminación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Lead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 que arquitectura cumple controles; bloquea PR que comprometen aislamiento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DevOps Lead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 controles AWS Config / Security Hub; mantiene Terraform alineado; ejecuta drills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Lead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Mantiene suite cross-tenant + tests de seguridad; ejecuta pentest interno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 Lead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 controles a nivel código (RLS, scopes, rate limit, audit log)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Lead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Implementa headers, CSP, manejo de tokens seguro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Asegura que cambios de scope no introducen gaps; comunica cambios a CISO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PM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Tracking de remediation SLAs; reporta postura mensual a Roy</w:t>
            </w:r>
          </w:p>
        </w:tc>
      </w:tr>
      <w:tr>
        <w:tc>
          <w:tcPr>
            <w:tcW w:type="dxa" w:w="2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DPO (compartido CSM)</w:t>
            </w:r>
          </w:p>
        </w:tc>
        <w:tc>
          <w:tcPr>
            <w:tcW w:type="dxa" w:w="7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Atiende ARCO, mantiene Aviso de Privacidad, gestiona DPA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Comunicación a MAC</w:t>
      </w:r>
    </w:p>
    <w:p>
      <w:r>
        <w:t xml:space="preserve">La postura de cumplimiento se comparte con MAC en tres niveles:</w:t>
      </w:r>
    </w:p>
    <w:p>
      <w:pPr>
        <w:pStyle w:val="ListParagraph"/>
        <w:numPr>
          <w:ilvl w:val="0"/>
          <w:numId w:val="2"/>
        </w:numPr>
      </w:pPr>
      <w:r>
        <w:t xml:space="preserve">Pre-contrato: Matriz V2 + Cuestionario Seguridad (ya entregados, abril 2026).</w:t>
      </w:r>
    </w:p>
    <w:p>
      <w:pPr>
        <w:pStyle w:val="ListParagraph"/>
        <w:numPr>
          <w:ilvl w:val="0"/>
          <w:numId w:val="2"/>
        </w:numPr>
      </w:pPr>
      <w:r>
        <w:t xml:space="preserve">Operación: status mensual con KPIs de cumplimiento (CIS score, vulnerabilidades abiertas, intentos cross-tenant, drills ejecutados).</w:t>
      </w:r>
    </w:p>
    <w:p>
      <w:pPr>
        <w:pStyle w:val="ListParagraph"/>
        <w:numPr>
          <w:ilvl w:val="0"/>
          <w:numId w:val="2"/>
        </w:numPr>
      </w:pPr>
      <w:r>
        <w:t xml:space="preserve">Anual: re-evaluación formal de la matriz; reporte compartible bajo NDA.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470"/>
        <w:sz w:val="18"/>
        <w:szCs w:val="18"/>
      </w:rPr>
      <w:t xml:space="preserve">Interno – Confidencial</w:t>
    </w:r>
    <w:r>
      <w:t xml:space="preserve">	</w:t>
    </w:r>
    <w:r>
      <w:rPr>
        <w:color w:val="5C6470"/>
        <w:sz w:val="18"/>
        <w:szCs w:val="18"/>
      </w:rPr>
      <w:t xml:space="preserve">Página </w:t>
    </w:r>
    <w:r>
      <w:rPr>
        <w:color w:val="5C647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C6470"/>
        <w:sz w:val="18"/>
        <w:szCs w:val="18"/>
      </w:rPr>
      <w:t xml:space="preserve"> de </w:t>
    </w:r>
    <w:r>
      <w:rPr>
        <w:color w:val="5C647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70"/>
        <w:sz w:val="18"/>
        <w:szCs w:val="18"/>
      </w:rPr>
      <w:t xml:space="preserve">SegurAsist · Mapeo Seguridad y Cumplimiento (V2 → MVP) — SegurAsist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0"/>
      <w:jc w:val="left"/>
    </w:pPr>
    <w:rPr>
      <w:rFonts w:ascii="Calibri" w:cs="Calibri" w:eastAsia="Calibri" w:hAnsi="Calibri"/>
      <w:b/>
      <w:bCs/>
      <w:color w:val="1F3A5F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480" w:before="0"/>
      <w:jc w:val="left"/>
    </w:pPr>
    <w:rPr>
      <w:rFonts w:ascii="Calibri" w:cs="Calibri" w:eastAsia="Calibri" w:hAnsi="Calibri"/>
      <w:i/>
      <w:iCs/>
      <w:color w:val="5C6470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aption">
    <w:name w:val="Caption"/>
    <w:basedOn w:val="Normal"/>
    <w:next w:val="Normal"/>
    <w:qFormat/>
    <w:pPr>
      <w:spacing w:after="200" w:before="60"/>
    </w:pPr>
    <w:rPr>
      <w:rFonts w:ascii="Calibri" w:cs="Calibri" w:eastAsia="Calibri" w:hAnsi="Calibri"/>
      <w:i/>
      <w:iCs/>
      <w:color w:val="5C647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2026-04-25T22:15:53.165Z</dcterms:created>
  <dcterms:modified xsi:type="dcterms:W3CDTF">2026-04-25T22:15:53.165Z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