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1.png" ContentType="image/png"/>
  <Override PartName="/word/media/rId32.png" ContentType="image/png"/>
  <Override PartName="/word/media/rId28.png" ContentType="image/png"/>
  <Override PartName="/word/media/rId55.png" ContentType="image/png"/>
  <Override PartName="/word/media/rId5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68"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50" w:name="before-the-workhops"/>
    <w:p>
      <w:pPr>
        <w:pStyle w:val="Heading2"/>
      </w:pPr>
      <w:r>
        <w:rPr>
          <w:rStyle w:val="SectionNumber"/>
        </w:rPr>
        <w:t xml:space="preserve">3.2</w:t>
      </w:r>
      <w:r>
        <w:tab/>
      </w:r>
      <w:r>
        <w:t xml:space="preserve">Before the workhops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65" w:name="after-tutorial"/>
    <w:p>
      <w:pPr>
        <w:pStyle w:val="Heading2"/>
      </w:pPr>
      <w:r>
        <w:rPr>
          <w:rStyle w:val="SectionNumber"/>
        </w:rPr>
        <w:t xml:space="preserve">3.3</w:t>
      </w:r>
      <w:r>
        <w:tab/>
      </w:r>
      <w:r>
        <w:t xml:space="preserve">After tutorial</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BodyText"/>
      </w:pPr>
      <w:r>
        <w:t xml:space="preserve">The respondents</w:t>
      </w:r>
    </w:p>
    <w:p>
      <w:pPr>
        <w:pStyle w:val="SourceCode"/>
      </w:pPr>
      <w:r>
        <w:rPr>
          <w:rStyle w:val="VerbatimChar"/>
        </w:rPr>
        <w:t xml:space="preserve">## Warning: There was 1 warning in `mutate()`.</w:t>
      </w:r>
      <w:r>
        <w:br/>
      </w:r>
      <w:r>
        <w:rPr>
          <w:rStyle w:val="VerbatimChar"/>
        </w:rPr>
        <w:t xml:space="preserve">## ℹ In argument: `How.would.you.rate.the.workshop.in.general. =</w:t>
      </w:r>
      <w:r>
        <w:br/>
      </w:r>
      <w:r>
        <w:rPr>
          <w:rStyle w:val="VerbatimChar"/>
        </w:rPr>
        <w:t xml:space="preserve">##   fct_relevel(How.would.you.rate.the.workshop.in.general., factor_levels)`.</w:t>
      </w:r>
      <w:r>
        <w:br/>
      </w:r>
      <w:r>
        <w:rPr>
          <w:rStyle w:val="VerbatimChar"/>
        </w:rPr>
        <w:t xml:space="preserve">## Caused by warning:</w:t>
      </w:r>
      <w:r>
        <w:br/>
      </w:r>
      <w:r>
        <w:rPr>
          <w:rStyle w:val="VerbatimChar"/>
        </w:rPr>
        <w:t xml:space="preserve">## ! 1 unknown level in `f`: Not shared</w:t>
      </w:r>
    </w:p>
    <w:p>
      <w:pPr>
        <w:pStyle w:val="CaptionedFigure"/>
      </w:pPr>
      <w:r>
        <w:drawing>
          <wp:inline>
            <wp:extent cx="5334000" cy="1939636"/>
            <wp:effectExtent b="0" l="0" r="0" t="0"/>
            <wp:docPr descr="Figure 3.7: Respondents rating of the workshop in general faceted for each event." title="" id="52" name="Picture"/>
            <a:graphic>
              <a:graphicData uri="http://schemas.openxmlformats.org/drawingml/2006/picture">
                <pic:pic>
                  <pic:nvPicPr>
                    <pic:cNvPr descr="paper_files/figure-docx/rating-workshop-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rating-workshop"/>
      <w:bookmarkEnd w:id="54"/>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SourceCode"/>
      </w:pPr>
      <w:r>
        <w:rPr>
          <w:rStyle w:val="VerbatimChar"/>
        </w:rPr>
        <w:t xml:space="preserve">## Warning: There was 1 warning in `mutate()`.</w:t>
      </w:r>
      <w:r>
        <w:br/>
      </w:r>
      <w:r>
        <w:rPr>
          <w:rStyle w:val="VerbatimChar"/>
        </w:rPr>
        <w:t xml:space="preserve">## ℹ In argument: `How.would.you.rate.the.teaching.material. =</w:t>
      </w:r>
      <w:r>
        <w:br/>
      </w:r>
      <w:r>
        <w:rPr>
          <w:rStyle w:val="VerbatimChar"/>
        </w:rPr>
        <w:t xml:space="preserve">##   fct_relevel(How.would.you.rate.the.teaching.material., factor_levels)`.</w:t>
      </w:r>
      <w:r>
        <w:br/>
      </w:r>
      <w:r>
        <w:rPr>
          <w:rStyle w:val="VerbatimChar"/>
        </w:rPr>
        <w:t xml:space="preserve">## Caused by warning:</w:t>
      </w:r>
      <w:r>
        <w:br/>
      </w:r>
      <w:r>
        <w:rPr>
          <w:rStyle w:val="VerbatimChar"/>
        </w:rPr>
        <w:t xml:space="preserve">## ! 1 unknown level in `f`: Insufficient</w:t>
      </w:r>
    </w:p>
    <w:p>
      <w:pPr>
        <w:pStyle w:val="SourceCode"/>
      </w:pPr>
      <w:r>
        <w:rPr>
          <w:rStyle w:val="VerbatimChar"/>
        </w:rPr>
        <w:t xml:space="preserve">## Warning: There was 1 warning in `mutate()`.</w:t>
      </w:r>
      <w:r>
        <w:br/>
      </w:r>
      <w:r>
        <w:rPr>
          <w:rStyle w:val="VerbatimChar"/>
        </w:rPr>
        <w:t xml:space="preserve">## ℹ In argument: `How.would.you.rate.the.trainers.teachers. =</w:t>
      </w:r>
      <w:r>
        <w:br/>
      </w:r>
      <w:r>
        <w:rPr>
          <w:rStyle w:val="VerbatimChar"/>
        </w:rPr>
        <w:t xml:space="preserve">##   fct_relevel(How.would.you.rate.the.trainers.teachers., factor_levels)`.</w:t>
      </w:r>
      <w:r>
        <w:br/>
      </w:r>
      <w:r>
        <w:rPr>
          <w:rStyle w:val="VerbatimChar"/>
        </w:rPr>
        <w:t xml:space="preserve">## Caused by warning:</w:t>
      </w:r>
      <w:r>
        <w:br/>
      </w:r>
      <w:r>
        <w:rPr>
          <w:rStyle w:val="VerbatimChar"/>
        </w:rPr>
        <w:t xml:space="preserve">## ! 1 unknown level in `f`: Insufficient</w:t>
      </w:r>
    </w:p>
    <w:p>
      <w:pPr>
        <w:pStyle w:val="FirstParagraph"/>
      </w:pPr>
      <w:r>
        <w:drawing>
          <wp:inline>
            <wp:extent cx="5334000" cy="1939636"/>
            <wp:effectExtent b="0" l="0" r="0" t="0"/>
            <wp:docPr descr="Figure 3.8: Respondents rating of the teaching material in general faceted for each event." title="" id="56" name="Picture"/>
            <a:graphic>
              <a:graphicData uri="http://schemas.openxmlformats.org/drawingml/2006/picture">
                <pic:pic>
                  <pic:nvPicPr>
                    <pic:cNvPr descr="paper_files/figure-docx/rating-teaching-1.png" id="57" name="Picture"/>
                    <pic:cNvPicPr>
                      <a:picLocks noChangeArrowheads="1" noChangeAspect="1"/>
                    </pic:cNvPicPr>
                  </pic:nvPicPr>
                  <pic:blipFill>
                    <a:blip r:embed="rId55"/>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59" name="Picture"/>
            <a:graphic>
              <a:graphicData uri="http://schemas.openxmlformats.org/drawingml/2006/picture">
                <pic:pic>
                  <pic:nvPicPr>
                    <pic:cNvPr descr="paper_files/figure-docx/rating-teaching-2.png" id="60" name="Picture"/>
                    <pic:cNvPicPr>
                      <a:picLocks noChangeArrowheads="1" noChangeAspect="1"/>
                    </pic:cNvPicPr>
                  </pic:nvPicPr>
                  <pic:blipFill>
                    <a:blip r:embed="rId5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2" name="Picture"/>
            <a:graphic>
              <a:graphicData uri="http://schemas.openxmlformats.org/drawingml/2006/picture">
                <pic:pic>
                  <pic:nvPicPr>
                    <pic:cNvPr descr="paper_files/figure-docx/future-abm-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future-abm"/>
      <w:bookmarkEnd w:id="64"/>
      <w:r>
        <w:t xml:space="preserve">Figure 3.10: The respondents reaction to the question if they thing that they will apply ABM in the future.</w:t>
      </w:r>
    </w:p>
    <w:bookmarkEnd w:id="65"/>
    <w:bookmarkStart w:id="66" w:name="final-tutorials"/>
    <w:p>
      <w:pPr>
        <w:pStyle w:val="Heading2"/>
      </w:pPr>
      <w:r>
        <w:rPr>
          <w:rStyle w:val="SectionNumber"/>
        </w:rPr>
        <w:t xml:space="preserve">3.4</w:t>
      </w:r>
      <w:r>
        <w:tab/>
      </w:r>
      <w:r>
        <w:t xml:space="preserve">Final tutorials</w:t>
      </w:r>
    </w:p>
    <w:bookmarkEnd w:id="66"/>
    <w:bookmarkStart w:id="67" w:name="dissemination-of-tutorials"/>
    <w:p>
      <w:pPr>
        <w:pStyle w:val="Heading2"/>
      </w:pPr>
      <w:r>
        <w:rPr>
          <w:rStyle w:val="SectionNumber"/>
        </w:rPr>
        <w:t xml:space="preserve">3.5</w:t>
      </w:r>
      <w:r>
        <w:tab/>
      </w:r>
      <w:r>
        <w:t xml:space="preserve">Dissemination of tutorials</w:t>
      </w:r>
    </w:p>
    <w:p>
      <w:pPr>
        <w:pStyle w:val="FirstParagraph"/>
      </w:pPr>
      <w:r>
        <w:t xml:space="preserve">Website</w:t>
      </w:r>
    </w:p>
    <w:p>
      <w:pPr>
        <w:pStyle w:val="BodyText"/>
      </w:pPr>
      <w:r>
        <w:t xml:space="preserve">Github</w:t>
      </w:r>
    </w:p>
    <w:bookmarkEnd w:id="67"/>
    <w:bookmarkEnd w:id="68"/>
    <w:bookmarkStart w:id="69"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69"/>
    <w:bookmarkStart w:id="70" w:name="acknowledgements"/>
    <w:p>
      <w:pPr>
        <w:pStyle w:val="Heading1"/>
      </w:pPr>
      <w:r>
        <w:rPr>
          <w:rStyle w:val="SectionNumber"/>
        </w:rPr>
        <w:t xml:space="preserve">5</w:t>
      </w:r>
      <w:r>
        <w:tab/>
      </w:r>
      <w:r>
        <w:t xml:space="preserve">Acknowledgements</w:t>
      </w:r>
    </w:p>
    <w:p>
      <w:pPr>
        <w:pStyle w:val="FirstParagraph"/>
      </w:pPr>
      <w:r>
        <w:t xml:space="preserve">We would like to thank the student groups at Saxion University of Applied Sciences that worked with us:</w:t>
      </w:r>
    </w:p>
    <w:p>
      <w:pPr>
        <w:numPr>
          <w:ilvl w:val="0"/>
          <w:numId w:val="1001"/>
        </w:numPr>
      </w:pPr>
      <w:r>
        <w:t xml:space="preserve">September 2022-February 2023: Dany Dragoi, Liam van den Bosch, Marko Stojkovic, Max van Duinen, Nora van den Engel, Roan Man, Stefan Oostingh and their tutor: Mark Spanjer.</w:t>
      </w:r>
    </w:p>
    <w:p>
      <w:pPr>
        <w:numPr>
          <w:ilvl w:val="0"/>
          <w:numId w:val="1001"/>
        </w:numPr>
      </w:pPr>
      <w:r>
        <w:t xml:space="preserve">February 2022-July 2023: Alice Overgaauw, Johan Broersma, Mandy Hazenberg, Paulina Fulneczek, Ties Heesink and their tutor: Jan Willem Huson.</w:t>
      </w:r>
    </w:p>
    <w:p>
      <w:pPr>
        <w:numPr>
          <w:ilvl w:val="0"/>
          <w:numId w:val="1001"/>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0"/>
    <w:bookmarkStart w:id="90" w:name="references"/>
    <w:p>
      <w:pPr>
        <w:pStyle w:val="Heading1"/>
      </w:pPr>
      <w:r>
        <w:t xml:space="preserve">References</w:t>
      </w:r>
    </w:p>
    <w:bookmarkStart w:id="89" w:name="refs"/>
    <w:bookmarkStart w:id="72" w:name="ref-grolemund2011"/>
    <w:p>
      <w:pPr>
        <w:pStyle w:val="Bibliography"/>
      </w:pPr>
      <w:r>
        <w:t xml:space="preserve">Grolemund, G and Wickham, H. 2011</w:t>
      </w:r>
      <w:r>
        <w:t xml:space="preserve"> </w:t>
      </w:r>
      <w:hyperlink r:id="rId7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72"/>
    <w:bookmarkStart w:id="74" w:name="ref-rcoreteam2023"/>
    <w:p>
      <w:pPr>
        <w:pStyle w:val="Bibliography"/>
      </w:pPr>
      <w:r>
        <w:t xml:space="preserve">R Core Team. 2023</w:t>
      </w:r>
      <w:r>
        <w:t xml:space="preserve"> </w:t>
      </w:r>
      <w:hyperlink r:id="rId73">
        <w:r>
          <w:rPr>
            <w:rStyle w:val="Hyperlink"/>
            <w:iCs/>
            <w:i/>
          </w:rPr>
          <w:t xml:space="preserve">R: A language and environment for statistical computing</w:t>
        </w:r>
      </w:hyperlink>
      <w:r>
        <w:t xml:space="preserve">.</w:t>
      </w:r>
    </w:p>
    <w:bookmarkEnd w:id="74"/>
    <w:bookmarkStart w:id="76" w:name="ref-romanowska2021"/>
    <w:p>
      <w:pPr>
        <w:pStyle w:val="Bibliography"/>
      </w:pPr>
      <w:r>
        <w:t xml:space="preserve">Romanowska, I, Wren, CD and Crabtree, SA. 2021.</w:t>
      </w:r>
      <w:r>
        <w:t xml:space="preserve"> </w:t>
      </w:r>
      <w:hyperlink r:id="rId75">
        <w:r>
          <w:rPr>
            <w:rStyle w:val="Hyperlink"/>
            <w:iCs/>
            <w:i/>
          </w:rPr>
          <w:t xml:space="preserve">Agent-based modeling for archaeology: Simulating the complexity of societies</w:t>
        </w:r>
      </w:hyperlink>
      <w:r>
        <w:t xml:space="preserve">. Santa Fe: Santa Fe Institute Press.</w:t>
      </w:r>
    </w:p>
    <w:bookmarkEnd w:id="76"/>
    <w:bookmarkStart w:id="78"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77">
        <w:r>
          <w:rPr>
            <w:rStyle w:val="Hyperlink"/>
          </w:rPr>
          <w:t xml:space="preserve">10.5334/jcaa.26</w:t>
        </w:r>
      </w:hyperlink>
      <w:r>
        <w:t xml:space="preserve">.</w:t>
      </w:r>
    </w:p>
    <w:bookmarkEnd w:id="78"/>
    <w:bookmarkStart w:id="80" w:name="ref-wickham2016"/>
    <w:p>
      <w:pPr>
        <w:pStyle w:val="Bibliography"/>
      </w:pPr>
      <w:r>
        <w:t xml:space="preserve">Wickham, H. 2016.</w:t>
      </w:r>
      <w:r>
        <w:t xml:space="preserve"> </w:t>
      </w:r>
      <w:hyperlink r:id="rId79">
        <w:r>
          <w:rPr>
            <w:rStyle w:val="Hyperlink"/>
            <w:iCs/>
            <w:i/>
          </w:rPr>
          <w:t xml:space="preserve">ggplot2: Elegant graphics for data analysis</w:t>
        </w:r>
      </w:hyperlink>
      <w:r>
        <w:t xml:space="preserve">. Springer-Verlag New York.</w:t>
      </w:r>
    </w:p>
    <w:bookmarkEnd w:id="80"/>
    <w:bookmarkStart w:id="82" w:name="ref-wickham2023b"/>
    <w:p>
      <w:pPr>
        <w:pStyle w:val="Bibliography"/>
      </w:pPr>
      <w:r>
        <w:t xml:space="preserve">Wickham, H. 2023a</w:t>
      </w:r>
      <w:r>
        <w:t xml:space="preserve"> </w:t>
      </w:r>
      <w:hyperlink r:id="rId81">
        <w:r>
          <w:rPr>
            <w:rStyle w:val="Hyperlink"/>
            <w:iCs/>
            <w:i/>
          </w:rPr>
          <w:t xml:space="preserve">Forcats: Tools for working with categorical variables (factors)</w:t>
        </w:r>
      </w:hyperlink>
      <w:r>
        <w:t xml:space="preserve">.</w:t>
      </w:r>
    </w:p>
    <w:bookmarkEnd w:id="82"/>
    <w:bookmarkStart w:id="84" w:name="ref-wickham2023c"/>
    <w:p>
      <w:pPr>
        <w:pStyle w:val="Bibliography"/>
      </w:pPr>
      <w:r>
        <w:t xml:space="preserve">Wickham, H. 2023b</w:t>
      </w:r>
      <w:r>
        <w:t xml:space="preserve"> </w:t>
      </w:r>
      <w:hyperlink r:id="rId83">
        <w:r>
          <w:rPr>
            <w:rStyle w:val="Hyperlink"/>
            <w:iCs/>
            <w:i/>
          </w:rPr>
          <w:t xml:space="preserve">Stringr: Simple, consistent wrappers for common string operations</w:t>
        </w:r>
      </w:hyperlink>
      <w:r>
        <w:t xml:space="preserve">.</w:t>
      </w:r>
    </w:p>
    <w:bookmarkEnd w:id="84"/>
    <w:bookmarkStart w:id="86" w:name="ref-wickham2023a"/>
    <w:p>
      <w:pPr>
        <w:pStyle w:val="Bibliography"/>
      </w:pPr>
      <w:r>
        <w:t xml:space="preserve">Wickham, H, François, R, Henry, L, Müller, K and Vaughan, D. 2023</w:t>
      </w:r>
      <w:r>
        <w:t xml:space="preserve"> </w:t>
      </w:r>
      <w:hyperlink r:id="rId85">
        <w:r>
          <w:rPr>
            <w:rStyle w:val="Hyperlink"/>
            <w:iCs/>
            <w:i/>
          </w:rPr>
          <w:t xml:space="preserve">Dplyr: A grammar of data manipulation</w:t>
        </w:r>
      </w:hyperlink>
      <w:r>
        <w:t xml:space="preserve">.</w:t>
      </w:r>
    </w:p>
    <w:bookmarkEnd w:id="86"/>
    <w:bookmarkStart w:id="88" w:name="ref-wickham2023"/>
    <w:p>
      <w:pPr>
        <w:pStyle w:val="Bibliography"/>
      </w:pPr>
      <w:r>
        <w:t xml:space="preserve">Wickham, H, Vaughan, D and Girlich, M. 2023</w:t>
      </w:r>
      <w:r>
        <w:t xml:space="preserve"> </w:t>
      </w:r>
      <w:hyperlink r:id="rId87">
        <w:r>
          <w:rPr>
            <w:rStyle w:val="Hyperlink"/>
            <w:iCs/>
            <w:i/>
          </w:rPr>
          <w:t xml:space="preserve">Tidyr: Tidy messy data</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2024-03-01T08:07:09Z</dcterms:created>
  <dcterms:modified xsi:type="dcterms:W3CDTF">2024-03-01T08:07:09Z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knit">
    <vt:lpwstr>(function(inputFile, encoding) { rmarkdown::render(inputFile, encoding = encoding, output_format = “all”) })</vt:lpwstr>
  </property>
  <property fmtid="{D5CDD505-2E9C-101B-9397-08002B2CF9AE}" pid="5" name="output">
    <vt:lpwstr/>
  </property>
</Properties>
</file>