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36.png" ContentType="image/png"/>
  <Override PartName="/word/media/rId62.png" ContentType="image/png"/>
  <Override PartName="/word/media/rId32.png" ContentType="image/png"/>
  <Override PartName="/word/media/rId28.png" ContentType="image/png"/>
  <Override PartName="/word/media/rId56.png" ContentType="image/png"/>
  <Override PartName="/word/media/rId5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May</w:t>
      </w:r>
      <w:r>
        <w:t xml:space="preserve"> </w:t>
      </w:r>
      <w:r>
        <w:t xml:space="preserve">15,</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Computational modelling has become a standard research technique across most scientific disciplines including archaeology. Among the many computational modelling techniques the discipline has found agent-based modelling to be particularly well suited to the questions asked by archaeologists. Agent-based modelling is a simulation technique where autonomous agents interact with each other and with the environment around. Their aggregated behaviour gives rise to system-level outcomes thus enabling researchers to understand how</w:t>
      </w:r>
      <w:r>
        <w:t xml:space="preserve"> </w:t>
      </w:r>
      <w:r>
        <w:rPr>
          <w:iCs/>
          <w:i/>
        </w:rPr>
        <w:t xml:space="preserve">micro</w:t>
      </w:r>
      <w:r>
        <w:t xml:space="preserve"> </w:t>
      </w:r>
      <w:r>
        <w:t xml:space="preserve">(individual)</w:t>
      </w:r>
      <w:r>
        <w:t xml:space="preserve"> </w:t>
      </w:r>
      <w:r>
        <w:rPr>
          <w:iCs/>
          <w:i/>
        </w:rPr>
        <w:t xml:space="preserve">mechanisms</w:t>
      </w:r>
      <w:r>
        <w:t xml:space="preserve"> </w:t>
      </w:r>
      <w:r>
        <w:t xml:space="preserve">lead to</w:t>
      </w:r>
      <w:r>
        <w:t xml:space="preserve"> </w:t>
      </w:r>
      <w:r>
        <w:rPr>
          <w:iCs/>
          <w:i/>
        </w:rPr>
        <w:t xml:space="preserve">macro</w:t>
      </w:r>
      <w:r>
        <w:t xml:space="preserve"> </w:t>
      </w:r>
      <w:r>
        <w:t xml:space="preserve">(system-level)</w:t>
      </w:r>
      <w:r>
        <w:t xml:space="preserve"> </w:t>
      </w:r>
      <w:r>
        <w:rPr>
          <w:iCs/>
          <w:i/>
        </w:rPr>
        <w:t xml:space="preserve">patterns</w:t>
      </w:r>
      <w:r>
        <w:t xml:space="preserve">.</w:t>
      </w:r>
    </w:p>
    <w:p>
      <w:pPr>
        <w:pStyle w:val="BodyText"/>
      </w:pPr>
      <w:r>
        <w:t xml:space="preserve">While Agent-Based Modelling importance in archaeological practice is steadily growing</w:t>
      </w:r>
      <w:r>
        <w:t xml:space="preserve"> </w:t>
      </w:r>
      <w:r>
        <w:t xml:space="preserve">(Romanowska and Scherjon 2023)</w:t>
      </w:r>
      <w:r>
        <w:t xml:space="preserve"> </w:t>
      </w:r>
      <w:r>
        <w:t xml:space="preserve">there are significant bariers to its wider adoption. One of the sectorial problems is the access to vocational training required to gain the necessary computer programming and modelling skills.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the limited opportunities that archaeologists have to access high quality training through a project aiming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 full programme consists of five hands-on practical tutorials, taking learners through the process of creating the digital models. The modular architecture ensures that they can be independent or incorporated into other teaching tools like learning management systems. They are also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a set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Development of the framework for skills acquisition aligned with the Digital Skills Passport [DOUG: reference]?</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a surge in professionals who can build, apply and critique archaeological simulation thus opening new research avenues for the discipline as a whole;</w:t>
      </w:r>
    </w:p>
    <w:p>
      <w:pPr>
        <w:numPr>
          <w:ilvl w:val="0"/>
          <w:numId w:val="1002"/>
        </w:numPr>
      </w:pPr>
      <w:r>
        <w:t xml:space="preserve">increased level of digital competence, specifically in advanced computer skills that are highly transferable to other industries. This includes technical skills such as programming but also</w:t>
      </w:r>
      <w:r>
        <w:t xml:space="preserve"> </w:t>
      </w:r>
      <w:r>
        <w:t xml:space="preserve">“</w:t>
      </w:r>
      <w:r>
        <w:t xml:space="preserve">soft</w:t>
      </w:r>
      <w:r>
        <w:t xml:space="preserve">”</w:t>
      </w:r>
      <w:r>
        <w:t xml:space="preserve"> </w:t>
      </w:r>
      <w:r>
        <w:t xml:space="preserve">skills related to computational thinking;</w:t>
      </w:r>
    </w:p>
    <w:p>
      <w:pPr>
        <w:numPr>
          <w:ilvl w:val="0"/>
          <w:numId w:val="1002"/>
        </w:numPr>
      </w:pPr>
      <w:r>
        <w:t xml:space="preserve">improved transnational mobility through matching of the skills being delivered with European and Sectoral Frameworks for education, leading to individual workers being better enabled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training in Agent-based Modelling that is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whose computational literacy could not be assumed.</w:t>
      </w:r>
    </w:p>
    <w:bookmarkEnd w:id="20"/>
    <w:bookmarkStart w:id="25" w:name="method"/>
    <w:p>
      <w:pPr>
        <w:pStyle w:val="Heading1"/>
      </w:pPr>
      <w:r>
        <w:rPr>
          <w:rStyle w:val="SectionNumber"/>
        </w:rPr>
        <w:t xml:space="preserve">2</w:t>
      </w:r>
      <w:r>
        <w:tab/>
      </w:r>
      <w:r>
        <w:t xml:space="preserve">Method</w:t>
      </w:r>
    </w:p>
    <w:p>
      <w:pPr>
        <w:pStyle w:val="FirstParagraph"/>
      </w:pPr>
      <w:r>
        <w:t xml:space="preserve">The project team developed five online tutorials. The tutorials were first designed using storyboards and later converted into interactive guided walk-throughs using NetLOGO Web (</w:t>
      </w:r>
      <w:hyperlink r:id="rId21">
        <w:r>
          <w:rPr>
            <w:rStyle w:val="Hyperlink"/>
          </w:rPr>
          <w:t xml:space="preserve">https://www.netlogoweb.org/launch</w:t>
        </w:r>
      </w:hyperlink>
      <w:r>
        <w:t xml:space="preserve">) and Javascript and hosted on GitHub (</w:t>
      </w:r>
      <w:hyperlink r:id="rId22">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ABMA learning materials assume that participants have learning skills at least at a secondary education level. It is suitable for participants with at least some background in archaeology, such as those typical among students after the first year of a Bachelor study in Archaeology, i.e.,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were also developed with a secondary aim to develop learners’ general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 on a wider sample of participants during several online and in-person events all of which were run by members of the project team. Recognising the difficulty of delivering practical training in an online environment during the online events several members of the team were present which enabled participants to go to break-out rooms with an expert if they needed additional help or wanted to discuss things. Throughout the project we sought feedback from the participants and used it to improve the tutorials prior to the following events. The feedback was obtained through two surveys using Qualtrics. The participants of the events were asked to respond to two surveys: one before the start of the event and one completed after the end of the event. The first survey focused on the background of the participants and their original level of knowledge in relation to ABM (see appendix … for the questions). At the end of the event the participants were asked to answer a second survey. Questions of this survey were aimed at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event.</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3">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4">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new ideas, developing educational material, testing the tutorials and developing a style for the website and other materials.</w:t>
      </w:r>
    </w:p>
    <w:bookmarkEnd w:id="25"/>
    <w:bookmarkStart w:id="74" w:name="results"/>
    <w:p>
      <w:pPr>
        <w:pStyle w:val="Heading1"/>
      </w:pPr>
      <w:r>
        <w:rPr>
          <w:rStyle w:val="SectionNumber"/>
        </w:rPr>
        <w:t xml:space="preserve">3</w:t>
      </w:r>
      <w:r>
        <w:tab/>
      </w:r>
      <w:r>
        <w:t xml:space="preserve">Results</w:t>
      </w:r>
    </w:p>
    <w:bookmarkStart w:id="26" w:name="workhops-and-tutorials"/>
    <w:p>
      <w:pPr>
        <w:pStyle w:val="Heading2"/>
      </w:pPr>
      <w:r>
        <w:rPr>
          <w:rStyle w:val="SectionNumber"/>
        </w:rPr>
        <w:t xml:space="preserve">3.1</w:t>
      </w:r>
      <w:r>
        <w:tab/>
      </w:r>
      <w:r>
        <w:t xml:space="preserve">Workhops and tutorials</w:t>
      </w:r>
    </w:p>
    <w:bookmarkEnd w:id="26"/>
    <w:bookmarkStart w:id="27" w:name="final-tutorials"/>
    <w:p>
      <w:pPr>
        <w:pStyle w:val="Heading2"/>
      </w:pPr>
      <w:r>
        <w:rPr>
          <w:rStyle w:val="SectionNumber"/>
        </w:rPr>
        <w:t xml:space="preserve">3.2</w:t>
      </w:r>
      <w:r>
        <w:tab/>
      </w:r>
      <w:r>
        <w:t xml:space="preserve">Final tutorials</w:t>
      </w:r>
    </w:p>
    <w:p>
      <w:pPr>
        <w:pStyle w:val="FirstParagraph"/>
      </w:pPr>
      <w:r>
        <w:t xml:space="preserve">The final set of ABMA tutorals are available for download at</w:t>
      </w:r>
      <w:r>
        <w:t xml:space="preserve"> </w:t>
      </w:r>
      <w:hyperlink r:id="rId22">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number of individual lessons, each of which guides the learner in a self-pace manner through an increasingly challenging set of exercises that build the skills and knowledge necessary to become a confident agent-based modeller.</w:t>
      </w:r>
    </w:p>
    <w:p>
      <w:pPr>
        <w:pStyle w:val="BodyText"/>
      </w:pPr>
      <w:r>
        <w:t xml:space="preserve">In the first tutorial the user learn what simulations and agent-based models are and how they can help in archaeological research. This tutorial consists of 4 lessons. The first two lessons introduce the learner to simulation in general and Agent-Based Modelling in specific. Various concepts related to ABM, such as the definitions of model and simulation, are introduced and the participants make their first steps in NetLogo syntax. The third lesson explains how ABMs are used in archaeological research. The final lesson introduces the learner to the NetLogo Interface and the difference between the Interactive and Authoring mode. This tutorial builds a foundation for working in NetLogo and with ABM. All activity stays within the entree level of difficulty, although some higher level concepts are lightly touched upon.</w:t>
      </w:r>
    </w:p>
    <w:p>
      <w:pPr>
        <w:pStyle w:val="BodyText"/>
      </w:pPr>
      <w:r>
        <w:t xml:space="preserve">In tutorial 2 the user will learn the basics of NetLogo by making your their simulation on the Out of Africal dispersal of</w:t>
      </w:r>
      <w:r>
        <w:t xml:space="preserve"> </w:t>
      </w:r>
      <w:r>
        <w:rPr>
          <w:iCs/>
          <w:i/>
        </w:rPr>
        <w:t xml:space="preserve">Homo sapiens</w:t>
      </w:r>
      <w:r>
        <w:t xml:space="preserve"> </w:t>
      </w:r>
      <w:r>
        <w:t xml:space="preserve">(Young and Bettinger 1995)</w:t>
      </w:r>
      <w:r>
        <w:t xml:space="preserve">.The learner works through the basics of NetLogo syntax and learn how to set up a simulation and visualize its outcomes. This tutorial consists of 9 lessons. This tutorial intends to guide the learner from the introduction to the beginner level of proficiency. The learning curve is relatively gentle. This is achieved by working with the NetLogo web interface that enables highlighting specific words and buttons and giving visual cues as to how to proceed. The tutorial intoduces several most commonly used built-in functions in Netlogo (called</w:t>
      </w:r>
      <w:r>
        <w:t xml:space="preserve"> </w:t>
      </w:r>
      <w:r>
        <w:rPr>
          <w:iCs/>
          <w:i/>
        </w:rPr>
        <w:t xml:space="preserve">primitives</w:t>
      </w:r>
      <w:r>
        <w:t xml:space="preserve">) are introduces the general structure of all models cosisting of the initialization phase and the main simulation loop. It walks the participants through te most important NetLogo settings, such as dimensions, coordinates and the origin point of the grid on which the simulation runs. The learners gain their first stripes in programming by using simple loops and functions as well as conditional statements. The next level is achieved by introducing the topic of function definition and different types of variables. Exporting data produced by the model through plots is also explained.</w:t>
      </w:r>
    </w:p>
    <w:p>
      <w:pPr>
        <w:pStyle w:val="BodyText"/>
      </w:pPr>
      <w:r>
        <w:t xml:space="preserve">In the third tutorial, the learner builds a simple trade model, again based on a published simulation</w:t>
      </w:r>
      <w:r>
        <w:t xml:space="preserve"> </w:t>
      </w:r>
      <w:r>
        <w:t xml:space="preserve">(Romanowska 2018)</w:t>
      </w:r>
      <w:r>
        <w:t xml:space="preserve">. Here learners are expanding their NetLogo programming skills with more complexity added to such syntactic structures as loops, lists and reporters. The learner is introduced to some key computational techniques like modular code development and debugging which become important alongside this increased coding complexity. This tutorial consists of 7 lessons. This tutorial intends to guide the learner from the beginner to the intermediate level of proficiency. This is achieved by introducing standards of code development such as modular code, pseudocode, debugging and annotating the code. In addition, the tutorial introduces custom agent breeds, visualization with labels and reporters, plots and monitors. This takes the learner to a more advanced level, since it develops knowledge of the programming language combined with diagnosing unexpected behaviour and problem solving.</w:t>
      </w:r>
    </w:p>
    <w:p>
      <w:pPr>
        <w:pStyle w:val="BodyText"/>
      </w:pPr>
      <w:r>
        <w:t xml:space="preserve">In tutorial 4 the learner works with a seminal Sugarscape model</w:t>
      </w:r>
      <w:r>
        <w:t xml:space="preserve"> </w:t>
      </w:r>
      <w:r>
        <w:t xml:space="preserve">(Epstein and Axtell 1996)</w:t>
      </w:r>
      <w:r>
        <w:t xml:space="preserve"> </w:t>
      </w:r>
      <w:r>
        <w:t xml:space="preserve">to further expand their agent-based modelling and NetLogo skills. The learner explores how to set up more complex interactions between agents and the environment. Furthermore, the principles of setting up good experiments and validating models is explained. This tutorial consists of 8 lessons. This tutorial intends to solidify the learner’s understanding at the intermediate level of proficiency by introducing yet more complex agent-environment interaction, alternative ways to visualize the environment and modelling spatial dynamics. Creating toy landscapes is central to lesson 5. The learner dives into the topic of experiment design at a practical level but also with regards to the scientific principles, such as validation. Thus they are guided through the process of setting up experiments in NetLogo and collecting results using monitors and plots. The topic of validation of agent-based models is critical for most archaelogical applications and thus several ways to compare simulation results with the archaeological record are explored.</w:t>
      </w:r>
    </w:p>
    <w:p>
      <w:pPr>
        <w:pStyle w:val="BodyText"/>
      </w:pPr>
      <w:r>
        <w:t xml:space="preserve">In the final and fifth tutorial the participant learn smore about how to incorporate agent-based modelling in archaeological research. This tutorial focuses less on programming in NetLogo and more on the principle and standards of computer-based modelling. The learner learns about the different phases of the model development process. This tutorial consists of 5 lessons. This tutorial summarizes the material delivered in the previous lessons into one coherent framework consistent with an intermediate level of proficiency. This tutorial approaches more theoretical aspects in a practical environment. The learner revisits all phases of the model development process starting with the conceptual phase and finishing with the analysis and interpretation of results. There is a particular focus on discussing what kind of research questions are suitable for modelling and how to pick the right modelling technique. The importance of properly conceptualizing a model before starting the technical phase of the model development is highlighted as it is a common issue for less experienced modellers. The experiment design phase, including parametrisation, validation and the analysis and interpretation of the models is explained at length since it often prove challenging for students. On a practical side, the BehaviorSpace - NetLogo’s experiment environment - is explained to enable the learners to batch run their models. Finally the dissemination phase of the model development is also included to ensure that the standards in model publication are widely known. Finally, the learners explores the fundamental importance of replication for advancing scientific knowledge.</w:t>
      </w:r>
    </w:p>
    <w:bookmarkEnd w:id="27"/>
    <w:bookmarkStart w:id="50"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at least 40 countries that represented almost all continents (see Figure</w:t>
      </w:r>
      <w:r>
        <w:t xml:space="preserve"> </w:t>
      </w:r>
      <w:r>
        <w:t xml:space="preserve">3.1</w:t>
      </w:r>
      <w:r>
        <w:t xml:space="preserve">. There was a clear skew towards participants from Europe.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although the majority fell between 20 and 40 years old indicating that the audience was predominantly composed of early career archaeologists. It seems that the different events also had a slightly different distribution of both gender and age. For example, more older people attended the workshop at the CAA conference in April 2023 and more men were present during the workshop at the Reuvensdagen in November 2023. This might be due the the differences of audiences at the conferences. For the Reuvensdagen the number of participants of the workshop was relatively low and this variance might be due to chance.</w:t>
      </w:r>
    </w:p>
    <w:p>
      <w:pPr>
        <w:pStyle w:val="CaptionedFigure"/>
      </w:pPr>
      <w:r>
        <w:drawing>
          <wp:inline>
            <wp:extent cx="4620126" cy="3696101"/>
            <wp:effectExtent b="0" l="0" r="0" t="0"/>
            <wp:docPr descr="Figure 3.1: The nationality of the participants that filled in the survey." title="" id="29" name="Picture"/>
            <a:graphic>
              <a:graphicData uri="http://schemas.openxmlformats.org/drawingml/2006/picture">
                <pic:pic>
                  <pic:nvPicPr>
                    <pic:cNvPr descr="paper_files/figure-docx/nationalit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1" w:name="fig:nationality"/>
      <w:bookmarkEnd w:id="31"/>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3" name="Picture"/>
            <a:graphic>
              <a:graphicData uri="http://schemas.openxmlformats.org/drawingml/2006/picture">
                <pic:pic>
                  <pic:nvPicPr>
                    <pic:cNvPr descr="paper_files/figure-docx/gender-age-1.png" id="34"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5" w:name="fig:gender-age"/>
      <w:bookmarkEnd w:id="35"/>
      <w:r>
        <w:t xml:space="preserve">Figure 3.2: The gender and age distribution of the respondents for each workshop</w:t>
      </w:r>
    </w:p>
    <w:p>
      <w:pPr>
        <w:pStyle w:val="BodyText"/>
      </w:pPr>
      <w:r>
        <w:t xml:space="preserve">Most of the respondents reported having a level of computer literacy already including particular computational skills common in archaeology, for example working with word processors, GIS and spreadsheets (see Figure</w:t>
      </w:r>
      <w:r>
        <w:t xml:space="preserve"> </w:t>
      </w:r>
      <w:r>
        <w:t xml:space="preserve">3.3</w:t>
      </w:r>
      <w:r>
        <w:t xml:space="preserve">), and 111 of the respondents had some prior knowledge of ABM, while 59 were completely new to the subject. The majority (158) had never applied ABM to their research before participating in the workshops with only 14 participants who had experience of developing archaeological ABM. It is interesting to note that many respondents (108)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7" name="Picture"/>
            <a:graphic>
              <a:graphicData uri="http://schemas.openxmlformats.org/drawingml/2006/picture">
                <pic:pic>
                  <pic:nvPicPr>
                    <pic:cNvPr descr="paper_files/figure-docx/computer-skill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39" w:name="fig:computer-skills"/>
      <w:bookmarkEnd w:id="39"/>
      <w:r>
        <w:t xml:space="preserve">Figure 3.3: The computer skills of the respondents.</w:t>
      </w:r>
    </w:p>
    <w:p>
      <w:pPr>
        <w:pStyle w:val="BodyText"/>
      </w:pPr>
      <w:r>
        <w:drawing>
          <wp:inline>
            <wp:extent cx="2667000" cy="2133600"/>
            <wp:effectExtent b="0" l="0" r="0" t="0"/>
            <wp:docPr descr="Figure 3.4: Respondents knowledge and experience with ABM." title="" id="41" name="Picture"/>
            <a:graphic>
              <a:graphicData uri="http://schemas.openxmlformats.org/drawingml/2006/picture">
                <pic:pic>
                  <pic:nvPicPr>
                    <pic:cNvPr descr="paper_files/figure-docx/abm-knowledge-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4" name="Picture"/>
            <a:graphic>
              <a:graphicData uri="http://schemas.openxmlformats.org/drawingml/2006/picture">
                <pic:pic>
                  <pic:nvPicPr>
                    <pic:cNvPr descr="paper_files/figure-docx/abm-knowledge-2.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64 of them had no opinion on the subject, a proportion of the respondents (28) answered that they rated the available theory on ABM as limited and only a small group (39) as sufficient or better. This clearly shows the need for more and better educational material.</w:t>
      </w:r>
    </w:p>
    <w:p>
      <w:pPr>
        <w:pStyle w:val="CaptionedFigure"/>
      </w:pPr>
      <w:r>
        <w:drawing>
          <wp:inline>
            <wp:extent cx="5334000" cy="1939636"/>
            <wp:effectExtent b="0" l="0" r="0" t="0"/>
            <wp:docPr descr="Figure 3.6: Respondents optionion on the quality of theory on ABM faceted out by event." title="" id="47" name="Picture"/>
            <a:graphic>
              <a:graphicData uri="http://schemas.openxmlformats.org/drawingml/2006/picture">
                <pic:pic>
                  <pic:nvPicPr>
                    <pic:cNvPr descr="paper_files/figure-docx/available-theory-1.png" id="48" name="Picture"/>
                    <pic:cNvPicPr>
                      <a:picLocks noChangeArrowheads="1" noChangeAspect="1"/>
                    </pic:cNvPicPr>
                  </pic:nvPicPr>
                  <pic:blipFill>
                    <a:blip r:embed="rId4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9" w:name="fig:available-theory"/>
      <w:bookmarkEnd w:id="49"/>
      <w:r>
        <w:t xml:space="preserve">Figure 3.6: Respondents optionion on the quality of theory on ABM faceted out by event.</w:t>
      </w:r>
    </w:p>
    <w:bookmarkEnd w:id="50"/>
    <w:bookmarkStart w:id="51"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participants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installments.</w:t>
      </w:r>
    </w:p>
    <w:bookmarkEnd w:id="51"/>
    <w:bookmarkStart w:id="66" w:name="after-the-workshop"/>
    <w:p>
      <w:pPr>
        <w:pStyle w:val="Heading2"/>
      </w:pPr>
      <w:r>
        <w:rPr>
          <w:rStyle w:val="SectionNumber"/>
        </w:rPr>
        <w:t xml:space="preserve">3.5</w:t>
      </w:r>
      <w:r>
        <w:tab/>
      </w:r>
      <w:r>
        <w:t xml:space="preserve">After the workshop</w:t>
      </w:r>
    </w:p>
    <w:p>
      <w:pPr>
        <w:pStyle w:val="FirstParagraph"/>
      </w:pPr>
      <w:r>
        <w:t xml:space="preserve">A similar proportion of the participants of the workshops gave us information after the workshops (171 of 368 participants).</w:t>
      </w:r>
    </w:p>
    <w:p>
      <w:pPr>
        <w:pStyle w:val="CaptionedFigure"/>
      </w:pPr>
      <w:r>
        <w:drawing>
          <wp:inline>
            <wp:extent cx="5334000" cy="1939636"/>
            <wp:effectExtent b="0" l="0" r="0" t="0"/>
            <wp:docPr descr="Figure 3.7: Respondents rating of the workshop in general faceted for each event." title="" id="53" name="Picture"/>
            <a:graphic>
              <a:graphicData uri="http://schemas.openxmlformats.org/drawingml/2006/picture">
                <pic:pic>
                  <pic:nvPicPr>
                    <pic:cNvPr descr="paper_files/figure-docx/rating-workshop-1.png" id="54" name="Picture"/>
                    <pic:cNvPicPr>
                      <a:picLocks noChangeArrowheads="1" noChangeAspect="1"/>
                    </pic:cNvPicPr>
                  </pic:nvPicPr>
                  <pic:blipFill>
                    <a:blip r:embed="rId5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5" w:name="fig:rating-workshop"/>
      <w:bookmarkEnd w:id="55"/>
      <w:r>
        <w:t xml:space="preserve">Figure 3.7: Respondents rating of the workshop in general faceted for each event.</w:t>
      </w:r>
    </w:p>
    <w:p>
      <w:pPr>
        <w:pStyle w:val="BodyText"/>
      </w:pPr>
      <w:r>
        <w:t xml:space="preserve">of the respondents were enthusiastic about the teaching material, with the majority rating it as excellent or good. The teachers were rated even higher than the teaching material, with more respondents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t xml:space="preserve">The majority of the respondents (153) were enthusiastic about the teaching material, with the majority rating it as excellent or good. The teachers were even rated better than the teaching material, with more respondents (165)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7" name="Picture"/>
            <a:graphic>
              <a:graphicData uri="http://schemas.openxmlformats.org/drawingml/2006/picture">
                <pic:pic>
                  <pic:nvPicPr>
                    <pic:cNvPr descr="paper_files/figure-docx/rating-teaching-1.png" id="58" name="Picture"/>
                    <pic:cNvPicPr>
                      <a:picLocks noChangeArrowheads="1" noChangeAspect="1"/>
                    </pic:cNvPicPr>
                  </pic:nvPicPr>
                  <pic:blipFill>
                    <a:blip r:embed="rId56"/>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0" name="Picture"/>
            <a:graphic>
              <a:graphicData uri="http://schemas.openxmlformats.org/drawingml/2006/picture">
                <pic:pic>
                  <pic:nvPicPr>
                    <pic:cNvPr descr="paper_files/figure-docx/rating-teaching-2.png" id="61" name="Picture"/>
                    <pic:cNvPicPr>
                      <a:picLocks noChangeArrowheads="1" noChangeAspect="1"/>
                    </pic:cNvPicPr>
                  </pic:nvPicPr>
                  <pic:blipFill>
                    <a:blip r:embed="rId59"/>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(What aspects did you like most?), and the other was aimed at getting feedback to improve the tutorials (What would you like to see changed or what could be better/different?).</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as most participants were working in the own pace and did not need much help. From a didactic point of view, the self-guided and self-paced way of going through the tutorials is very efficient for teachers and limits the frustration of students that may otherwise go too fast or fall behind the class when the tempo is dictated by the teacher.</w:t>
      </w:r>
    </w:p>
    <w:p>
      <w:pPr>
        <w:pStyle w:val="BodyText"/>
      </w:pPr>
      <w:r>
        <w:t xml:space="preserve">We also received feedback on possible improvements. During the first, big event CAA-conference in Amsterdam in April 2023 we did the first test of the tutorials and we also instructed the participants that this was work in progress. For this and the following few workshops we mostly received feedback about bugs causing the tutorial to crash or creating unexpected behaviour. The number of references to bugs reduced to zero by the end of the project and participants started providing other feedback, for example the wish to see more examples or expanding the tutorials further. Some wanted to introduce more cooperation between participants, which we did not consider primarily aiming the tutorials for individual work. A more cooperative aspect of the education materials is possible, even if harder for online events, and we hope that a wider classroom use of the ABMA materials may deliver solutions. It was also interesting to note that over time more and more people did not see any additional room for improvement indicating that the level, content and format of the tutorials met their needs.</w:t>
      </w:r>
    </w:p>
    <w:p>
      <w:pPr>
        <w:pStyle w:val="BodyText"/>
      </w:pPr>
      <w:r>
        <w:t xml:space="preserve">We also asked the participants about their intentions in terms of ABM and their professional life. The majority of the respondents - 88%, wanted to apply ABM in the future in their research (Figure</w:t>
      </w:r>
      <w:r>
        <w:t xml:space="preserve"> </w:t>
      </w:r>
      <w:r>
        <w:t xml:space="preserve">3.10</w:t>
      </w:r>
      <w:r>
        <w:t xml:space="preserve">). Some of the respondents were already using ABM in their work. A large group (around 20-30%) was not sure yet how to apply ABM and wanted to read more on the subject or play a bit with the possibilities. Many respondents also shared the context to which they were thinking to apply ABM mentioning topics such as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frequently, often in relation to GIS and the question of how complimentary these two computational techniques are.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3" name="Picture"/>
            <a:graphic>
              <a:graphicData uri="http://schemas.openxmlformats.org/drawingml/2006/picture">
                <pic:pic>
                  <pic:nvPicPr>
                    <pic:cNvPr descr="paper_files/figure-docx/future-abm-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5" w:name="fig:future-abm"/>
      <w:bookmarkEnd w:id="65"/>
      <w:r>
        <w:t xml:space="preserve">Figure 3.10: The respondents reaction to the question if they thing that they will apply ABM in the future.</w:t>
      </w:r>
    </w:p>
    <w:bookmarkEnd w:id="66"/>
    <w:bookmarkStart w:id="69"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 A more extensive description of the Digital Competence Framework for Citizens in relation to Agent-Based Modelling for archaeologists is also available</w:t>
      </w:r>
      <w:r>
        <w:t xml:space="preserve"> </w:t>
      </w:r>
      <w:r>
        <w:t xml:space="preserve">(Visser et al. 2024)</w:t>
      </w:r>
      <w:r>
        <w:t xml:space="preserve">.</w:t>
      </w:r>
    </w:p>
    <w:p>
      <w:pPr>
        <w:pStyle w:val="BodyText"/>
      </w:pPr>
      <w:r>
        <w:t xml:space="preserve">For competence area 1. Information and data literacy: the tutorials mainly address 1.2 Evaluating Data, Information And Digital Content and 1.3 Managing Data, Information And Digital Content. In the ABMA educational materials, users learn about working with data, being critical of their digital content and how to model and manage the data in the context of an ABM. For tutorial 2 the user is expected to be able to find information using the NetLogo(Web) dictionary (</w:t>
      </w:r>
      <w:hyperlink r:id="rId67">
        <w:r>
          <w:rPr>
            <w:rStyle w:val="Hyperlink"/>
          </w:rPr>
          <w:t xml:space="preserve">http://ccl.northwestern.edu/netlogo/bind/</w:t>
        </w:r>
      </w:hyperlink>
      <w:r>
        <w:t xml:space="preserve"> </w:t>
      </w:r>
      <w:r>
        <w:t xml:space="preserve">or</w:t>
      </w:r>
      <w:r>
        <w:t xml:space="preserve"> </w:t>
      </w:r>
      <w:hyperlink r:id="rId68">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as they fall out of the scope of this project. A very important aspect of learning ABM is 3.4 Programming. The users are guidend through the process of developing the necessary programming skills to build a simulation. While the programming language used - NetLogo - is specific to ABM, its syntax follow general programming patterns and the learning is thus transferable to other programming languages. The users are expected to learn both syntax and more general computational concepts such as modular code development, testing and documenting code.</w:t>
      </w:r>
    </w:p>
    <w:p>
      <w:pPr>
        <w:pStyle w:val="BodyText"/>
      </w:pPr>
      <w:r>
        <w:t xml:space="preserve">Competence Area 5. Problem solving is very important and is closely tied to 3.4 Programming, since programming involves a lot of problem solving but also the general principles of model development that have a prominent place in the educational materials. In addition, the creation of a highly complex ABM consists of problem solving all the time, including development of research questions, conceptualisation of theories, experiment design and validating against data - all of which require creative abilities and high level understanding of the scientific process.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so-called model thinking necessary to develop robust and insightful models. In tutorial 2 various aspects of 5.4 Identifying Digital Competence Gaps, are relevant, since this tutorial force the user to assess their knowledge and skills.</w:t>
      </w:r>
    </w:p>
    <w:bookmarkEnd w:id="69"/>
    <w:bookmarkStart w:id="70" w:name="digital-skills-passport"/>
    <w:p>
      <w:pPr>
        <w:pStyle w:val="Heading2"/>
      </w:pPr>
      <w:r>
        <w:rPr>
          <w:rStyle w:val="SectionNumber"/>
        </w:rPr>
        <w:t xml:space="preserve">3.7</w:t>
      </w:r>
      <w:r>
        <w:tab/>
      </w:r>
      <w:r>
        <w:t xml:space="preserve">Digital Skills Passport</w:t>
      </w:r>
    </w:p>
    <w:bookmarkEnd w:id="70"/>
    <w:bookmarkStart w:id="73" w:name="dissemination-of-tutorials"/>
    <w:p>
      <w:pPr>
        <w:pStyle w:val="Heading2"/>
      </w:pPr>
      <w:r>
        <w:rPr>
          <w:rStyle w:val="SectionNumber"/>
        </w:rPr>
        <w:t xml:space="preserve">3.8</w:t>
      </w:r>
      <w:r>
        <w:tab/>
      </w:r>
      <w:r>
        <w:t xml:space="preserve">Dissemination of tutorials</w:t>
      </w:r>
    </w:p>
    <w:p>
      <w:pPr>
        <w:pStyle w:val="FirstParagraph"/>
      </w:pPr>
      <w:r>
        <w:t xml:space="preserve">The tutorials are publicly hosted on GitHub (</w:t>
      </w:r>
      <w:hyperlink r:id="rId71">
        <w:r>
          <w:rPr>
            <w:rStyle w:val="Hyperlink"/>
          </w:rPr>
          <w:t xml:space="preserve">https://github.com/ABMArchaeologists/ABMA_tutorials/</w:t>
        </w:r>
      </w:hyperlink>
      <w:r>
        <w:t xml:space="preserve">) and are citeable</w:t>
      </w:r>
      <w:r>
        <w:t xml:space="preserve"> </w:t>
      </w:r>
      <w:r>
        <w:t xml:space="preserve">(Jutte et al. 2024)</w:t>
      </w:r>
      <w:r>
        <w:t xml:space="preserve">. Anyone interested can download the tutorials and their source code. To increase the accessibility and visibility of the tutorials, they are also hosted on a static website (</w:t>
      </w:r>
      <w:hyperlink r:id="rId72">
        <w:r>
          <w:rPr>
            <w:rStyle w:val="Hyperlink"/>
          </w:rPr>
          <w:t xml:space="preserve">https://ABMArchaeologists.github.io/ABMA_Website</w:t>
        </w:r>
      </w:hyperlink>
      <w:r>
        <w:t xml:space="preserve">)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a student group from Saxion University of Applied Sciences, see the acknowledgements.</w:t>
      </w:r>
    </w:p>
    <w:bookmarkEnd w:id="73"/>
    <w:bookmarkEnd w:id="74"/>
    <w:bookmarkStart w:id="75" w:name="conclusion"/>
    <w:p>
      <w:pPr>
        <w:pStyle w:val="Heading1"/>
      </w:pPr>
      <w:r>
        <w:rPr>
          <w:rStyle w:val="SectionNumber"/>
        </w:rPr>
        <w:t xml:space="preserve">4</w:t>
      </w:r>
      <w:r>
        <w:tab/>
      </w:r>
      <w:r>
        <w:t xml:space="preserve">Conclusion</w:t>
      </w:r>
    </w:p>
    <w:p>
      <w:pPr>
        <w:pStyle w:val="FirstParagraph"/>
      </w:pPr>
      <w:r>
        <w:t xml:space="preserve">Things to address</w:t>
      </w:r>
    </w:p>
    <w:p>
      <w:pPr>
        <w:numPr>
          <w:ilvl w:val="0"/>
          <w:numId w:val="1005"/>
        </w:numPr>
      </w:pPr>
      <w:r>
        <w:t xml:space="preserve">demand for tutorials exceeded expectations</w:t>
      </w:r>
    </w:p>
    <w:p>
      <w:pPr>
        <w:numPr>
          <w:ilvl w:val="0"/>
          <w:numId w:val="1005"/>
        </w:numPr>
      </w:pPr>
      <w:r>
        <w:t xml:space="preserve">tutorials helpful in understanding ABM</w:t>
      </w:r>
    </w:p>
    <w:p>
      <w:pPr>
        <w:numPr>
          <w:ilvl w:val="0"/>
          <w:numId w:val="1005"/>
        </w:numPr>
      </w:pPr>
      <w:r>
        <w:t xml:space="preserve">international cooperation</w:t>
      </w:r>
    </w:p>
    <w:p>
      <w:pPr>
        <w:numPr>
          <w:ilvl w:val="0"/>
          <w:numId w:val="1005"/>
        </w:numPr>
      </w:pPr>
      <w:r>
        <w:t xml:space="preserve">Digital competency framework / Skills passport</w:t>
      </w:r>
    </w:p>
    <w:p>
      <w:pPr>
        <w:numPr>
          <w:ilvl w:val="0"/>
          <w:numId w:val="1005"/>
        </w:numPr>
      </w:pPr>
      <w:r>
        <w:t xml:space="preserve">OER: open learning</w:t>
      </w:r>
    </w:p>
    <w:p>
      <w:pPr>
        <w:numPr>
          <w:ilvl w:val="0"/>
          <w:numId w:val="1005"/>
        </w:numPr>
      </w:pPr>
      <w:r>
        <w:t xml:space="preserve">Future aspects:</w:t>
      </w:r>
    </w:p>
    <w:p>
      <w:pPr>
        <w:numPr>
          <w:ilvl w:val="1"/>
          <w:numId w:val="1006"/>
        </w:numPr>
      </w:pPr>
      <w:r>
        <w:t xml:space="preserve">application in educational programmes</w:t>
      </w:r>
    </w:p>
    <w:p>
      <w:pPr>
        <w:numPr>
          <w:ilvl w:val="1"/>
          <w:numId w:val="1006"/>
        </w:numPr>
      </w:pPr>
      <w:r>
        <w:t xml:space="preserve">community driven updates (?)</w:t>
      </w:r>
    </w:p>
    <w:bookmarkEnd w:id="75"/>
    <w:bookmarkStart w:id="77"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76">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7"/>
        </w:numPr>
      </w:pPr>
      <w:r>
        <w:t xml:space="preserve">September 2022-February 2023: Dany Dragoi, Liam van den Bosch, Marko Stojkovic, Max van Duinen, Nora van den Engel, Roan Man, Stefan Oostingh and their tutor: Mark Spanjer.</w:t>
      </w:r>
    </w:p>
    <w:p>
      <w:pPr>
        <w:numPr>
          <w:ilvl w:val="0"/>
          <w:numId w:val="1007"/>
        </w:numPr>
      </w:pPr>
      <w:r>
        <w:t xml:space="preserve">February 2022-July 2023: Alice Overgaauw, Johan Broersma, Mandy Hazenberg, Paulina Fulneczek, Ties Heesink and their tutor: Jan Willem Huson.</w:t>
      </w:r>
    </w:p>
    <w:p>
      <w:pPr>
        <w:numPr>
          <w:ilvl w:val="0"/>
          <w:numId w:val="1007"/>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the publication was financed by The Carlsberg Foundation’s</w:t>
      </w:r>
      <w:r>
        <w:t xml:space="preserve"> </w:t>
      </w:r>
      <w:r>
        <w:rPr>
          <w:iCs/>
          <w:i/>
        </w:rPr>
        <w:t xml:space="preserve">Young Researcher Fellowship</w:t>
      </w:r>
      <w:r>
        <w:t xml:space="preserve"> </w:t>
      </w:r>
      <w:r>
        <w:t xml:space="preserve">(CF21-0382); IR was supported by the European Union’s Horizon 2020 Research and Innovation Programme under the Marie Skłodowska-Curie grant agreement no 754513 and the Aarhus University Research Foundation.</w:t>
      </w:r>
    </w:p>
    <w:bookmarkEnd w:id="77"/>
    <w:bookmarkStart w:id="115" w:name="references"/>
    <w:p>
      <w:pPr>
        <w:pStyle w:val="Heading1"/>
      </w:pPr>
      <w:r>
        <w:t xml:space="preserve">References</w:t>
      </w:r>
    </w:p>
    <w:bookmarkStart w:id="114" w:name="refs"/>
    <w:bookmarkStart w:id="79" w:name="ref-councilofeurope2020"/>
    <w:p>
      <w:pPr>
        <w:pStyle w:val="Bibliography"/>
      </w:pPr>
      <w:r>
        <w:t xml:space="preserve">Council of Europe. 2020.</w:t>
      </w:r>
      <w:r>
        <w:t xml:space="preserve"> </w:t>
      </w:r>
      <w:hyperlink r:id="rId78">
        <w:r>
          <w:rPr>
            <w:rStyle w:val="Hyperlink"/>
            <w:iCs/>
            <w:i/>
          </w:rPr>
          <w:t xml:space="preserve">Common european framework of reference for languages: Learning, teaching, assessment. Companion volume</w:t>
        </w:r>
      </w:hyperlink>
      <w:r>
        <w:t xml:space="preserve">. Strasbourg: Council of Europe Publishing.</w:t>
      </w:r>
    </w:p>
    <w:bookmarkEnd w:id="79"/>
    <w:bookmarkStart w:id="80"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0"/>
    <w:bookmarkStart w:id="82" w:name="ref-epstein1996"/>
    <w:p>
      <w:pPr>
        <w:pStyle w:val="Bibliography"/>
      </w:pPr>
      <w:r>
        <w:t xml:space="preserve">Epstein, JM and Axtell, RL. 1996.</w:t>
      </w:r>
      <w:r>
        <w:t xml:space="preserve"> </w:t>
      </w:r>
      <w:r>
        <w:rPr>
          <w:iCs/>
          <w:i/>
        </w:rPr>
        <w:t xml:space="preserve">Growing Artificial Societies: Social Science from the Bottom Up</w:t>
      </w:r>
      <w:r>
        <w:t xml:space="preserve">. The MIT Press. DOI: https://doi.org/</w:t>
      </w:r>
      <w:hyperlink r:id="rId81">
        <w:r>
          <w:rPr>
            <w:rStyle w:val="Hyperlink"/>
          </w:rPr>
          <w:t xml:space="preserve">10.7551/mitpress/3374.001.0001</w:t>
        </w:r>
      </w:hyperlink>
      <w:r>
        <w:t xml:space="preserve">.</w:t>
      </w:r>
    </w:p>
    <w:bookmarkEnd w:id="82"/>
    <w:bookmarkStart w:id="84" w:name="X32e7d84f798fecaddc8b57b85323e29cd5798d5"/>
    <w:p>
      <w:pPr>
        <w:pStyle w:val="Bibliography"/>
      </w:pPr>
      <w:r>
        <w:t xml:space="preserve">European Commission, Joint Research Centre, Vuorikari, R, Kluzer, S and Punie, Y. 2022.</w:t>
      </w:r>
      <w:r>
        <w:t xml:space="preserve"> </w:t>
      </w:r>
      <w:hyperlink r:id="rId83">
        <w:r>
          <w:rPr>
            <w:rStyle w:val="Hyperlink"/>
            <w:iCs/>
            <w:i/>
          </w:rPr>
          <w:t xml:space="preserve">DigComp 2.2: The Digital Competence Framework for Citizens - With new examples of knowledge, skills and attitudes</w:t>
        </w:r>
      </w:hyperlink>
      <w:r>
        <w:t xml:space="preserve">.</w:t>
      </w:r>
    </w:p>
    <w:bookmarkEnd w:id="84"/>
    <w:bookmarkStart w:id="86" w:name="ref-grolemund2011"/>
    <w:p>
      <w:pPr>
        <w:pStyle w:val="Bibliography"/>
      </w:pPr>
      <w:r>
        <w:t xml:space="preserve">Grolemund, G and Wickham, H. 2011</w:t>
      </w:r>
      <w:r>
        <w:t xml:space="preserve"> </w:t>
      </w:r>
      <w:hyperlink r:id="rId85">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6"/>
    <w:bookmarkStart w:id="88"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87">
        <w:r>
          <w:rPr>
            <w:rStyle w:val="Hyperlink"/>
          </w:rPr>
          <w:t xml:space="preserve">10.5281/zenodo.10931759</w:t>
        </w:r>
      </w:hyperlink>
      <w:r>
        <w:t xml:space="preserve">.</w:t>
      </w:r>
    </w:p>
    <w:bookmarkEnd w:id="88"/>
    <w:bookmarkStart w:id="90" w:name="ref-rcoreteam2023"/>
    <w:p>
      <w:pPr>
        <w:pStyle w:val="Bibliography"/>
      </w:pPr>
      <w:r>
        <w:t xml:space="preserve">R Core Team. 2023</w:t>
      </w:r>
      <w:r>
        <w:t xml:space="preserve"> </w:t>
      </w:r>
      <w:hyperlink r:id="rId89">
        <w:r>
          <w:rPr>
            <w:rStyle w:val="Hyperlink"/>
            <w:iCs/>
            <w:i/>
          </w:rPr>
          <w:t xml:space="preserve">R: A language and environment for statistical computing</w:t>
        </w:r>
      </w:hyperlink>
      <w:r>
        <w:t xml:space="preserve">.</w:t>
      </w:r>
    </w:p>
    <w:bookmarkEnd w:id="90"/>
    <w:bookmarkStart w:id="92"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91">
        <w:r>
          <w:rPr>
            <w:rStyle w:val="Hyperlink"/>
          </w:rPr>
          <w:t xml:space="preserve">10.5281/zenodo.10931587</w:t>
        </w:r>
      </w:hyperlink>
      <w:r>
        <w:t xml:space="preserve">.</w:t>
      </w:r>
    </w:p>
    <w:bookmarkEnd w:id="92"/>
    <w:bookmarkStart w:id="93" w:name="ref-romanowska2018"/>
    <w:p>
      <w:pPr>
        <w:pStyle w:val="Bibliography"/>
      </w:pPr>
      <w:r>
        <w:t xml:space="preserve">Romanowska, I. 2018</w:t>
      </w:r>
      <w:r>
        <w:t xml:space="preserve"> </w:t>
      </w:r>
      <w:r>
        <w:rPr>
          <w:iCs/>
          <w:i/>
        </w:rPr>
        <w:t xml:space="preserve">Using agent-based modelling to infer economic processes in the past</w:t>
      </w:r>
      <w:r>
        <w:t xml:space="preserve">. In: Remesal Rodriguez, J, Revilla Calvo, V, and Bermudez Lorenzo, JM (eds.). Barcelona, Spain: Universitat de Barcelona * Servei de Publicacions. pp. 107–118.</w:t>
      </w:r>
    </w:p>
    <w:bookmarkEnd w:id="93"/>
    <w:bookmarkStart w:id="95" w:name="ref-romanowska2023"/>
    <w:p>
      <w:pPr>
        <w:pStyle w:val="Bibliography"/>
      </w:pPr>
      <w:r>
        <w:t xml:space="preserve">Romanowska, I and Scherjon, F. 2023</w:t>
      </w:r>
      <w:r>
        <w:t xml:space="preserve"> </w:t>
      </w:r>
      <w:r>
        <w:rPr>
          <w:iCs/>
          <w:i/>
        </w:rPr>
        <w:t xml:space="preserve">Bibliometric analysis of agent-based simulation in archaeology: People, topics, and future prospects</w:t>
      </w:r>
      <w:r>
        <w:t xml:space="preserve">. In: Kalayci, T, Lambers, K, and Klinkenberg, V (eds.). Analecta praehistorica leidensia. Leiden: Sidestone Press. pp. 95–112. DOI: https://doi.org/</w:t>
      </w:r>
      <w:hyperlink r:id="rId94">
        <w:r>
          <w:rPr>
            <w:rStyle w:val="Hyperlink"/>
          </w:rPr>
          <w:t xml:space="preserve">10.59641/f48820ir</w:t>
        </w:r>
      </w:hyperlink>
      <w:r>
        <w:t xml:space="preserve">.</w:t>
      </w:r>
    </w:p>
    <w:bookmarkEnd w:id="95"/>
    <w:bookmarkStart w:id="97" w:name="ref-romanowska2021a"/>
    <w:p>
      <w:pPr>
        <w:pStyle w:val="Bibliography"/>
      </w:pPr>
      <w:r>
        <w:t xml:space="preserve">Romanowska, I, Wren, CD and Crabtree, SA. 2021.</w:t>
      </w:r>
      <w:r>
        <w:t xml:space="preserve"> </w:t>
      </w:r>
      <w:hyperlink r:id="rId96">
        <w:r>
          <w:rPr>
            <w:rStyle w:val="Hyperlink"/>
            <w:iCs/>
            <w:i/>
          </w:rPr>
          <w:t xml:space="preserve">Agent-based modeling for archaeology: Simulating the complexity of societies</w:t>
        </w:r>
      </w:hyperlink>
      <w:r>
        <w:t xml:space="preserve">. Santa Fe: Santa Fe Institute Press.</w:t>
      </w:r>
    </w:p>
    <w:bookmarkEnd w:id="97"/>
    <w:bookmarkStart w:id="99"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98">
        <w:r>
          <w:rPr>
            <w:rStyle w:val="Hyperlink"/>
          </w:rPr>
          <w:t xml:space="preserve">10.5334/jcaa.26</w:t>
        </w:r>
      </w:hyperlink>
      <w:r>
        <w:t xml:space="preserve">.</w:t>
      </w:r>
    </w:p>
    <w:bookmarkEnd w:id="99"/>
    <w:bookmarkStart w:id="101" w:name="ref-visser2024"/>
    <w:p>
      <w:pPr>
        <w:pStyle w:val="Bibliography"/>
      </w:pPr>
      <w:r>
        <w:t xml:space="preserve">Visser, R, Lambers, K, Aitchison, K, Jutte, A, Rocks-Macqueen, D, Knaap, L van der, Romanowska, I and Brughmans, T. 2024</w:t>
      </w:r>
      <w:r>
        <w:t xml:space="preserve"> </w:t>
      </w:r>
      <w:r>
        <w:rPr>
          <w:iCs/>
          <w:i/>
        </w:rPr>
        <w:t xml:space="preserve">The Digital Competence Framework for Citizens (2.2) and Agent-Based modelling for Archaeologists</w:t>
      </w:r>
      <w:r>
        <w:t xml:space="preserve">. DOI: https://doi.org/</w:t>
      </w:r>
      <w:hyperlink r:id="rId100">
        <w:r>
          <w:rPr>
            <w:rStyle w:val="Hyperlink"/>
          </w:rPr>
          <w:t xml:space="preserve">10.5281/zenodo.11046488</w:t>
        </w:r>
      </w:hyperlink>
      <w:r>
        <w:t xml:space="preserve">.</w:t>
      </w:r>
    </w:p>
    <w:bookmarkEnd w:id="101"/>
    <w:bookmarkStart w:id="103" w:name="ref-wickham2016"/>
    <w:p>
      <w:pPr>
        <w:pStyle w:val="Bibliography"/>
      </w:pPr>
      <w:r>
        <w:t xml:space="preserve">Wickham, H. 2016.</w:t>
      </w:r>
      <w:r>
        <w:t xml:space="preserve"> </w:t>
      </w:r>
      <w:hyperlink r:id="rId102">
        <w:r>
          <w:rPr>
            <w:rStyle w:val="Hyperlink"/>
            <w:iCs/>
            <w:i/>
          </w:rPr>
          <w:t xml:space="preserve">ggplot2: Elegant graphics for data analysis</w:t>
        </w:r>
      </w:hyperlink>
      <w:r>
        <w:t xml:space="preserve">. Springer-Verlag New York.</w:t>
      </w:r>
    </w:p>
    <w:bookmarkEnd w:id="103"/>
    <w:bookmarkStart w:id="105" w:name="ref-wickham2023b"/>
    <w:p>
      <w:pPr>
        <w:pStyle w:val="Bibliography"/>
      </w:pPr>
      <w:r>
        <w:t xml:space="preserve">Wickham, H. 2023a</w:t>
      </w:r>
      <w:r>
        <w:t xml:space="preserve"> </w:t>
      </w:r>
      <w:hyperlink r:id="rId104">
        <w:r>
          <w:rPr>
            <w:rStyle w:val="Hyperlink"/>
            <w:iCs/>
            <w:i/>
          </w:rPr>
          <w:t xml:space="preserve">Forcats: Tools for working with categorical variables (factors)</w:t>
        </w:r>
      </w:hyperlink>
      <w:r>
        <w:t xml:space="preserve">.</w:t>
      </w:r>
    </w:p>
    <w:bookmarkEnd w:id="105"/>
    <w:bookmarkStart w:id="107" w:name="ref-wickham2023c"/>
    <w:p>
      <w:pPr>
        <w:pStyle w:val="Bibliography"/>
      </w:pPr>
      <w:r>
        <w:t xml:space="preserve">Wickham, H. 2023b</w:t>
      </w:r>
      <w:r>
        <w:t xml:space="preserve"> </w:t>
      </w:r>
      <w:hyperlink r:id="rId106">
        <w:r>
          <w:rPr>
            <w:rStyle w:val="Hyperlink"/>
            <w:iCs/>
            <w:i/>
          </w:rPr>
          <w:t xml:space="preserve">Stringr: Simple, consistent wrappers for common string operations</w:t>
        </w:r>
      </w:hyperlink>
      <w:r>
        <w:t xml:space="preserve">.</w:t>
      </w:r>
    </w:p>
    <w:bookmarkEnd w:id="107"/>
    <w:bookmarkStart w:id="109" w:name="ref-wickham2023a"/>
    <w:p>
      <w:pPr>
        <w:pStyle w:val="Bibliography"/>
      </w:pPr>
      <w:r>
        <w:t xml:space="preserve">Wickham, H, François, R, Henry, L, Müller, K and Vaughan, D. 2023</w:t>
      </w:r>
      <w:r>
        <w:t xml:space="preserve"> </w:t>
      </w:r>
      <w:hyperlink r:id="rId108">
        <w:r>
          <w:rPr>
            <w:rStyle w:val="Hyperlink"/>
            <w:iCs/>
            <w:i/>
          </w:rPr>
          <w:t xml:space="preserve">Dplyr: A grammar of data manipulation</w:t>
        </w:r>
      </w:hyperlink>
      <w:r>
        <w:t xml:space="preserve">.</w:t>
      </w:r>
    </w:p>
    <w:bookmarkEnd w:id="109"/>
    <w:bookmarkStart w:id="111" w:name="ref-wickham2023"/>
    <w:p>
      <w:pPr>
        <w:pStyle w:val="Bibliography"/>
      </w:pPr>
      <w:r>
        <w:t xml:space="preserve">Wickham, H, Vaughan, D and Girlich, M. 2023</w:t>
      </w:r>
      <w:r>
        <w:t xml:space="preserve"> </w:t>
      </w:r>
      <w:hyperlink r:id="rId110">
        <w:r>
          <w:rPr>
            <w:rStyle w:val="Hyperlink"/>
            <w:iCs/>
            <w:i/>
          </w:rPr>
          <w:t xml:space="preserve">Tidyr: Tidy messy data</w:t>
        </w:r>
      </w:hyperlink>
      <w:r>
        <w:t xml:space="preserve">.</w:t>
      </w:r>
    </w:p>
    <w:bookmarkEnd w:id="111"/>
    <w:bookmarkStart w:id="113" w:name="ref-young1995"/>
    <w:p>
      <w:pPr>
        <w:pStyle w:val="Bibliography"/>
      </w:pPr>
      <w:r>
        <w:t xml:space="preserve">Young, DA and Bettinger, RL. 1995 Simulating the global human expansion in the late pleistocene.</w:t>
      </w:r>
      <w:r>
        <w:t xml:space="preserve"> </w:t>
      </w:r>
      <w:r>
        <w:rPr>
          <w:iCs/>
          <w:i/>
        </w:rPr>
        <w:t xml:space="preserve">Journal of Archaeological Science</w:t>
      </w:r>
      <w:r>
        <w:t xml:space="preserve"> </w:t>
      </w:r>
      <w:r>
        <w:t xml:space="preserve">22(1): 89–92. DOI: https://doi.org/</w:t>
      </w:r>
      <w:hyperlink r:id="rId112">
        <w:r>
          <w:rPr>
            <w:rStyle w:val="Hyperlink"/>
          </w:rPr>
          <w:t xml:space="preserve">10.1016/S0305-4403(95)80165-0</w:t>
        </w:r>
      </w:hyperlink>
      <w:r>
        <w:t xml:space="preserve">.</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02" Target="http://ggplot2.org" TargetMode="External" /><Relationship Type="http://schemas.openxmlformats.org/officeDocument/2006/relationships/hyperlink" Id="rId78" Target="http://www.coe.int/lang-cefr" TargetMode="External" /><Relationship Type="http://schemas.openxmlformats.org/officeDocument/2006/relationships/hyperlink" Id="rId72" Target="https://ABMArchaeologists.github.io/ABMA_Website/#/" TargetMode="External" /><Relationship Type="http://schemas.openxmlformats.org/officeDocument/2006/relationships/hyperlink" Id="rId83" Target="https://data.europa.eu/doi/10.2760/115376" TargetMode="External" /><Relationship Type="http://schemas.openxmlformats.org/officeDocument/2006/relationships/hyperlink" Id="rId112" Target="https://doi.org/10.1016/S0305-4403(95)80165-0" TargetMode="External" /><Relationship Type="http://schemas.openxmlformats.org/officeDocument/2006/relationships/hyperlink" Id="rId91" Target="https://doi.org/10.5281/zenodo.10931587" TargetMode="External" /><Relationship Type="http://schemas.openxmlformats.org/officeDocument/2006/relationships/hyperlink" Id="rId87" Target="https://doi.org/10.5281/zenodo.10931759" TargetMode="External" /><Relationship Type="http://schemas.openxmlformats.org/officeDocument/2006/relationships/hyperlink" Id="rId100" Target="https://doi.org/10.5281/zenodo.11046488" TargetMode="External" /><Relationship Type="http://schemas.openxmlformats.org/officeDocument/2006/relationships/hyperlink" Id="rId98" Target="https://doi.org/10.5334/jcaa.26" TargetMode="External" /><Relationship Type="http://schemas.openxmlformats.org/officeDocument/2006/relationships/hyperlink" Id="rId94" Target="https://doi.org/10.59641/f48820ir" TargetMode="External" /><Relationship Type="http://schemas.openxmlformats.org/officeDocument/2006/relationships/hyperlink" Id="rId81" Target="https://doi.org/10.7551/mitpress/3374.001.0001" TargetMode="External" /><Relationship Type="http://schemas.openxmlformats.org/officeDocument/2006/relationships/hyperlink" Id="rId108" Target="https://dplyr.tidyverse.org" TargetMode="External" /><Relationship Type="http://schemas.openxmlformats.org/officeDocument/2006/relationships/hyperlink" Id="rId76" Target="https://erasmus-plus.ec.europa.eu/nl/projects/search/details/2021-2-IE01-KA220-VET-000049054" TargetMode="External" /><Relationship Type="http://schemas.openxmlformats.org/officeDocument/2006/relationships/hyperlink" Id="rId104"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1" Target="https://github.com/ABMArchaeologists/ABMA_tutorials/" TargetMode="External" /><Relationship Type="http://schemas.openxmlformats.org/officeDocument/2006/relationships/hyperlink" Id="rId106" Target="https://stringr.tidyverse.org" TargetMode="External" /><Relationship Type="http://schemas.openxmlformats.org/officeDocument/2006/relationships/hyperlink" Id="rId110" Target="https://tidyr.tidyverse.org" TargetMode="External" /><Relationship Type="http://schemas.openxmlformats.org/officeDocument/2006/relationships/hyperlink" Id="rId89" Target="https://www.R-project.org/" TargetMode="External" /><Relationship Type="http://schemas.openxmlformats.org/officeDocument/2006/relationships/hyperlink" Id="rId85"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96"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02" Target="http://ggplot2.org" TargetMode="External" /><Relationship Type="http://schemas.openxmlformats.org/officeDocument/2006/relationships/hyperlink" Id="rId78" Target="http://www.coe.int/lang-cefr" TargetMode="External" /><Relationship Type="http://schemas.openxmlformats.org/officeDocument/2006/relationships/hyperlink" Id="rId72" Target="https://ABMArchaeologists.github.io/ABMA_Website/#/" TargetMode="External" /><Relationship Type="http://schemas.openxmlformats.org/officeDocument/2006/relationships/hyperlink" Id="rId83" Target="https://data.europa.eu/doi/10.2760/115376" TargetMode="External" /><Relationship Type="http://schemas.openxmlformats.org/officeDocument/2006/relationships/hyperlink" Id="rId112" Target="https://doi.org/10.1016/S0305-4403(95)80165-0" TargetMode="External" /><Relationship Type="http://schemas.openxmlformats.org/officeDocument/2006/relationships/hyperlink" Id="rId91" Target="https://doi.org/10.5281/zenodo.10931587" TargetMode="External" /><Relationship Type="http://schemas.openxmlformats.org/officeDocument/2006/relationships/hyperlink" Id="rId87" Target="https://doi.org/10.5281/zenodo.10931759" TargetMode="External" /><Relationship Type="http://schemas.openxmlformats.org/officeDocument/2006/relationships/hyperlink" Id="rId100" Target="https://doi.org/10.5281/zenodo.11046488" TargetMode="External" /><Relationship Type="http://schemas.openxmlformats.org/officeDocument/2006/relationships/hyperlink" Id="rId98" Target="https://doi.org/10.5334/jcaa.26" TargetMode="External" /><Relationship Type="http://schemas.openxmlformats.org/officeDocument/2006/relationships/hyperlink" Id="rId94" Target="https://doi.org/10.59641/f48820ir" TargetMode="External" /><Relationship Type="http://schemas.openxmlformats.org/officeDocument/2006/relationships/hyperlink" Id="rId81" Target="https://doi.org/10.7551/mitpress/3374.001.0001" TargetMode="External" /><Relationship Type="http://schemas.openxmlformats.org/officeDocument/2006/relationships/hyperlink" Id="rId108" Target="https://dplyr.tidyverse.org" TargetMode="External" /><Relationship Type="http://schemas.openxmlformats.org/officeDocument/2006/relationships/hyperlink" Id="rId76" Target="https://erasmus-plus.ec.europa.eu/nl/projects/search/details/2021-2-IE01-KA220-VET-000049054" TargetMode="External" /><Relationship Type="http://schemas.openxmlformats.org/officeDocument/2006/relationships/hyperlink" Id="rId104"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1" Target="https://github.com/ABMArchaeologists/ABMA_tutorials/" TargetMode="External" /><Relationship Type="http://schemas.openxmlformats.org/officeDocument/2006/relationships/hyperlink" Id="rId106" Target="https://stringr.tidyverse.org" TargetMode="External" /><Relationship Type="http://schemas.openxmlformats.org/officeDocument/2006/relationships/hyperlink" Id="rId110" Target="https://tidyr.tidyverse.org" TargetMode="External" /><Relationship Type="http://schemas.openxmlformats.org/officeDocument/2006/relationships/hyperlink" Id="rId89" Target="https://www.R-project.org/" TargetMode="External" /><Relationship Type="http://schemas.openxmlformats.org/officeDocument/2006/relationships/hyperlink" Id="rId85"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96"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2024-05-15T09:51:02Z</dcterms:created>
  <dcterms:modified xsi:type="dcterms:W3CDTF">2024-05-15T09:51:02Z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May 15,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