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5.png" ContentType="image/png"/>
  <Override PartName="/word/media/rId48.png" ContentType="image/png"/>
  <Override PartName="/word/media/rId51.png" ContentType="image/png"/>
  <Override PartName="/word/media/rId41.png" ContentType="image/png"/>
  <Override PartName="/word/media/rId37.png" ContentType="image/png"/>
  <Override PartName="/word/media/rId33.png" ContentType="image/png"/>
  <Override PartName="/word/media/rId61.png" ContentType="image/png"/>
  <Override PartName="/word/media/rId6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September</w:t>
      </w:r>
      <w:r>
        <w:t xml:space="preserve"> </w:t>
      </w:r>
      <w:r>
        <w:t xml:space="preserve">20,</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their environment.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opportunities for archaeologists to work in other European countries (transnational mobility) through matching the skills being delivered with the European Commission’s Digital Competence Framework for Citizens (2.2) and the sectoral Skills Passport for Archaeology, which will mean that it will be easier for individual workers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7"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w:t>
      </w:r>
      <w:hyperlink r:id="rId23">
        <w:r>
          <w:rPr>
            <w:rStyle w:val="Hyperlink"/>
          </w:rPr>
          <w:t xml:space="preserve">https://www.qualtrics.com/</w:t>
        </w:r>
      </w:hyperlink>
      <w:r>
        <w:t xml:space="preserve">).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1 for the questions). At the end of the event the participants were asked to answer a second survey. Questions of this survey were aimed at measuring the effectiveness of the tutorials and getting feedback on the workshop and tutorials (see appendix 2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786"/>
        <w:gridCol w:w="1488"/>
        <w:gridCol w:w="1726"/>
        <w:gridCol w:w="1429"/>
        <w:gridCol w:w="1488"/>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jc w:val="left"/>
            </w:pPr>
            <w:r>
              <w:t xml:space="preserve">No registration</w:t>
            </w: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For the sake of reproducibility</w:t>
      </w:r>
      <w:r>
        <w:t xml:space="preserve"> </w:t>
      </w:r>
      <w:r>
        <w:t xml:space="preserve">(Marwick 2017)</w:t>
      </w:r>
      <w:r>
        <w:t xml:space="preserve"> </w:t>
      </w:r>
      <w:r>
        <w:t xml:space="preserve">this paper was written in R Markdown (</w:t>
      </w:r>
      <w:hyperlink r:id="rId24">
        <w:r>
          <w:rPr>
            <w:rStyle w:val="Hyperlink"/>
          </w:rPr>
          <w:t xml:space="preserve">https://rmarkdown.rstudio.com/</w:t>
        </w:r>
      </w:hyperlink>
      <w:r>
        <w:t xml:space="preserve">), with data and code available at</w:t>
      </w:r>
      <w:r>
        <w:t xml:space="preserve"> </w:t>
      </w:r>
      <w:hyperlink r:id="rId25">
        <w:r>
          <w:rPr>
            <w:rStyle w:val="Hyperlink"/>
          </w:rPr>
          <w:t xml:space="preserve">https://github.com/ABMArchaeologists/ABMA_paper</w:t>
        </w:r>
      </w:hyperlink>
      <w:r>
        <w:t xml:space="preserve"> </w:t>
      </w:r>
      <w:r>
        <w:t xml:space="preserve">(…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6">
        <w:r>
          <w:rPr>
            <w:rStyle w:val="Hyperlink"/>
          </w:rPr>
          <w:t xml:space="preserve">https://www.saxion.edu/business-and-research/collaborate-with-saxion/smart-solutions</w:t>
        </w:r>
      </w:hyperlink>
      <w:r>
        <w:t xml:space="preserve">). Within the semester students have to come up with new ideas or solutions to help a client with a wicked problem. The backgrounds of the various students we worked with were diverse: Applied Computer Science, Archaeology, Business Management Studies, Creative Business, Creative Media &amp; Game Technologies, and ICT. The aim of involving interdisciplinary groups in the project was to involve students in current research projects, to enable them to learn new things and share their innovative ideas and solutions with us. The students groups were supplementary to the deliverables of the project, but their new ideas were benificial to the project. Their help during workshops was useful, but they also were engaged in developing educational material</w:t>
      </w:r>
      <w:r>
        <w:t xml:space="preserve"> </w:t>
      </w:r>
      <w:r>
        <w:t xml:space="preserve">(Aalpoel et al. 2024)</w:t>
      </w:r>
      <w:r>
        <w:t xml:space="preserve">, testing the tutorials, developing a style for the website</w:t>
      </w:r>
      <w:r>
        <w:t xml:space="preserve"> </w:t>
      </w:r>
      <w:r>
        <w:t xml:space="preserve">(Jutte et al. 2024)</w:t>
      </w:r>
      <w:r>
        <w:t xml:space="preserve"> </w:t>
      </w:r>
      <w:r>
        <w:t xml:space="preserve">and other materials.</w:t>
      </w:r>
    </w:p>
    <w:bookmarkEnd w:id="27"/>
    <w:bookmarkStart w:id="77" w:name="results"/>
    <w:p>
      <w:pPr>
        <w:pStyle w:val="Heading1"/>
      </w:pPr>
      <w:r>
        <w:rPr>
          <w:rStyle w:val="SectionNumber"/>
        </w:rPr>
        <w:t xml:space="preserve">3</w:t>
      </w:r>
      <w:r>
        <w:tab/>
      </w:r>
      <w:r>
        <w:t xml:space="preserve">Results</w:t>
      </w:r>
    </w:p>
    <w:bookmarkStart w:id="28" w:name="workhops-and-tutorials"/>
    <w:p>
      <w:pPr>
        <w:pStyle w:val="Heading2"/>
      </w:pPr>
      <w:r>
        <w:rPr>
          <w:rStyle w:val="SectionNumber"/>
        </w:rPr>
        <w:t xml:space="preserve">3.1</w:t>
      </w:r>
      <w:r>
        <w:tab/>
      </w:r>
      <w:r>
        <w:t xml:space="preserve">Workhops and tutorials</w:t>
      </w:r>
    </w:p>
    <w:bookmarkEnd w:id="28"/>
    <w:bookmarkStart w:id="32"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CaptionedFigure"/>
      </w:pPr>
      <w:r>
        <w:drawing>
          <wp:inline>
            <wp:extent cx="5334000" cy="3157224"/>
            <wp:effectExtent b="0" l="0" r="0" t="0"/>
            <wp:docPr descr="Screenhot of lesson 3 in tutorial 1 showing the population dynamics of the Long House Valley in the Artificial Anasazi model created by Axtell et al. (2002)." title="" id="30" name="Picture"/>
            <a:graphic>
              <a:graphicData uri="http://schemas.openxmlformats.org/drawingml/2006/picture">
                <pic:pic>
                  <pic:nvPicPr>
                    <pic:cNvPr descr="paper_files/Screenshot_ABMA_tutorial_1_lesson_3.png" id="31" name="Picture"/>
                    <pic:cNvPicPr>
                      <a:picLocks noChangeArrowheads="1" noChangeAspect="1"/>
                    </pic:cNvPicPr>
                  </pic:nvPicPr>
                  <pic:blipFill>
                    <a:blip r:embed="rId29"/>
                    <a:stretch>
                      <a:fillRect/>
                    </a:stretch>
                  </pic:blipFill>
                  <pic:spPr bwMode="auto">
                    <a:xfrm>
                      <a:off x="0" y="0"/>
                      <a:ext cx="5334000" cy="3157224"/>
                    </a:xfrm>
                    <a:prstGeom prst="rect">
                      <a:avLst/>
                    </a:prstGeom>
                    <a:noFill/>
                    <a:ln w="9525">
                      <a:noFill/>
                      <a:headEnd/>
                      <a:tailEnd/>
                    </a:ln>
                  </pic:spPr>
                </pic:pic>
              </a:graphicData>
            </a:graphic>
          </wp:inline>
        </w:drawing>
      </w:r>
    </w:p>
    <w:p>
      <w:pPr>
        <w:pStyle w:val="ImageCaption"/>
      </w:pPr>
      <w:r>
        <w:t xml:space="preserve">Screenhot of lesson 3 in tutorial 1 showing the population dynamics of the Long House Valley in the Artificial Anasazi model created by Axtell et al. (2002).</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32"/>
    <w:bookmarkStart w:id="55"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4620126"/>
            <wp:effectExtent b="0" l="0" r="0" t="0"/>
            <wp:docPr descr="Figure 3.1: The nationality of the participants that filled in the survey." title="" id="34" name="Picture"/>
            <a:graphic>
              <a:graphicData uri="http://schemas.openxmlformats.org/drawingml/2006/picture">
                <pic:pic>
                  <pic:nvPicPr>
                    <pic:cNvPr descr="paper_files/figure-docx/nationality-1.png" id="35"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36" w:name="fig:nationality"/>
      <w:bookmarkEnd w:id="36"/>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8" name="Picture"/>
            <a:graphic>
              <a:graphicData uri="http://schemas.openxmlformats.org/drawingml/2006/picture">
                <pic:pic>
                  <pic:nvPicPr>
                    <pic:cNvPr descr="paper_files/figure-docx/gender-age-1.png" id="39" name="Picture"/>
                    <pic:cNvPicPr>
                      <a:picLocks noChangeArrowheads="1" noChangeAspect="1"/>
                    </pic:cNvPicPr>
                  </pic:nvPicPr>
                  <pic:blipFill>
                    <a:blip r:embed="rId3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0" w:name="fig:gender-age"/>
      <w:bookmarkEnd w:id="40"/>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42" name="Picture"/>
            <a:graphic>
              <a:graphicData uri="http://schemas.openxmlformats.org/drawingml/2006/picture">
                <pic:pic>
                  <pic:nvPicPr>
                    <pic:cNvPr descr="paper_files/figure-docx/computer-skills-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4" w:name="fig:computer-skills"/>
      <w:bookmarkEnd w:id="44"/>
      <w:r>
        <w:t xml:space="preserve">Figure 3.3: The computer skills of the respondents.</w:t>
      </w:r>
    </w:p>
    <w:p>
      <w:pPr>
        <w:pStyle w:val="BodyText"/>
      </w:pPr>
      <w:r>
        <w:drawing>
          <wp:inline>
            <wp:extent cx="2667000" cy="2133600"/>
            <wp:effectExtent b="0" l="0" r="0" t="0"/>
            <wp:docPr descr="Figure 3.4: Respondents knowledge of ABM per event knowledge of the various softwares for ABM, before participating in the workshops." title="" id="46" name="Picture"/>
            <a:graphic>
              <a:graphicData uri="http://schemas.openxmlformats.org/drawingml/2006/picture">
                <pic:pic>
                  <pic:nvPicPr>
                    <pic:cNvPr descr="paper_files/figure-docx/abm-knowledge-1.png" id="47" name="Picture"/>
                    <pic:cNvPicPr>
                      <a:picLocks noChangeArrowheads="1" noChangeAspect="1"/>
                    </pic:cNvPicPr>
                  </pic:nvPicPr>
                  <pic:blipFill>
                    <a:blip r:embed="rId4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of ABM per event knowledge of the various softwares for ABM, before participating in the workshops." title="" id="49" name="Picture"/>
            <a:graphic>
              <a:graphicData uri="http://schemas.openxmlformats.org/drawingml/2006/picture">
                <pic:pic>
                  <pic:nvPicPr>
                    <pic:cNvPr descr="paper_files/figure-docx/abm-knowledge-2.png" id="50" name="Picture"/>
                    <pic:cNvPicPr>
                      <a:picLocks noChangeArrowheads="1" noChangeAspect="1"/>
                    </pic:cNvPicPr>
                  </pic:nvPicPr>
                  <pic:blipFill>
                    <a:blip r:embed="rId48"/>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52" name="Picture"/>
            <a:graphic>
              <a:graphicData uri="http://schemas.openxmlformats.org/drawingml/2006/picture">
                <pic:pic>
                  <pic:nvPicPr>
                    <pic:cNvPr descr="paper_files/figure-docx/available-theory-1.png" id="53" name="Picture"/>
                    <pic:cNvPicPr>
                      <a:picLocks noChangeArrowheads="1" noChangeAspect="1"/>
                    </pic:cNvPicPr>
                  </pic:nvPicPr>
                  <pic:blipFill>
                    <a:blip r:embed="rId51"/>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4" w:name="fig:available-theory"/>
      <w:bookmarkEnd w:id="54"/>
      <w:r>
        <w:t xml:space="preserve">Figure 3.6: Respondents optionion on the quality of theory on ABM faceted out by event.</w:t>
      </w:r>
    </w:p>
    <w:bookmarkEnd w:id="55"/>
    <w:bookmarkStart w:id="56"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6"/>
    <w:bookmarkStart w:id="67"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8" name="Picture"/>
            <a:graphic>
              <a:graphicData uri="http://schemas.openxmlformats.org/drawingml/2006/picture">
                <pic:pic>
                  <pic:nvPicPr>
                    <pic:cNvPr descr="paper_files/figure-docx/rating-workshop-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60" w:name="fig:rating-workshop"/>
      <w:bookmarkEnd w:id="60"/>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62" name="Picture"/>
            <a:graphic>
              <a:graphicData uri="http://schemas.openxmlformats.org/drawingml/2006/picture">
                <pic:pic>
                  <pic:nvPicPr>
                    <pic:cNvPr descr="paper_files/figure-docx/rating-teaching-1.png" id="63" name="Picture"/>
                    <pic:cNvPicPr>
                      <a:picLocks noChangeArrowheads="1" noChangeAspect="1"/>
                    </pic:cNvPicPr>
                  </pic:nvPicPr>
                  <pic:blipFill>
                    <a:blip r:embed="rId61"/>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5" name="Picture"/>
            <a:graphic>
              <a:graphicData uri="http://schemas.openxmlformats.org/drawingml/2006/picture">
                <pic:pic>
                  <pic:nvPicPr>
                    <pic:cNvPr descr="paper_files/figure-docx/rating-teaching-2.png" id="66" name="Picture"/>
                    <pic:cNvPicPr>
                      <a:picLocks noChangeArrowheads="1" noChangeAspect="1"/>
                    </pic:cNvPicPr>
                  </pic:nvPicPr>
                  <pic:blipFill>
                    <a:blip r:embed="rId64"/>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strongly.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workshop, the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bookmarkEnd w:id="67"/>
    <w:bookmarkStart w:id="73" w:name="X75d3dc8f600062830baa4a9fa6b8ffcf7325409"/>
    <w:p>
      <w:pPr>
        <w:pStyle w:val="Heading2"/>
      </w:pPr>
      <w:r>
        <w:rPr>
          <w:rStyle w:val="SectionNumber"/>
        </w:rPr>
        <w:t xml:space="preserve">3.6</w:t>
      </w:r>
      <w:r>
        <w:tab/>
      </w:r>
      <w:r>
        <w:t xml:space="preserve">Integration with Learning and Skills Tracking Frameworks</w:t>
      </w:r>
    </w:p>
    <w:p>
      <w:pPr>
        <w:pStyle w:val="FirstParagraph"/>
      </w:pPr>
      <w:r>
        <w:t xml:space="preserve">Beyond the creation of the OERs the project also worked on aligning the learning outcomes of the OERs with the Digital Competence Framework for Citizens and the Digital Archaeological Skills Passport.</w:t>
      </w:r>
    </w:p>
    <w:bookmarkStart w:id="70" w:name="Xf129d8ce1b7ec897bba26c212a93c73a9820773"/>
    <w:p>
      <w:pPr>
        <w:pStyle w:val="Heading3"/>
      </w:pPr>
      <w:r>
        <w:rPr>
          <w:rStyle w:val="SectionNumber"/>
        </w:rPr>
        <w:t xml:space="preserve">3.6.1</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70"/>
    <w:bookmarkStart w:id="72" w:name="digital-skills-passport"/>
    <w:p>
      <w:pPr>
        <w:pStyle w:val="Heading3"/>
      </w:pPr>
      <w:r>
        <w:rPr>
          <w:rStyle w:val="SectionNumber"/>
        </w:rPr>
        <w:t xml:space="preserve">3.6.2</w:t>
      </w:r>
      <w:r>
        <w:tab/>
      </w:r>
      <w:r>
        <w:t xml:space="preserve">Digital Skills Passport</w:t>
      </w:r>
    </w:p>
    <w:p>
      <w:pPr>
        <w:pStyle w:val="FirstParagraph"/>
      </w:pPr>
      <w:r>
        <w:t xml:space="preserve">An archaeological skills passport is a tool for tracking and verifying the archaeological skills that an individual has. The first passport was created as part of</w:t>
      </w:r>
      <w:r>
        <w:t xml:space="preserve"> </w:t>
      </w:r>
      <w:r>
        <w:rPr>
          <w:iCs/>
          <w:i/>
        </w:rPr>
        <w:t xml:space="preserve">The Ardnamurchan Transitions Project</w:t>
      </w:r>
      <w:r>
        <w:t xml:space="preserve">, a long running investigation of the archaeology and history of the Ardnamurchan Peninsula, Western Scotland, run by the Universities of Leicester and Manchester, with Archaeology Scotland</w:t>
      </w:r>
      <w:r>
        <w:t xml:space="preserve"> </w:t>
      </w:r>
      <w:r>
        <w:t xml:space="preserve">(Cobb and Croucher 2020)</w:t>
      </w:r>
      <w:r>
        <w:t xml:space="preserve">. Since then the passport has spread around the world to countries such as Germany</w:t>
      </w:r>
      <w:r>
        <w:t xml:space="preserve"> </w:t>
      </w:r>
      <w:r>
        <w:t xml:space="preserve">(Karl et al. 2019)</w:t>
      </w:r>
      <w:r>
        <w:t xml:space="preserve"> </w:t>
      </w:r>
      <w:r>
        <w:t xml:space="preserve">and the United States. While there are many different versions, in its simplest form it is a log booklet listing skills that others can verify by signing off on their level of competencies. </w:t>
      </w:r>
    </w:p>
    <w:p>
      <w:pPr>
        <w:pStyle w:val="BodyText"/>
      </w:pPr>
      <w:r>
        <w:t xml:space="preserve">A digital skills passport is the same concept as a physical skills passport but it is digitised to overcome some of the drawbacks of a physical skills passport:</w:t>
      </w:r>
    </w:p>
    <w:p>
      <w:pPr>
        <w:numPr>
          <w:ilvl w:val="0"/>
          <w:numId w:val="1005"/>
        </w:numPr>
      </w:pPr>
      <w:r>
        <w:t xml:space="preserve">losing a copy means losing a record;</w:t>
      </w:r>
    </w:p>
    <w:p>
      <w:pPr>
        <w:numPr>
          <w:ilvl w:val="0"/>
          <w:numId w:val="1005"/>
        </w:numPr>
      </w:pPr>
      <w:r>
        <w:t xml:space="preserve">inability to easily share the log;</w:t>
      </w:r>
    </w:p>
    <w:p>
      <w:pPr>
        <w:numPr>
          <w:ilvl w:val="0"/>
          <w:numId w:val="1005"/>
        </w:numPr>
      </w:pPr>
      <w:r>
        <w:t xml:space="preserve">costs of production;</w:t>
      </w:r>
    </w:p>
    <w:p>
      <w:pPr>
        <w:numPr>
          <w:ilvl w:val="0"/>
          <w:numId w:val="1005"/>
        </w:numPr>
      </w:pPr>
      <w:r>
        <w:t xml:space="preserve">ability to verify those signing off on skill levels. </w:t>
      </w:r>
    </w:p>
    <w:p>
      <w:pPr>
        <w:pStyle w:val="FirstParagraph"/>
      </w:pPr>
      <w:r>
        <w:t xml:space="preserve">A trans-Atlantic consortium has been established to create a digital archaeological skills passport. It consists of the professional body in the United States of America, the</w:t>
      </w:r>
      <w:r>
        <w:t xml:space="preserve"> </w:t>
      </w:r>
      <w:r>
        <w:rPr>
          <w:iCs/>
          <w:i/>
        </w:rPr>
        <w:t xml:space="preserve">Register of Professional Archaeologists</w:t>
      </w:r>
      <w:r>
        <w:t xml:space="preserve"> </w:t>
      </w:r>
      <w:r>
        <w:t xml:space="preserve">and five archaeological companies in Europe, working and based in Ireland, the United Kingdom, the Netherlands, Germany and France. This is the passport that the ABMA integrate the OERs with. </w:t>
      </w:r>
    </w:p>
    <w:p>
      <w:pPr>
        <w:pStyle w:val="BodyText"/>
      </w:pPr>
      <w:r>
        <w:t xml:space="preserve">Agent Based Modelling (ABM) will be placed within the transferable skills category of the Digital Archaeological Skills Passport. This will be facilitated by the creation of a larger category of Analytical Skills and then a sub-category of modelling:</w:t>
      </w:r>
    </w:p>
    <w:p>
      <w:pPr>
        <w:pStyle w:val="SourceCode"/>
      </w:pPr>
      <w:r>
        <w:rPr>
          <w:rStyle w:val="VerbatimChar"/>
        </w:rPr>
        <w:t xml:space="preserve">38  Analytical Skills</w:t>
      </w:r>
      <w:r>
        <w:br/>
      </w:r>
      <w:r>
        <w:rPr>
          <w:rStyle w:val="VerbatimChar"/>
        </w:rPr>
        <w:t xml:space="preserve">  38.1 Modelling</w:t>
      </w:r>
      <w:r>
        <w:br/>
      </w:r>
      <w:r>
        <w:rPr>
          <w:rStyle w:val="VerbatimChar"/>
        </w:rPr>
        <w:t xml:space="preserve">      38.1.1 Computational Modelling</w:t>
      </w:r>
      <w:r>
        <w:br/>
      </w:r>
      <w:r>
        <w:rPr>
          <w:rStyle w:val="VerbatimChar"/>
        </w:rPr>
        <w:t xml:space="preserve">        38.1.1.1 Agent Based Modelling</w:t>
      </w:r>
      <w:r>
        <w:br/>
      </w:r>
      <w:r>
        <w:rPr>
          <w:rStyle w:val="VerbatimChar"/>
        </w:rPr>
        <w:t xml:space="preserve">          38.1.1.1.1 Software mastery</w:t>
      </w:r>
      <w:r>
        <w:br/>
      </w:r>
      <w:r>
        <w:rPr>
          <w:rStyle w:val="VerbatimChar"/>
        </w:rPr>
        <w:t xml:space="preserve">            38.1.1.1.1.1 Creation of models and understanding of key components</w:t>
      </w:r>
      <w:r>
        <w:br/>
      </w:r>
      <w:r>
        <w:rPr>
          <w:rStyle w:val="VerbatimChar"/>
        </w:rPr>
        <w:t xml:space="preserve">             38.1.1.1.1.2 Integration of other fields - GIS, network science</w:t>
      </w:r>
      <w:r>
        <w:br/>
      </w:r>
      <w:r>
        <w:rPr>
          <w:rStyle w:val="VerbatimChar"/>
        </w:rPr>
        <w:t xml:space="preserve">          38.1.1.1.2 Analysis and interpretation of results</w:t>
      </w:r>
      <w:r>
        <w:br/>
      </w:r>
      <w:r>
        <w:rPr>
          <w:rStyle w:val="VerbatimChar"/>
        </w:rPr>
        <w:t xml:space="preserve">     38.1.2 Mathematical Modelling</w:t>
      </w:r>
      <w:r>
        <w:br/>
      </w:r>
      <w:r>
        <w:rPr>
          <w:rStyle w:val="VerbatimChar"/>
        </w:rPr>
        <w:t xml:space="preserve">etc.</w:t>
      </w:r>
    </w:p>
    <w:p>
      <w:pPr>
        <w:pStyle w:val="FirstParagraph"/>
      </w:pPr>
      <w:r>
        <w:t xml:space="preserve">The digital skills passport has not launched yet, but when it is, it will be found at this url:</w:t>
      </w:r>
      <w:r>
        <w:t xml:space="preserve"> </w:t>
      </w:r>
      <w:hyperlink r:id="rId71">
        <w:r>
          <w:rPr>
            <w:rStyle w:val="Hyperlink"/>
          </w:rPr>
          <w:t xml:space="preserve">https://archaeologypassport.com</w:t>
        </w:r>
      </w:hyperlink>
      <w:r>
        <w:t xml:space="preserve">.</w:t>
      </w:r>
    </w:p>
    <w:bookmarkEnd w:id="72"/>
    <w:bookmarkEnd w:id="73"/>
    <w:bookmarkStart w:id="76" w:name="dissemination-of-tutorials"/>
    <w:p>
      <w:pPr>
        <w:pStyle w:val="Heading2"/>
      </w:pPr>
      <w:r>
        <w:rPr>
          <w:rStyle w:val="SectionNumber"/>
        </w:rPr>
        <w:t xml:space="preserve">3.7</w:t>
      </w:r>
      <w:r>
        <w:tab/>
      </w:r>
      <w:r>
        <w:t xml:space="preserve">Dissemination of tutorials</w:t>
      </w:r>
    </w:p>
    <w:p>
      <w:pPr>
        <w:pStyle w:val="FirstParagraph"/>
      </w:pPr>
      <w:r>
        <w:t xml:space="preserve">The tutorials are publicly hosted on GitHub (</w:t>
      </w:r>
      <w:hyperlink r:id="rId74">
        <w:r>
          <w:rPr>
            <w:rStyle w:val="Hyperlink"/>
          </w:rPr>
          <w:t xml:space="preserve">https://github.com/ABMArchaeologists/ABMA_tutorials/</w:t>
        </w:r>
      </w:hyperlink>
      <w:r>
        <w:t xml:space="preserve">) and are citeable</w:t>
      </w:r>
      <w:r>
        <w:t xml:space="preserve"> </w:t>
      </w:r>
      <w:r>
        <w:t xml:space="preserve">(Rocks-Macqueen et al. 2024)</w:t>
      </w:r>
      <w:r>
        <w:t xml:space="preserve">. Anyone interested can download the tutorials and their source code. To increase the accessibility and visibility of the tutorials, they are also hosted on a static website (</w:t>
      </w:r>
      <w:hyperlink r:id="rId75">
        <w:r>
          <w:rPr>
            <w:rStyle w:val="Hyperlink"/>
          </w:rPr>
          <w:t xml:space="preserve">https://ABMArchaeologists.github.io/ABMA_Website</w:t>
        </w:r>
      </w:hyperlink>
      <w:r>
        <w:t xml:space="preserve">) can be followed without the need to download any software. The source code of the website is also openly available</w:t>
      </w:r>
      <w:r>
        <w:t xml:space="preserve"> </w:t>
      </w:r>
      <w:r>
        <w:t xml:space="preserve">(Jutte et al. 2024)</w:t>
      </w:r>
      <w:r>
        <w:t xml:space="preserv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6"/>
    <w:bookmarkEnd w:id="77"/>
    <w:bookmarkStart w:id="78" w:name="conclusion"/>
    <w:p>
      <w:pPr>
        <w:pStyle w:val="Heading1"/>
      </w:pPr>
      <w:r>
        <w:rPr>
          <w:rStyle w:val="SectionNumber"/>
        </w:rPr>
        <w:t xml:space="preserve">4</w:t>
      </w:r>
      <w:r>
        <w:tab/>
      </w:r>
      <w:r>
        <w:t xml:space="preserve">Conclusion</w:t>
      </w:r>
    </w:p>
    <w:p>
      <w:pPr>
        <w:pStyle w:val="FirstParagraph"/>
      </w:pPr>
      <w:r>
        <w:t xml:space="preserve">The process of creating and testing Open Educational Resources for Agent-Based Modelling for Archaeologists showed us many things. The demand for tutorials exceeded our expectations, showing the importance of creating these materials. The testing of tutorials during workshops at international an national conferences proved very useful in gaining direct feedback. This greatly helped improving the material. The tutorials have proven their use in guiding learners into understanding ABM in an archaeological context. The international cooperation improved the quality of the material and also the accessibility of the material for various audiences. The integration in the Digital competency framework and Skills passport increased the didactic and pedagogic quality even while the latter is not yet published.</w:t>
      </w:r>
    </w:p>
    <w:p>
      <w:pPr>
        <w:pStyle w:val="BodyText"/>
      </w:pPr>
      <w:r>
        <w:t xml:space="preserve">Future aspects of these open learning materials will be the further application and integration within the educational programmes in our universities and hopefully in others too. We have made the material openly available and we hope that the ABM-community will stay involved and that future updates will be community driven.</w:t>
      </w:r>
    </w:p>
    <w:bookmarkEnd w:id="78"/>
    <w:bookmarkStart w:id="80"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9">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6"/>
        </w:numPr>
      </w:pPr>
      <w:r>
        <w:t xml:space="preserve">September 2022-February 2023: Dany Dragoi, Liam van den Bosch, Marko Stojkovic, Max van Duinen, Nora van den Engel, Roan Man, Stefan Oostingh and their tutor: Mark Spanjer.</w:t>
      </w:r>
    </w:p>
    <w:p>
      <w:pPr>
        <w:numPr>
          <w:ilvl w:val="0"/>
          <w:numId w:val="1006"/>
        </w:numPr>
      </w:pPr>
      <w:r>
        <w:t xml:space="preserve">February 2022-July 2023: Alice Overgaauw, Johan Broersma, Mandy Hazenberg, Paulina Fulneczek, Ties Heesink and their tutor: Jan Willem Huson.</w:t>
      </w:r>
    </w:p>
    <w:p>
      <w:pPr>
        <w:numPr>
          <w:ilvl w:val="0"/>
          <w:numId w:val="1006"/>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Poorthuis,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the Aarhus University Research Foundation and FWO grant number W001220N.</w:t>
      </w:r>
    </w:p>
    <w:bookmarkEnd w:id="80"/>
    <w:bookmarkStart w:id="126" w:name="references"/>
    <w:p>
      <w:pPr>
        <w:pStyle w:val="Heading1"/>
      </w:pPr>
      <w:r>
        <w:t xml:space="preserve">References</w:t>
      </w:r>
    </w:p>
    <w:bookmarkStart w:id="125" w:name="refs"/>
    <w:bookmarkStart w:id="82" w:name="ref-aalpoel2024"/>
    <w:p>
      <w:pPr>
        <w:pStyle w:val="Bibliography"/>
      </w:pPr>
      <w:r>
        <w:t xml:space="preserve">Aalpoel, R, Baan, E, Lucas, S, Mulder, J, Regts, S, Sijbrant, A, Jutte, A and Visser, R. 2024</w:t>
      </w:r>
      <w:r>
        <w:t xml:space="preserve"> </w:t>
      </w:r>
      <w:r>
        <w:rPr>
          <w:iCs/>
          <w:i/>
        </w:rPr>
        <w:t xml:space="preserve">Teaching material Agent-Based Modelling for Archaeologists (EN/NL)</w:t>
      </w:r>
      <w:r>
        <w:t xml:space="preserve"> </w:t>
      </w:r>
      <w:r>
        <w:t xml:space="preserve">DOI: https://doi.org/</w:t>
      </w:r>
      <w:hyperlink r:id="rId81">
        <w:r>
          <w:rPr>
            <w:rStyle w:val="Hyperlink"/>
          </w:rPr>
          <w:t xml:space="preserve">10.5281/zenodo.10950153</w:t>
        </w:r>
      </w:hyperlink>
      <w:r>
        <w:t xml:space="preserve">.</w:t>
      </w:r>
    </w:p>
    <w:bookmarkEnd w:id="82"/>
    <w:bookmarkStart w:id="84" w:name="ref-cobb2020"/>
    <w:p>
      <w:pPr>
        <w:pStyle w:val="Bibliography"/>
      </w:pPr>
      <w:r>
        <w:t xml:space="preserve">Cobb, H and Croucher, K. 2020</w:t>
      </w:r>
      <w:r>
        <w:t xml:space="preserve"> </w:t>
      </w:r>
      <w:r>
        <w:rPr>
          <w:iCs/>
          <w:i/>
        </w:rPr>
        <w:t xml:space="preserve">Pedagogy, political economy, and training</w:t>
      </w:r>
      <w:r>
        <w:t xml:space="preserve">. In: Cobb, H and Croucher, K (eds.). Oxford University Press. p. 0. DOI: https://doi.org/</w:t>
      </w:r>
      <w:hyperlink r:id="rId83">
        <w:r>
          <w:rPr>
            <w:rStyle w:val="Hyperlink"/>
          </w:rPr>
          <w:t xml:space="preserve">10.1093/oso/9780198784258.003.0004</w:t>
        </w:r>
      </w:hyperlink>
      <w:r>
        <w:t xml:space="preserve">.</w:t>
      </w:r>
    </w:p>
    <w:bookmarkEnd w:id="84"/>
    <w:bookmarkStart w:id="86" w:name="ref-councilofeurope2020"/>
    <w:p>
      <w:pPr>
        <w:pStyle w:val="Bibliography"/>
      </w:pPr>
      <w:r>
        <w:t xml:space="preserve">Council of Europe. 2020.</w:t>
      </w:r>
      <w:r>
        <w:t xml:space="preserve"> </w:t>
      </w:r>
      <w:hyperlink r:id="rId85">
        <w:r>
          <w:rPr>
            <w:rStyle w:val="Hyperlink"/>
            <w:iCs/>
            <w:i/>
          </w:rPr>
          <w:t xml:space="preserve">Common european framework of reference for languages: Learning, teaching, assessment. Companion volume</w:t>
        </w:r>
      </w:hyperlink>
      <w:r>
        <w:t xml:space="preserve">. Strasbourg: Council of Europe Publishing.</w:t>
      </w:r>
    </w:p>
    <w:bookmarkEnd w:id="86"/>
    <w:bookmarkStart w:id="87"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7"/>
    <w:bookmarkStart w:id="89"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8">
        <w:r>
          <w:rPr>
            <w:rStyle w:val="Hyperlink"/>
          </w:rPr>
          <w:t xml:space="preserve">10.7551/mitpress/3374.001.0001</w:t>
        </w:r>
      </w:hyperlink>
      <w:r>
        <w:t xml:space="preserve">.</w:t>
      </w:r>
    </w:p>
    <w:bookmarkEnd w:id="89"/>
    <w:bookmarkStart w:id="91" w:name="X32e7d84f798fecaddc8b57b85323e29cd5798d5"/>
    <w:p>
      <w:pPr>
        <w:pStyle w:val="Bibliography"/>
      </w:pPr>
      <w:r>
        <w:t xml:space="preserve">European Commission, Joint Research Centre, Vuorikari, R, Kluzer, S and Punie, Y. 2022.</w:t>
      </w:r>
      <w:r>
        <w:t xml:space="preserve"> </w:t>
      </w:r>
      <w:hyperlink r:id="rId90">
        <w:r>
          <w:rPr>
            <w:rStyle w:val="Hyperlink"/>
            <w:iCs/>
            <w:i/>
          </w:rPr>
          <w:t xml:space="preserve">DigComp 2.2: The Digital Competence Framework for Citizens - With new examples of knowledge, skills and attitudes</w:t>
        </w:r>
      </w:hyperlink>
      <w:r>
        <w:t xml:space="preserve">.</w:t>
      </w:r>
    </w:p>
    <w:bookmarkEnd w:id="91"/>
    <w:bookmarkStart w:id="93" w:name="ref-grolemund2011"/>
    <w:p>
      <w:pPr>
        <w:pStyle w:val="Bibliography"/>
      </w:pPr>
      <w:r>
        <w:t xml:space="preserve">Grolemund, G and Wickham, H. 2011</w:t>
      </w:r>
      <w:r>
        <w:t xml:space="preserve"> </w:t>
      </w:r>
      <w:hyperlink r:id="rId92">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93"/>
    <w:bookmarkStart w:id="95"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94">
        <w:r>
          <w:rPr>
            <w:rStyle w:val="Hyperlink"/>
          </w:rPr>
          <w:t xml:space="preserve">10.5281/zenodo.10931759</w:t>
        </w:r>
      </w:hyperlink>
      <w:r>
        <w:t xml:space="preserve">.</w:t>
      </w:r>
    </w:p>
    <w:bookmarkEnd w:id="95"/>
    <w:bookmarkStart w:id="97" w:name="ref-karl2019"/>
    <w:p>
      <w:pPr>
        <w:pStyle w:val="Bibliography"/>
      </w:pPr>
      <w:r>
        <w:t xml:space="preserve">Karl, R, Möller, K, Connolly, D, Trausmuth, T, Krierer, KR, Rocks-Macqueen, D, Aitchison, K, Edeso, M, Pintucci, A and Marciniak, A. 2019 Der archäologische Grabungs-Kompetenz-Pass</w:t>
      </w:r>
      <w:r>
        <w:t xml:space="preserve"> </w:t>
      </w:r>
      <w:r>
        <w:t xml:space="preserve"> </w:t>
      </w:r>
      <w:r>
        <w:t xml:space="preserve">ein Mittel zur Dokumentation durch Praxis erworbener archäologischer Fertigkeiten.</w:t>
      </w:r>
      <w:r>
        <w:t xml:space="preserve"> </w:t>
      </w:r>
      <w:r>
        <w:rPr>
          <w:iCs/>
          <w:i/>
        </w:rPr>
        <w:t xml:space="preserve">Archäologische Informationen</w:t>
      </w:r>
      <w:r>
        <w:t xml:space="preserve"> </w:t>
      </w:r>
      <w:r>
        <w:t xml:space="preserve">42: 237–249. DOI: https://doi.org/</w:t>
      </w:r>
      <w:hyperlink r:id="rId96">
        <w:r>
          <w:rPr>
            <w:rStyle w:val="Hyperlink"/>
          </w:rPr>
          <w:t xml:space="preserve">10.11588/ai.2019.0.69362</w:t>
        </w:r>
      </w:hyperlink>
      <w:r>
        <w:t xml:space="preserve">.</w:t>
      </w:r>
    </w:p>
    <w:bookmarkEnd w:id="97"/>
    <w:bookmarkStart w:id="99" w:name="ref-marwick2017"/>
    <w:p>
      <w:pPr>
        <w:pStyle w:val="Bibliography"/>
      </w:pPr>
      <w:r>
        <w:t xml:space="preserve">Marwick, B. 2017 Computational Reproducibility in Archaeological Research: Basic Principles and a Case Study of Their Implementation.</w:t>
      </w:r>
      <w:r>
        <w:t xml:space="preserve"> </w:t>
      </w:r>
      <w:r>
        <w:rPr>
          <w:iCs/>
          <w:i/>
        </w:rPr>
        <w:t xml:space="preserve">Journal of Archaeological Method and Theory</w:t>
      </w:r>
      <w:r>
        <w:t xml:space="preserve"> </w:t>
      </w:r>
      <w:r>
        <w:t xml:space="preserve">24(2): 424–450. DOI: https://doi.org/</w:t>
      </w:r>
      <w:hyperlink r:id="rId98">
        <w:r>
          <w:rPr>
            <w:rStyle w:val="Hyperlink"/>
          </w:rPr>
          <w:t xml:space="preserve">10.1007/s10816-015-9272-9</w:t>
        </w:r>
      </w:hyperlink>
      <w:r>
        <w:t xml:space="preserve">.</w:t>
      </w:r>
    </w:p>
    <w:bookmarkEnd w:id="99"/>
    <w:bookmarkStart w:id="101" w:name="ref-rcoreteam2023"/>
    <w:p>
      <w:pPr>
        <w:pStyle w:val="Bibliography"/>
      </w:pPr>
      <w:r>
        <w:t xml:space="preserve">R Core Team. 2023</w:t>
      </w:r>
      <w:r>
        <w:t xml:space="preserve"> </w:t>
      </w:r>
      <w:hyperlink r:id="rId100">
        <w:r>
          <w:rPr>
            <w:rStyle w:val="Hyperlink"/>
            <w:iCs/>
            <w:i/>
          </w:rPr>
          <w:t xml:space="preserve">R: A language and environment for statistical computing</w:t>
        </w:r>
      </w:hyperlink>
      <w:r>
        <w:t xml:space="preserve">.</w:t>
      </w:r>
    </w:p>
    <w:bookmarkEnd w:id="101"/>
    <w:bookmarkStart w:id="103"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102">
        <w:r>
          <w:rPr>
            <w:rStyle w:val="Hyperlink"/>
          </w:rPr>
          <w:t xml:space="preserve">10.5281/zenodo.10931587</w:t>
        </w:r>
      </w:hyperlink>
      <w:r>
        <w:t xml:space="preserve">.</w:t>
      </w:r>
    </w:p>
    <w:bookmarkEnd w:id="103"/>
    <w:bookmarkStart w:id="104"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104"/>
    <w:bookmarkStart w:id="106"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105">
        <w:r>
          <w:rPr>
            <w:rStyle w:val="Hyperlink"/>
          </w:rPr>
          <w:t xml:space="preserve">10.59641/f48820ir</w:t>
        </w:r>
      </w:hyperlink>
      <w:r>
        <w:t xml:space="preserve">.</w:t>
      </w:r>
    </w:p>
    <w:bookmarkEnd w:id="106"/>
    <w:bookmarkStart w:id="108" w:name="ref-romanowska2021a"/>
    <w:p>
      <w:pPr>
        <w:pStyle w:val="Bibliography"/>
      </w:pPr>
      <w:r>
        <w:t xml:space="preserve">Romanowska, I, Wren, CD and Crabtree, SA. 2021.</w:t>
      </w:r>
      <w:r>
        <w:t xml:space="preserve"> </w:t>
      </w:r>
      <w:hyperlink r:id="rId107">
        <w:r>
          <w:rPr>
            <w:rStyle w:val="Hyperlink"/>
            <w:iCs/>
            <w:i/>
          </w:rPr>
          <w:t xml:space="preserve">Agent-based modeling for archaeology: Simulating the complexity of societies</w:t>
        </w:r>
      </w:hyperlink>
      <w:r>
        <w:t xml:space="preserve">. Santa Fe: Santa Fe Institute Press.</w:t>
      </w:r>
    </w:p>
    <w:bookmarkEnd w:id="108"/>
    <w:bookmarkStart w:id="110"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109">
        <w:r>
          <w:rPr>
            <w:rStyle w:val="Hyperlink"/>
          </w:rPr>
          <w:t xml:space="preserve">10.5334/jcaa.26</w:t>
        </w:r>
      </w:hyperlink>
      <w:r>
        <w:t xml:space="preserve">.</w:t>
      </w:r>
    </w:p>
    <w:bookmarkEnd w:id="110"/>
    <w:bookmarkStart w:id="112"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11">
        <w:r>
          <w:rPr>
            <w:rStyle w:val="Hyperlink"/>
          </w:rPr>
          <w:t xml:space="preserve">10.5281/zenodo.11046488</w:t>
        </w:r>
      </w:hyperlink>
      <w:r>
        <w:t xml:space="preserve">.</w:t>
      </w:r>
    </w:p>
    <w:bookmarkEnd w:id="112"/>
    <w:bookmarkStart w:id="114" w:name="ref-wickham2016"/>
    <w:p>
      <w:pPr>
        <w:pStyle w:val="Bibliography"/>
      </w:pPr>
      <w:r>
        <w:t xml:space="preserve">Wickham, H. 2016.</w:t>
      </w:r>
      <w:r>
        <w:t xml:space="preserve"> </w:t>
      </w:r>
      <w:hyperlink r:id="rId113">
        <w:r>
          <w:rPr>
            <w:rStyle w:val="Hyperlink"/>
            <w:iCs/>
            <w:i/>
          </w:rPr>
          <w:t xml:space="preserve">ggplot2: Elegant graphics for data analysis</w:t>
        </w:r>
      </w:hyperlink>
      <w:r>
        <w:t xml:space="preserve">. Springer-Verlag New York.</w:t>
      </w:r>
    </w:p>
    <w:bookmarkEnd w:id="114"/>
    <w:bookmarkStart w:id="116" w:name="ref-wickham2023b"/>
    <w:p>
      <w:pPr>
        <w:pStyle w:val="Bibliography"/>
      </w:pPr>
      <w:r>
        <w:t xml:space="preserve">Wickham, H. 2023a</w:t>
      </w:r>
      <w:r>
        <w:t xml:space="preserve"> </w:t>
      </w:r>
      <w:hyperlink r:id="rId115">
        <w:r>
          <w:rPr>
            <w:rStyle w:val="Hyperlink"/>
            <w:iCs/>
            <w:i/>
          </w:rPr>
          <w:t xml:space="preserve">Forcats: Tools for working with categorical variables (factors)</w:t>
        </w:r>
      </w:hyperlink>
      <w:r>
        <w:t xml:space="preserve">.</w:t>
      </w:r>
    </w:p>
    <w:bookmarkEnd w:id="116"/>
    <w:bookmarkStart w:id="118" w:name="ref-wickham2023c"/>
    <w:p>
      <w:pPr>
        <w:pStyle w:val="Bibliography"/>
      </w:pPr>
      <w:r>
        <w:t xml:space="preserve">Wickham, H. 2023b</w:t>
      </w:r>
      <w:r>
        <w:t xml:space="preserve"> </w:t>
      </w:r>
      <w:hyperlink r:id="rId117">
        <w:r>
          <w:rPr>
            <w:rStyle w:val="Hyperlink"/>
            <w:iCs/>
            <w:i/>
          </w:rPr>
          <w:t xml:space="preserve">Stringr: Simple, consistent wrappers for common string operations</w:t>
        </w:r>
      </w:hyperlink>
      <w:r>
        <w:t xml:space="preserve">.</w:t>
      </w:r>
    </w:p>
    <w:bookmarkEnd w:id="118"/>
    <w:bookmarkStart w:id="120" w:name="ref-wickham2023a"/>
    <w:p>
      <w:pPr>
        <w:pStyle w:val="Bibliography"/>
      </w:pPr>
      <w:r>
        <w:t xml:space="preserve">Wickham, H, François, R, Henry, L, Müller, K and Vaughan, D. 2023</w:t>
      </w:r>
      <w:r>
        <w:t xml:space="preserve"> </w:t>
      </w:r>
      <w:hyperlink r:id="rId119">
        <w:r>
          <w:rPr>
            <w:rStyle w:val="Hyperlink"/>
            <w:iCs/>
            <w:i/>
          </w:rPr>
          <w:t xml:space="preserve">Dplyr: A grammar of data manipulation</w:t>
        </w:r>
      </w:hyperlink>
      <w:r>
        <w:t xml:space="preserve">.</w:t>
      </w:r>
    </w:p>
    <w:bookmarkEnd w:id="120"/>
    <w:bookmarkStart w:id="122" w:name="ref-wickham2023"/>
    <w:p>
      <w:pPr>
        <w:pStyle w:val="Bibliography"/>
      </w:pPr>
      <w:r>
        <w:t xml:space="preserve">Wickham, H, Vaughan, D and Girlich, M. 2023</w:t>
      </w:r>
      <w:r>
        <w:t xml:space="preserve"> </w:t>
      </w:r>
      <w:hyperlink r:id="rId121">
        <w:r>
          <w:rPr>
            <w:rStyle w:val="Hyperlink"/>
            <w:iCs/>
            <w:i/>
          </w:rPr>
          <w:t xml:space="preserve">Tidyr: Tidy messy data</w:t>
        </w:r>
      </w:hyperlink>
      <w:r>
        <w:t xml:space="preserve">.</w:t>
      </w:r>
    </w:p>
    <w:bookmarkEnd w:id="122"/>
    <w:bookmarkStart w:id="124"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23">
        <w:r>
          <w:rPr>
            <w:rStyle w:val="Hyperlink"/>
          </w:rPr>
          <w:t xml:space="preserve">10.1016/S0305-4403(95)80165-0</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7" Target="media/rId57.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113" Target="http://ggplot2.org" TargetMode="External" /><Relationship Type="http://schemas.openxmlformats.org/officeDocument/2006/relationships/hyperlink" Id="rId85" Target="http://www.coe.int/lang-cefr" TargetMode="External" /><Relationship Type="http://schemas.openxmlformats.org/officeDocument/2006/relationships/hyperlink" Id="rId75" Target="https://ABMArchaeologists.github.io/ABMA_Website/#/" TargetMode="External" /><Relationship Type="http://schemas.openxmlformats.org/officeDocument/2006/relationships/hyperlink" Id="rId71" Target="https://archaeologypassport.com" TargetMode="External" /><Relationship Type="http://schemas.openxmlformats.org/officeDocument/2006/relationships/hyperlink" Id="rId90" Target="https://data.europa.eu/doi/10.2760/115376" TargetMode="External" /><Relationship Type="http://schemas.openxmlformats.org/officeDocument/2006/relationships/hyperlink" Id="rId98" Target="https://doi.org/10.1007/s10816-015-9272-9" TargetMode="External" /><Relationship Type="http://schemas.openxmlformats.org/officeDocument/2006/relationships/hyperlink" Id="rId123" Target="https://doi.org/10.1016/S0305-4403(95)80165-0" TargetMode="External" /><Relationship Type="http://schemas.openxmlformats.org/officeDocument/2006/relationships/hyperlink" Id="rId83" Target="https://doi.org/10.1093/oso/9780198784258.003.0004" TargetMode="External" /><Relationship Type="http://schemas.openxmlformats.org/officeDocument/2006/relationships/hyperlink" Id="rId96" Target="https://doi.org/10.11588/ai.2019.0.69362" TargetMode="External" /><Relationship Type="http://schemas.openxmlformats.org/officeDocument/2006/relationships/hyperlink" Id="rId102" Target="https://doi.org/10.5281/zenodo.10931587" TargetMode="External" /><Relationship Type="http://schemas.openxmlformats.org/officeDocument/2006/relationships/hyperlink" Id="rId94" Target="https://doi.org/10.5281/zenodo.10931759" TargetMode="External" /><Relationship Type="http://schemas.openxmlformats.org/officeDocument/2006/relationships/hyperlink" Id="rId81" Target="https://doi.org/10.5281/zenodo.10950153" TargetMode="External" /><Relationship Type="http://schemas.openxmlformats.org/officeDocument/2006/relationships/hyperlink" Id="rId111" Target="https://doi.org/10.5281/zenodo.11046488" TargetMode="External" /><Relationship Type="http://schemas.openxmlformats.org/officeDocument/2006/relationships/hyperlink" Id="rId109" Target="https://doi.org/10.5334/jcaa.26" TargetMode="External" /><Relationship Type="http://schemas.openxmlformats.org/officeDocument/2006/relationships/hyperlink" Id="rId105" Target="https://doi.org/10.59641/f48820ir" TargetMode="External" /><Relationship Type="http://schemas.openxmlformats.org/officeDocument/2006/relationships/hyperlink" Id="rId88" Target="https://doi.org/10.7551/mitpress/3374.001.0001" TargetMode="External" /><Relationship Type="http://schemas.openxmlformats.org/officeDocument/2006/relationships/hyperlink" Id="rId119" Target="https://dplyr.tidyverse.org" TargetMode="External" /><Relationship Type="http://schemas.openxmlformats.org/officeDocument/2006/relationships/hyperlink" Id="rId79" Target="https://erasmus-plus.ec.europa.eu/nl/projects/search/details/2021-2-IE01-KA220-VET-000049054" TargetMode="External" /><Relationship Type="http://schemas.openxmlformats.org/officeDocument/2006/relationships/hyperlink" Id="rId115" Target="https://forcats.tidyverse.org/" TargetMode="External" /><Relationship Type="http://schemas.openxmlformats.org/officeDocument/2006/relationships/hyperlink" Id="rId25"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4" Target="https://github.com/ABMArchaeologists/ABMA_tutorials/" TargetMode="External" /><Relationship Type="http://schemas.openxmlformats.org/officeDocument/2006/relationships/hyperlink" Id="rId24" Target="https://rmarkdown.rstudio.com/" TargetMode="External" /><Relationship Type="http://schemas.openxmlformats.org/officeDocument/2006/relationships/hyperlink" Id="rId117" Target="https://stringr.tidyverse.org" TargetMode="External" /><Relationship Type="http://schemas.openxmlformats.org/officeDocument/2006/relationships/hyperlink" Id="rId121" Target="https://tidyr.tidyverse.org" TargetMode="External" /><Relationship Type="http://schemas.openxmlformats.org/officeDocument/2006/relationships/hyperlink" Id="rId100" Target="https://www.R-project.org/" TargetMode="External" /><Relationship Type="http://schemas.openxmlformats.org/officeDocument/2006/relationships/hyperlink" Id="rId92"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3" Target="https://www.qualtrics.com/" TargetMode="External" /><Relationship Type="http://schemas.openxmlformats.org/officeDocument/2006/relationships/hyperlink" Id="rId26" Target="https://www.saxion.edu/business-and-research/collaborate-with-saxion/smart-solutions" TargetMode="External" /><Relationship Type="http://schemas.openxmlformats.org/officeDocument/2006/relationships/hyperlink" Id="rId107"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113" Target="http://ggplot2.org" TargetMode="External" /><Relationship Type="http://schemas.openxmlformats.org/officeDocument/2006/relationships/hyperlink" Id="rId85" Target="http://www.coe.int/lang-cefr" TargetMode="External" /><Relationship Type="http://schemas.openxmlformats.org/officeDocument/2006/relationships/hyperlink" Id="rId75" Target="https://ABMArchaeologists.github.io/ABMA_Website/#/" TargetMode="External" /><Relationship Type="http://schemas.openxmlformats.org/officeDocument/2006/relationships/hyperlink" Id="rId71" Target="https://archaeologypassport.com" TargetMode="External" /><Relationship Type="http://schemas.openxmlformats.org/officeDocument/2006/relationships/hyperlink" Id="rId90" Target="https://data.europa.eu/doi/10.2760/115376" TargetMode="External" /><Relationship Type="http://schemas.openxmlformats.org/officeDocument/2006/relationships/hyperlink" Id="rId98" Target="https://doi.org/10.1007/s10816-015-9272-9" TargetMode="External" /><Relationship Type="http://schemas.openxmlformats.org/officeDocument/2006/relationships/hyperlink" Id="rId123" Target="https://doi.org/10.1016/S0305-4403(95)80165-0" TargetMode="External" /><Relationship Type="http://schemas.openxmlformats.org/officeDocument/2006/relationships/hyperlink" Id="rId83" Target="https://doi.org/10.1093/oso/9780198784258.003.0004" TargetMode="External" /><Relationship Type="http://schemas.openxmlformats.org/officeDocument/2006/relationships/hyperlink" Id="rId96" Target="https://doi.org/10.11588/ai.2019.0.69362" TargetMode="External" /><Relationship Type="http://schemas.openxmlformats.org/officeDocument/2006/relationships/hyperlink" Id="rId102" Target="https://doi.org/10.5281/zenodo.10931587" TargetMode="External" /><Relationship Type="http://schemas.openxmlformats.org/officeDocument/2006/relationships/hyperlink" Id="rId94" Target="https://doi.org/10.5281/zenodo.10931759" TargetMode="External" /><Relationship Type="http://schemas.openxmlformats.org/officeDocument/2006/relationships/hyperlink" Id="rId81" Target="https://doi.org/10.5281/zenodo.10950153" TargetMode="External" /><Relationship Type="http://schemas.openxmlformats.org/officeDocument/2006/relationships/hyperlink" Id="rId111" Target="https://doi.org/10.5281/zenodo.11046488" TargetMode="External" /><Relationship Type="http://schemas.openxmlformats.org/officeDocument/2006/relationships/hyperlink" Id="rId109" Target="https://doi.org/10.5334/jcaa.26" TargetMode="External" /><Relationship Type="http://schemas.openxmlformats.org/officeDocument/2006/relationships/hyperlink" Id="rId105" Target="https://doi.org/10.59641/f48820ir" TargetMode="External" /><Relationship Type="http://schemas.openxmlformats.org/officeDocument/2006/relationships/hyperlink" Id="rId88" Target="https://doi.org/10.7551/mitpress/3374.001.0001" TargetMode="External" /><Relationship Type="http://schemas.openxmlformats.org/officeDocument/2006/relationships/hyperlink" Id="rId119" Target="https://dplyr.tidyverse.org" TargetMode="External" /><Relationship Type="http://schemas.openxmlformats.org/officeDocument/2006/relationships/hyperlink" Id="rId79" Target="https://erasmus-plus.ec.europa.eu/nl/projects/search/details/2021-2-IE01-KA220-VET-000049054" TargetMode="External" /><Relationship Type="http://schemas.openxmlformats.org/officeDocument/2006/relationships/hyperlink" Id="rId115" Target="https://forcats.tidyverse.org/" TargetMode="External" /><Relationship Type="http://schemas.openxmlformats.org/officeDocument/2006/relationships/hyperlink" Id="rId25"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4" Target="https://github.com/ABMArchaeologists/ABMA_tutorials/" TargetMode="External" /><Relationship Type="http://schemas.openxmlformats.org/officeDocument/2006/relationships/hyperlink" Id="rId24" Target="https://rmarkdown.rstudio.com/" TargetMode="External" /><Relationship Type="http://schemas.openxmlformats.org/officeDocument/2006/relationships/hyperlink" Id="rId117" Target="https://stringr.tidyverse.org" TargetMode="External" /><Relationship Type="http://schemas.openxmlformats.org/officeDocument/2006/relationships/hyperlink" Id="rId121" Target="https://tidyr.tidyverse.org" TargetMode="External" /><Relationship Type="http://schemas.openxmlformats.org/officeDocument/2006/relationships/hyperlink" Id="rId100" Target="https://www.R-project.org/" TargetMode="External" /><Relationship Type="http://schemas.openxmlformats.org/officeDocument/2006/relationships/hyperlink" Id="rId92"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3" Target="https://www.qualtrics.com/" TargetMode="External" /><Relationship Type="http://schemas.openxmlformats.org/officeDocument/2006/relationships/hyperlink" Id="rId26" Target="https://www.saxion.edu/business-and-research/collaborate-with-saxion/smart-solutions" TargetMode="External" /><Relationship Type="http://schemas.openxmlformats.org/officeDocument/2006/relationships/hyperlink" Id="rId107"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2024-09-20T16:06:29Z</dcterms:created>
  <dcterms:modified xsi:type="dcterms:W3CDTF">2024-09-20T16:06:29Z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September 20,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