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2.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28</w:t>
      </w:r>
      <w:r>
        <w:t xml:space="preserve"> </w:t>
      </w:r>
      <w:r>
        <w:t xml:space="preserve">February</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No formal training</w:t>
      </w:r>
    </w:p>
    <w:p>
      <w:pPr>
        <w:pStyle w:val="BodyText"/>
      </w:pPr>
      <w:r>
        <w:t xml:space="preserve">EU project</w:t>
      </w:r>
    </w:p>
    <w:bookmarkEnd w:id="20"/>
    <w:bookmarkStart w:id="24"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1">
        <w:r>
          <w:rPr>
            <w:rStyle w:val="Hyperlink"/>
          </w:rPr>
          <w:t xml:space="preserve">https://www.netlogoweb.org/launch</w:t>
        </w:r>
      </w:hyperlink>
      <w:r>
        <w:t xml:space="preserve">) and Javascript (). The tutorials were developed together and we worked together using GitHub (</w:t>
      </w:r>
      <w:hyperlink r:id="rId22">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In addition, we also had students working with the tutorials at Saxion Universty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pPr>
          </w:p>
        </w:tc>
        <w:tc>
          <w:tcPr/>
          <w:p>
            <w:pPr>
              <w:pStyle w:val="Compact"/>
            </w:pP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pP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178</w:t>
            </w:r>
          </w:p>
        </w:tc>
        <w:tc>
          <w:tcPr/>
          <w:p>
            <w:pPr>
              <w:pStyle w:val="Compact"/>
              <w:jc w:val="left"/>
            </w:pPr>
            <w:r>
              <w:t xml:space="preserve">400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pP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https://github.com/RonaldVisser/ABM_tutorials</w:t>
        </w:r>
      </w:hyperlink>
      <w:r>
        <w:t xml:space="preserve"> </w:t>
      </w:r>
      <w:r>
        <w:t xml:space="preserve">and (… insert Zenodo reference…)</w:t>
      </w:r>
    </w:p>
    <w:bookmarkEnd w:id="24"/>
    <w:bookmarkStart w:id="45" w:name="results"/>
    <w:p>
      <w:pPr>
        <w:pStyle w:val="Heading1"/>
      </w:pPr>
      <w:r>
        <w:rPr>
          <w:rStyle w:val="SectionNumber"/>
        </w:rPr>
        <w:t xml:space="preserve">3</w:t>
      </w:r>
      <w:r>
        <w:tab/>
      </w:r>
      <w:r>
        <w:t xml:space="preserve">Results</w:t>
      </w:r>
    </w:p>
    <w:bookmarkStart w:id="25" w:name="tutorials"/>
    <w:p>
      <w:pPr>
        <w:pStyle w:val="Heading2"/>
      </w:pPr>
      <w:r>
        <w:rPr>
          <w:rStyle w:val="SectionNumber"/>
        </w:rPr>
        <w:t xml:space="preserve">3.1</w:t>
      </w:r>
      <w:r>
        <w:tab/>
      </w:r>
      <w:r>
        <w:t xml:space="preserve">Tutorials</w:t>
      </w:r>
    </w:p>
    <w:bookmarkEnd w:id="25"/>
    <w:bookmarkStart w:id="41" w:name="before-tutorial"/>
    <w:p>
      <w:pPr>
        <w:pStyle w:val="Heading2"/>
      </w:pPr>
      <w:r>
        <w:rPr>
          <w:rStyle w:val="SectionNumber"/>
        </w:rPr>
        <w:t xml:space="preserve">3.2</w:t>
      </w:r>
      <w:r>
        <w:tab/>
      </w:r>
      <w:r>
        <w:t xml:space="preserve">Before tutorial</w:t>
      </w:r>
    </w:p>
    <w:p>
      <w:pPr>
        <w:pStyle w:val="FirstParagraph"/>
      </w:pPr>
      <w:r>
        <w:t xml:space="preserve">A large proportion of the participants of the workshops gave us information using the survey before the workshops 172 of (…total number…) participants. The respondents came from many different countries all over the world (see Figure @ref(fig:nationality). The number of female respondents slightly outnumber the male ones and a small group did not share their gender and two were non-binary @ref(fig:gender-age). The ages of the respondents ranged from below 20 to over 70, reaching people in different age classes, although the majority was aged between 20 and 40.</w:t>
      </w:r>
    </w:p>
    <w:p>
      <w:pPr>
        <w:pStyle w:val="CaptionedFigure"/>
      </w:pPr>
      <w:r>
        <w:drawing>
          <wp:inline>
            <wp:extent cx="4620126" cy="3696101"/>
            <wp:effectExtent b="0" l="0" r="0" t="0"/>
            <wp:docPr descr="The nationality of the participants that filled in the survey." title="" id="27" name="Picture"/>
            <a:graphic>
              <a:graphicData uri="http://schemas.openxmlformats.org/drawingml/2006/picture">
                <pic:pic>
                  <pic:nvPicPr>
                    <pic:cNvPr descr="paper_files/figure-docx/nationality-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nationality of the participants that filled in the survey.</w:t>
      </w:r>
    </w:p>
    <w:p>
      <w:pPr>
        <w:pStyle w:val="CaptionedFigure"/>
      </w:pPr>
      <w:r>
        <w:drawing>
          <wp:inline>
            <wp:extent cx="4620126" cy="3696101"/>
            <wp:effectExtent b="0" l="0" r="0" t="0"/>
            <wp:docPr descr="The gender and age of the respondents for each workshop" title="" id="30" name="Picture"/>
            <a:graphic>
              <a:graphicData uri="http://schemas.openxmlformats.org/drawingml/2006/picture">
                <pic:pic>
                  <pic:nvPicPr>
                    <pic:cNvPr descr="paper_files/figure-docx/gender-ag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gender and age of the respondents for each workshop</w:t>
      </w:r>
    </w:p>
    <w:p>
      <w:pPr>
        <w:pStyle w:val="BodyText"/>
      </w:pPr>
      <w:r>
        <w:t xml:space="preserve">Most of the respondents had several skills with computer applications in archaeology (see Figure</w:t>
      </w:r>
      <w:r>
        <w:t xml:space="preserve"> </w:t>
      </w:r>
      <w:r>
        <w:t xml:space="preserve">(</w:t>
      </w:r>
      <w:r>
        <w:rPr>
          <w:bCs/>
          <w:b/>
        </w:rPr>
        <w:t xml:space="preserve">ref?</w:t>
      </w:r>
      <w:r>
        <w:t xml:space="preserve">)</w:t>
      </w:r>
      <w:r>
        <w:t xml:space="preserve">(fig:computer-skills)),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 @ref(fig:abm-knowledge)).</w:t>
      </w:r>
    </w:p>
    <w:p>
      <w:pPr>
        <w:pStyle w:val="CaptionedFigure"/>
      </w:pPr>
      <w:r>
        <w:drawing>
          <wp:inline>
            <wp:extent cx="4620126" cy="3696101"/>
            <wp:effectExtent b="0" l="0" r="0" t="0"/>
            <wp:docPr descr="The computer skills of the respondents." title="" id="33" name="Picture"/>
            <a:graphic>
              <a:graphicData uri="http://schemas.openxmlformats.org/drawingml/2006/picture">
                <pic:pic>
                  <pic:nvPicPr>
                    <pic:cNvPr descr="paper_files/figure-docx/computer-skill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computer skills of the respondents.</w:t>
      </w:r>
    </w:p>
    <w:p>
      <w:pPr>
        <w:pStyle w:val="BodyText"/>
      </w:pPr>
      <w:r>
        <w:drawing>
          <wp:inline>
            <wp:extent cx="2667000" cy="2133600"/>
            <wp:effectExtent b="0" l="0" r="0" t="0"/>
            <wp:docPr descr="Respondents knowledge and experience with ABM." title="" id="36" name="Picture"/>
            <a:graphic>
              <a:graphicData uri="http://schemas.openxmlformats.org/drawingml/2006/picture">
                <pic:pic>
                  <pic:nvPicPr>
                    <pic:cNvPr descr="paper_files/figure-docx/abm-knowledge-1.png" id="37" name="Picture"/>
                    <pic:cNvPicPr>
                      <a:picLocks noChangeArrowheads="1" noChangeAspect="1"/>
                    </pic:cNvPicPr>
                  </pic:nvPicPr>
                  <pic:blipFill>
                    <a:blip r:embed="rId3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Respondents knowledge and experience with ABM." title="" id="39" name="Picture"/>
            <a:graphic>
              <a:graphicData uri="http://schemas.openxmlformats.org/drawingml/2006/picture">
                <pic:pic>
                  <pic:nvPicPr>
                    <pic:cNvPr descr="paper_files/figure-docx/abm-knowledge-2.png" id="40" name="Picture"/>
                    <pic:cNvPicPr>
                      <a:picLocks noChangeArrowheads="1" noChangeAspect="1"/>
                    </pic:cNvPicPr>
                  </pic:nvPicPr>
                  <pic:blipFill>
                    <a:blip r:embed="rId38"/>
                    <a:stretch>
                      <a:fillRect/>
                    </a:stretch>
                  </pic:blipFill>
                  <pic:spPr bwMode="auto">
                    <a:xfrm>
                      <a:off x="0" y="0"/>
                      <a:ext cx="2667000" cy="2133600"/>
                    </a:xfrm>
                    <a:prstGeom prst="rect">
                      <a:avLst/>
                    </a:prstGeom>
                    <a:noFill/>
                    <a:ln w="9525">
                      <a:noFill/>
                      <a:headEnd/>
                      <a:tailEnd/>
                    </a:ln>
                  </pic:spPr>
                </pic:pic>
              </a:graphicData>
            </a:graphic>
          </wp:inline>
        </w:drawing>
      </w:r>
    </w:p>
    <w:bookmarkEnd w:id="41"/>
    <w:bookmarkStart w:id="42" w:name="after-tutorial"/>
    <w:p>
      <w:pPr>
        <w:pStyle w:val="Heading2"/>
      </w:pPr>
      <w:r>
        <w:rPr>
          <w:rStyle w:val="SectionNumber"/>
        </w:rPr>
        <w:t xml:space="preserve">3.3</w:t>
      </w:r>
      <w:r>
        <w:tab/>
      </w:r>
      <w:r>
        <w:t xml:space="preserve">After tutorial</w:t>
      </w:r>
    </w:p>
    <w:bookmarkEnd w:id="42"/>
    <w:bookmarkStart w:id="43" w:name="final-tutorials"/>
    <w:p>
      <w:pPr>
        <w:pStyle w:val="Heading2"/>
      </w:pPr>
      <w:r>
        <w:rPr>
          <w:rStyle w:val="SectionNumber"/>
        </w:rPr>
        <w:t xml:space="preserve">3.4</w:t>
      </w:r>
      <w:r>
        <w:tab/>
      </w:r>
      <w:r>
        <w:t xml:space="preserve">Final tutorials</w:t>
      </w:r>
    </w:p>
    <w:bookmarkEnd w:id="43"/>
    <w:bookmarkStart w:id="44" w:name="dissemination-of-tutorials"/>
    <w:p>
      <w:pPr>
        <w:pStyle w:val="Heading2"/>
      </w:pPr>
      <w:r>
        <w:rPr>
          <w:rStyle w:val="SectionNumber"/>
        </w:rPr>
        <w:t xml:space="preserve">3.5</w:t>
      </w:r>
      <w:r>
        <w:tab/>
      </w:r>
      <w:r>
        <w:t xml:space="preserve">Dissemination of tutorials</w:t>
      </w:r>
    </w:p>
    <w:p>
      <w:pPr>
        <w:pStyle w:val="FirstParagraph"/>
      </w:pPr>
      <w:r>
        <w:t xml:space="preserve">Website</w:t>
      </w:r>
    </w:p>
    <w:bookmarkEnd w:id="44"/>
    <w:bookmarkEnd w:id="45"/>
    <w:bookmarkStart w:id="46"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46"/>
    <w:bookmarkStart w:id="47" w:name="acknowledgements"/>
    <w:p>
      <w:pPr>
        <w:pStyle w:val="Heading1"/>
      </w:pPr>
      <w:r>
        <w:rPr>
          <w:rStyle w:val="SectionNumber"/>
        </w:rPr>
        <w:t xml:space="preserve">5</w:t>
      </w:r>
      <w:r>
        <w:tab/>
      </w:r>
      <w:r>
        <w:t xml:space="preserve">Acknowledgements</w:t>
      </w:r>
    </w:p>
    <w:p>
      <w:pPr>
        <w:pStyle w:val="FirstParagraph"/>
      </w:pPr>
      <w:r>
        <w:t xml:space="preserve">The roles of this paper according to CReDiT (Contributor Roles Taxonomy):</w:t>
      </w:r>
    </w:p>
    <w:p>
      <w:pPr>
        <w:pStyle w:val="BodyText"/>
      </w:pPr>
      <w:r>
        <w:t xml:space="preserve">Kenneth Aitchison</w:t>
      </w:r>
    </w:p>
    <w:p>
      <w:pPr>
        <w:pStyle w:val="BodyText"/>
      </w:pPr>
      <w:r>
        <w:t xml:space="preserve">Tom Brughmans</w:t>
      </w:r>
    </w:p>
    <w:p>
      <w:pPr>
        <w:pStyle w:val="BodyText"/>
      </w:pPr>
      <w:r>
        <w:t xml:space="preserve">Annemarie Jutte</w:t>
      </w:r>
    </w:p>
    <w:p>
      <w:pPr>
        <w:pStyle w:val="BodyText"/>
      </w:pPr>
      <w:r>
        <w:t xml:space="preserve">Laura van der Knaap</w:t>
      </w:r>
    </w:p>
    <w:p>
      <w:pPr>
        <w:pStyle w:val="BodyText"/>
      </w:pPr>
      <w:r>
        <w:t xml:space="preserve">Karsten Lambers</w:t>
      </w:r>
    </w:p>
    <w:p>
      <w:pPr>
        <w:pStyle w:val="BodyText"/>
      </w:pPr>
      <w:r>
        <w:t xml:space="preserve">Doug Rocks-Macqueen (Software)</w:t>
      </w:r>
    </w:p>
    <w:p>
      <w:pPr>
        <w:pStyle w:val="BodyText"/>
      </w:pPr>
      <w:r>
        <w:t xml:space="preserve">Iza Romanowska</w:t>
      </w:r>
    </w:p>
    <w:p>
      <w:pPr>
        <w:pStyle w:val="BodyText"/>
      </w:pPr>
      <w:r>
        <w:t xml:space="preserve">Ronald M. Visser (Writing – original draft, Formal Analysis, Visualization)</w:t>
      </w:r>
    </w:p>
    <w:bookmarkEnd w:id="47"/>
    <w:bookmarkStart w:id="63" w:name="references"/>
    <w:p>
      <w:pPr>
        <w:pStyle w:val="Heading1"/>
      </w:pPr>
      <w:r>
        <w:t xml:space="preserve">References</w:t>
      </w:r>
    </w:p>
    <w:bookmarkStart w:id="62" w:name="refs"/>
    <w:bookmarkStart w:id="49" w:name="ref-grolemund2011"/>
    <w:p>
      <w:pPr>
        <w:pStyle w:val="Bibliography"/>
      </w:pPr>
      <w:r>
        <w:t xml:space="preserve">Grolemund, G and Wickham, H. 2011</w:t>
      </w:r>
      <w:r>
        <w:t xml:space="preserve"> </w:t>
      </w:r>
      <w:hyperlink r:id="rId48">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49"/>
    <w:bookmarkStart w:id="51" w:name="ref-rcoreteam2023"/>
    <w:p>
      <w:pPr>
        <w:pStyle w:val="Bibliography"/>
      </w:pPr>
      <w:r>
        <w:t xml:space="preserve">R Core Team. 2023</w:t>
      </w:r>
      <w:r>
        <w:t xml:space="preserve"> </w:t>
      </w:r>
      <w:hyperlink r:id="rId50">
        <w:r>
          <w:rPr>
            <w:rStyle w:val="Hyperlink"/>
            <w:iCs/>
            <w:i/>
          </w:rPr>
          <w:t xml:space="preserve">R: A language and environment for statistical computing</w:t>
        </w:r>
      </w:hyperlink>
      <w:r>
        <w:t xml:space="preserve">.</w:t>
      </w:r>
    </w:p>
    <w:bookmarkEnd w:id="51"/>
    <w:bookmarkStart w:id="53" w:name="ref-wickham2016"/>
    <w:p>
      <w:pPr>
        <w:pStyle w:val="Bibliography"/>
      </w:pPr>
      <w:r>
        <w:t xml:space="preserve">Wickham, H. 2016.</w:t>
      </w:r>
      <w:r>
        <w:t xml:space="preserve"> </w:t>
      </w:r>
      <w:hyperlink r:id="rId52">
        <w:r>
          <w:rPr>
            <w:rStyle w:val="Hyperlink"/>
            <w:iCs/>
            <w:i/>
          </w:rPr>
          <w:t xml:space="preserve">ggplot2: Elegant graphics for data analysis</w:t>
        </w:r>
      </w:hyperlink>
      <w:r>
        <w:t xml:space="preserve">. Springer-Verlag New York.</w:t>
      </w:r>
    </w:p>
    <w:bookmarkEnd w:id="53"/>
    <w:bookmarkStart w:id="55" w:name="ref-wickham2023b"/>
    <w:p>
      <w:pPr>
        <w:pStyle w:val="Bibliography"/>
      </w:pPr>
      <w:r>
        <w:t xml:space="preserve">Wickham, H. 2023a</w:t>
      </w:r>
      <w:r>
        <w:t xml:space="preserve"> </w:t>
      </w:r>
      <w:hyperlink r:id="rId54">
        <w:r>
          <w:rPr>
            <w:rStyle w:val="Hyperlink"/>
            <w:iCs/>
            <w:i/>
          </w:rPr>
          <w:t xml:space="preserve">Forcats: Tools for working with categorical variables (factors)</w:t>
        </w:r>
      </w:hyperlink>
      <w:r>
        <w:t xml:space="preserve">.</w:t>
      </w:r>
    </w:p>
    <w:bookmarkEnd w:id="55"/>
    <w:bookmarkStart w:id="57" w:name="ref-wickham2023c"/>
    <w:p>
      <w:pPr>
        <w:pStyle w:val="Bibliography"/>
      </w:pPr>
      <w:r>
        <w:t xml:space="preserve">Wickham, H. 2023b</w:t>
      </w:r>
      <w:r>
        <w:t xml:space="preserve"> </w:t>
      </w:r>
      <w:hyperlink r:id="rId56">
        <w:r>
          <w:rPr>
            <w:rStyle w:val="Hyperlink"/>
            <w:iCs/>
            <w:i/>
          </w:rPr>
          <w:t xml:space="preserve">Stringr: Simple, consistent wrappers for common string operations</w:t>
        </w:r>
      </w:hyperlink>
      <w:r>
        <w:t xml:space="preserve">.</w:t>
      </w:r>
    </w:p>
    <w:bookmarkEnd w:id="57"/>
    <w:bookmarkStart w:id="59" w:name="ref-wickham2023a"/>
    <w:p>
      <w:pPr>
        <w:pStyle w:val="Bibliography"/>
      </w:pPr>
      <w:r>
        <w:t xml:space="preserve">Wickham, H, François, R, Henry, L, Müller, K and Vaughan, D. 2023</w:t>
      </w:r>
      <w:r>
        <w:t xml:space="preserve"> </w:t>
      </w:r>
      <w:hyperlink r:id="rId58">
        <w:r>
          <w:rPr>
            <w:rStyle w:val="Hyperlink"/>
            <w:iCs/>
            <w:i/>
          </w:rPr>
          <w:t xml:space="preserve">Dplyr: A grammar of data manipulation</w:t>
        </w:r>
      </w:hyperlink>
      <w:r>
        <w:t xml:space="preserve">.</w:t>
      </w:r>
    </w:p>
    <w:bookmarkEnd w:id="59"/>
    <w:bookmarkStart w:id="61" w:name="ref-wickham2023"/>
    <w:p>
      <w:pPr>
        <w:pStyle w:val="Bibliography"/>
      </w:pPr>
      <w:r>
        <w:t xml:space="preserve">Wickham, H, Vaughan, D and Girlich, M. 2023</w:t>
      </w:r>
      <w:r>
        <w:t xml:space="preserve"> </w:t>
      </w:r>
      <w:hyperlink r:id="rId60">
        <w:r>
          <w:rPr>
            <w:rStyle w:val="Hyperlink"/>
            <w:iCs/>
            <w:i/>
          </w:rPr>
          <w:t xml:space="preserve">Tidyr: Tidy messy data</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_rels/footnotes.xml.rels><?xml version="1.0" encoding="UTF-8"?><Relationships xmlns="http://schemas.openxmlformats.org/package/2006/relationships"><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2024-02-28T12:47:43Z</dcterms:created>
  <dcterms:modified xsi:type="dcterms:W3CDTF">2024-02-28T12:47:43Z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graphy">
    <vt:lpwstr>references.bib</vt:lpwstr>
  </property>
  <property fmtid="{D5CDD505-2E9C-101B-9397-08002B2CF9AE}" pid="4" name="csl">
    <vt:lpwstr>journal-of-computer-applications-in-archaeology.csl</vt:lpwstr>
  </property>
  <property fmtid="{D5CDD505-2E9C-101B-9397-08002B2CF9AE}" pid="5" name="date">
    <vt:lpwstr>28 February 2024</vt:lpwstr>
  </property>
  <property fmtid="{D5CDD505-2E9C-101B-9397-08002B2CF9AE}" pid="6" name="geometry">
    <vt:lpwstr/>
  </property>
  <property fmtid="{D5CDD505-2E9C-101B-9397-08002B2CF9AE}" pid="7" name="knit">
    <vt:lpwstr>(function(inputFile, encoding) { rmarkdown::render(inputFile, encoding = encoding, output_format = “all”) })</vt:lpwstr>
  </property>
  <property fmtid="{D5CDD505-2E9C-101B-9397-08002B2CF9AE}" pid="8" name="output">
    <vt:lpwstr/>
  </property>
</Properties>
</file>