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1.png" ContentType="image/png"/>
  <Override PartName="/word/media/rId32.png" ContentType="image/png"/>
  <Override PartName="/word/media/rId28.png" ContentType="image/png"/>
  <Override PartName="/word/media/rId55.png" ContentType="image/png"/>
  <Override PartName="/word/media/rId5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01</w:t>
      </w:r>
      <w:r>
        <w:t xml:space="preserve"> </w:t>
      </w:r>
      <w:r>
        <w:t xml:space="preserve">March</w:t>
      </w:r>
      <w:r>
        <w:t xml:space="preserve"> </w:t>
      </w:r>
      <w:r>
        <w:t xml:space="preserve">2024</w:t>
      </w:r>
    </w:p>
    <w:bookmarkStart w:id="21" w:name="introduction"/>
    <w:p>
      <w:pPr>
        <w:pStyle w:val="Heading1"/>
      </w:pPr>
      <w:r>
        <w:rPr>
          <w:rStyle w:val="SectionNumber"/>
        </w:rPr>
        <w:t xml:space="preserve">1</w:t>
      </w:r>
      <w:r>
        <w:tab/>
      </w:r>
      <w:r>
        <w:t xml:space="preserve">Introduction</w:t>
      </w:r>
    </w:p>
    <w:p>
      <w:pPr>
        <w:pStyle w:val="FirstParagraph"/>
      </w:pPr>
      <w:r>
        <w:t xml:space="preserve">ABM application increased in Archaeology</w:t>
      </w:r>
    </w:p>
    <w:p>
      <w:pPr>
        <w:pStyle w:val="BodyText"/>
      </w:pPr>
      <w:r>
        <w:t xml:space="preserve">Other teaching material available SPOC</w:t>
      </w:r>
      <w:r>
        <w:t xml:space="preserve"> </w:t>
      </w:r>
      <w:r>
        <w:t xml:space="preserve">(Scherjon, Romanowska and Lambers 2019)</w:t>
      </w:r>
    </w:p>
    <w:p>
      <w:pPr>
        <w:pStyle w:val="BodyText"/>
      </w:pPr>
      <w:r>
        <w:t xml:space="preserve">New handbook</w:t>
      </w:r>
      <w:r>
        <w:t xml:space="preserve"> </w:t>
      </w:r>
      <w:r>
        <w:t xml:space="preserve">(Romanowska, Wren and Crabtree 2021)</w:t>
      </w:r>
    </w:p>
    <w:p>
      <w:pPr>
        <w:pStyle w:val="BodyText"/>
      </w:pPr>
      <w:r>
        <w:t xml:space="preserve">No formal training</w:t>
      </w:r>
    </w:p>
    <w:p>
      <w:pPr>
        <w:pStyle w:val="BodyText"/>
      </w:pPr>
      <w:r>
        <w:t xml:space="preserve">EU project</w:t>
      </w:r>
      <w:r>
        <w:t xml:space="preserve"> </w:t>
      </w:r>
      <w:hyperlink r:id="rId20">
        <w:r>
          <w:rPr>
            <w:rStyle w:val="Hyperlink"/>
          </w:rPr>
          <w:t xml:space="preserve">https://erasmus-plus.ec.europa.eu/nl/projects/search/details/2021-2-IE01-KA220-VET-000049054</w:t>
        </w:r>
      </w:hyperlink>
    </w:p>
    <w:bookmarkEnd w:id="21"/>
    <w:bookmarkStart w:id="26" w:name="method"/>
    <w:p>
      <w:pPr>
        <w:pStyle w:val="Heading1"/>
      </w:pPr>
      <w:r>
        <w:rPr>
          <w:rStyle w:val="SectionNumber"/>
        </w:rPr>
        <w:t xml:space="preserve">2</w:t>
      </w:r>
      <w:r>
        <w:tab/>
      </w:r>
      <w:r>
        <w:t xml:space="preserve">Method</w:t>
      </w:r>
    </w:p>
    <w:p>
      <w:pPr>
        <w:pStyle w:val="FirstParagraph"/>
      </w:pPr>
      <w:r>
        <w:t xml:space="preserve">During the project we have developed tutorials. The tutorials were first designed using storyboards which were later converted into tutorials using NetLOGO Web (</w:t>
      </w:r>
      <w:hyperlink r:id="rId22">
        <w:r>
          <w:rPr>
            <w:rStyle w:val="Hyperlink"/>
          </w:rPr>
          <w:t xml:space="preserve">https://www.netlogoweb.org/launch</w:t>
        </w:r>
      </w:hyperlink>
      <w:r>
        <w:t xml:space="preserve">) and Javascript (). The tutorials were developed together and we worked together using GitHub (</w:t>
      </w:r>
      <w:hyperlink r:id="rId23">
        <w:r>
          <w:rPr>
            <w:rStyle w:val="Hyperlink"/>
          </w:rPr>
          <w:t xml:space="preserve">https://github.com/lljvdk/EU-ABMA/</w:t>
        </w:r>
      </w:hyperlink>
      <w:r>
        <w:t xml:space="preserve">). During the project initial testing was done with all authors and issues in GitHub were used to tackle bugs.</w:t>
      </w:r>
    </w:p>
    <w:p>
      <w:pPr>
        <w:pStyle w:val="BodyText"/>
      </w:pPr>
      <w:r>
        <w:t xml:space="preserve">The tutorial were tested during various online and in-person conferences. The in-person conferences were attended by several people from the project team. During the online events we were always present with several people and enabled participants to go to break-out rooms if they needed any help or wanted to discuss things. In addition, we also had students working with the tutorials at Saxion University of applied sciences and Leiden University. We used the feedback of the participants to improve the tutorials. The feedback was obtained structurally using two surveys using Qualtrics. The participants of the events were asked to answer questions of a survey before participating. We used the answers to understand what the background of the participants was and to get an estimate of their level of knowledge in relation to ABM (see appendix … for the questions). After the participants worked with the tutorials during the event they were asked to answer a second survey. Questions of this survey were aimed at the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workshop during the event. After each event we have improved the tutorials based on the received feedback.</w:t>
      </w:r>
    </w:p>
    <w:p>
      <w:pPr>
        <w:pStyle w:val="TableCaption"/>
      </w:pPr>
      <w:r>
        <w:t xml:space="preserve">Conferences, events and situations were the workshops given and the tutorials were tested.</w:t>
      </w:r>
    </w:p>
    <w:tbl>
      <w:tblPr>
        <w:tblStyle w:val="Table"/>
        <w:tblW w:type="pct" w:w="5000"/>
        <w:tblLook w:firstRow="1" w:lastRow="0" w:firstColumn="0" w:lastColumn="0" w:noHBand="0" w:noVBand="0" w:val="0020"/>
        <w:jc w:val="start"/>
        <w:tblCaption w:val="Conferences, events and situations were the workshops given and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4">
        <w:r>
          <w:rPr>
            <w:rStyle w:val="Hyperlink"/>
          </w:rPr>
          <w:t xml:space="preserve">https://github.com/RonaldVisser/ABM_tutorials</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5">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with new ideas, developing educational material, testing the tutorials and developing a style for the website and other materials.</w:t>
      </w:r>
    </w:p>
    <w:bookmarkEnd w:id="26"/>
    <w:bookmarkStart w:id="68" w:name="results"/>
    <w:p>
      <w:pPr>
        <w:pStyle w:val="Heading1"/>
      </w:pPr>
      <w:r>
        <w:rPr>
          <w:rStyle w:val="SectionNumber"/>
        </w:rPr>
        <w:t xml:space="preserve">3</w:t>
      </w:r>
      <w:r>
        <w:tab/>
      </w:r>
      <w:r>
        <w:t xml:space="preserve">Results</w:t>
      </w:r>
    </w:p>
    <w:bookmarkStart w:id="27" w:name="workhops-and-tutorials"/>
    <w:p>
      <w:pPr>
        <w:pStyle w:val="Heading2"/>
      </w:pPr>
      <w:r>
        <w:rPr>
          <w:rStyle w:val="SectionNumber"/>
        </w:rPr>
        <w:t xml:space="preserve">3.1</w:t>
      </w:r>
      <w:r>
        <w:tab/>
      </w:r>
      <w:r>
        <w:t xml:space="preserve">Workhops and tutorials</w:t>
      </w:r>
    </w:p>
    <w:bookmarkEnd w:id="27"/>
    <w:bookmarkStart w:id="50" w:name="before-the-workhops"/>
    <w:p>
      <w:pPr>
        <w:pStyle w:val="Heading2"/>
      </w:pPr>
      <w:r>
        <w:rPr>
          <w:rStyle w:val="SectionNumber"/>
        </w:rPr>
        <w:t xml:space="preserve">3.2</w:t>
      </w:r>
      <w:r>
        <w:tab/>
      </w:r>
      <w:r>
        <w:t xml:space="preserve">Before the workhops</w:t>
      </w:r>
    </w:p>
    <w:p>
      <w:pPr>
        <w:pStyle w:val="FirstParagraph"/>
      </w:pPr>
      <w:r>
        <w:t xml:space="preserve">A large proportion of the participants of the workshops gave us information using the survey before the workshops (172 of 368 participants). The respondents came from many different countries all over the world (see Figure</w:t>
      </w:r>
      <w:r>
        <w:t xml:space="preserve"> </w:t>
      </w:r>
      <w:r>
        <w:t xml:space="preserve">3.1</w:t>
      </w:r>
      <w:r>
        <w:t xml:space="preserve">. The number of female respondents slightly outnumber the male ones and a small group did not share their gender and two were non-binary (see Figure</w:t>
      </w:r>
      <w:r>
        <w:t xml:space="preserve"> </w:t>
      </w:r>
      <w:r>
        <w:t xml:space="preserve">3.2</w:t>
      </w:r>
      <w:r>
        <w:t xml:space="preserve">). The ages of the respondents ranged from below 20 to over 70, reaching people in different age classes, although the majority was aged between 20 and 40. It seems that the different events also had a slightly different distribution of both gender and age. For example, more older people attended the workshop at the CAA conference in April 2023 and more male people were present during the workshop at the Reuvensdagen in November 2023.</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of the respondents for each workshop</w:t>
      </w:r>
    </w:p>
    <w:p>
      <w:pPr>
        <w:pStyle w:val="BodyText"/>
      </w:pPr>
      <w:r>
        <w:t xml:space="preserve">Most of the respondents had several skills with computer applications in archaeology (see Figure</w:t>
      </w:r>
      <w:r>
        <w:t xml:space="preserve"> </w:t>
      </w:r>
      <w:r>
        <w:t xml:space="preserve">3.3</w:t>
      </w:r>
      <w:r>
        <w:t xml:space="preserve">), and many of them did have some knowledge of ABM, although a large group was completely new to the subject. The majority had never applied ABM before participating in the workshops with 14 having applied ABM. It is interesting to note that many respondents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this or had never applied this before. The respondents were also asked how they rated the available knowledge on ABM (Figure</w:t>
      </w:r>
      <w:r>
        <w:t xml:space="preserve"> </w:t>
      </w:r>
      <w:r>
        <w:t xml:space="preserve">3.6</w:t>
      </w:r>
      <w:r>
        <w:t xml:space="preserve">). While the largest group of them had no opinion on the subject, a very large proportion of the responded answered that they rated the available theory on ABM as limited and a smaller group as sufficient. A minority rated the available theory on ABM as more than sufficient. This clearly shows the need for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65" w:name="after-tutorial"/>
    <w:p>
      <w:pPr>
        <w:pStyle w:val="Heading2"/>
      </w:pPr>
      <w:r>
        <w:rPr>
          <w:rStyle w:val="SectionNumber"/>
        </w:rPr>
        <w:t xml:space="preserve">3.3</w:t>
      </w:r>
      <w:r>
        <w:tab/>
      </w:r>
      <w:r>
        <w:t xml:space="preserve">After tutorial</w:t>
      </w:r>
    </w:p>
    <w:p>
      <w:pPr>
        <w:pStyle w:val="FirstParagraph"/>
      </w:pPr>
      <w:r>
        <w:t xml:space="preserve">A large proportion of the participants of the workshops gave us information using the survey after the workshops (171 of 368 participants), a similar proportion as those responding to the survey before the workshop.</w:t>
      </w:r>
    </w:p>
    <w:p>
      <w:pPr>
        <w:pStyle w:val="BodyText"/>
      </w:pPr>
      <w:r>
        <w:t xml:space="preserve">The respondents</w:t>
      </w:r>
    </w:p>
    <w:p>
      <w:pPr>
        <w:pStyle w:val="CaptionedFigure"/>
      </w:pPr>
      <w:r>
        <w:drawing>
          <wp:inline>
            <wp:extent cx="5334000" cy="1939636"/>
            <wp:effectExtent b="0" l="0" r="0" t="0"/>
            <wp:docPr descr="Figure 3.7: Respondents rating of the workshop in general faceted for each event." title="" id="52" name="Picture"/>
            <a:graphic>
              <a:graphicData uri="http://schemas.openxmlformats.org/drawingml/2006/picture">
                <pic:pic>
                  <pic:nvPicPr>
                    <pic:cNvPr descr="paper_files/figure-docx/rating-workshop-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rating-workshop"/>
      <w:bookmarkEnd w:id="54"/>
      <w:r>
        <w:t xml:space="preserve">Figure 3.7: Respondents rating of the workshop in general faceted for each event.</w:t>
      </w:r>
    </w:p>
    <w:p>
      <w:pPr>
        <w:pStyle w:val="BodyText"/>
      </w:pPr>
      <w:r>
        <w:t xml:space="preserve">The majority of the respondents were enthusiastic about the teaching material, with the majority rating it as excellent or good. The teachers were even rated better than the teaching material, with more respondents rating them as excellent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6" name="Picture"/>
            <a:graphic>
              <a:graphicData uri="http://schemas.openxmlformats.org/drawingml/2006/picture">
                <pic:pic>
                  <pic:nvPicPr>
                    <pic:cNvPr descr="paper_files/figure-docx/rating-teaching-1.png" id="57" name="Picture"/>
                    <pic:cNvPicPr>
                      <a:picLocks noChangeArrowheads="1" noChangeAspect="1"/>
                    </pic:cNvPicPr>
                  </pic:nvPicPr>
                  <pic:blipFill>
                    <a:blip r:embed="rId55"/>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59" name="Picture"/>
            <a:graphic>
              <a:graphicData uri="http://schemas.openxmlformats.org/drawingml/2006/picture">
                <pic:pic>
                  <pic:nvPicPr>
                    <pic:cNvPr descr="paper_files/figure-docx/rating-teaching-2.png" id="60" name="Picture"/>
                    <pic:cNvPicPr>
                      <a:picLocks noChangeArrowheads="1" noChangeAspect="1"/>
                    </pic:cNvPicPr>
                  </pic:nvPicPr>
                  <pic:blipFill>
                    <a:blip r:embed="rId58"/>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getting positive feedback and the other was aimed at getting feedback to improve the tutorials.</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by us, most participants were working in the own pace and did not need much help. From a didactic point of view, the self-paced going through the tutorials is very efficient for teachers.</w:t>
      </w:r>
    </w:p>
    <w:p>
      <w:pPr>
        <w:pStyle w:val="BodyText"/>
      </w:pPr>
      <w:r>
        <w:t xml:space="preserve">We also received feedback on possible improvements. For the first workshops we mostly received feedback on the number of bugs. During the CAA-conference in Amsterdam we did the first test of the tutorials and we also instructed the participants that this was work in progress. The number of references to bugs reduced to zero by the end and people started providing other feedback, for example the wish to see more examples or expanding the tutorials more. Some wanted more cooperation, which is possible, but for some online events harder, although we provided break-out rooms. It is also interesting to note that more and more people did not see any room for improvement.</w:t>
      </w:r>
    </w:p>
    <w:p>
      <w:pPr>
        <w:pStyle w:val="BodyText"/>
      </w:pPr>
      <w:r>
        <w:t xml:space="preserve">The majority of the respondents that wanted to apply ABM in the future for research (144 of the 164 that answered this question, see Figure</w:t>
      </w:r>
      <w:r>
        <w:t xml:space="preserve"> </w:t>
      </w:r>
      <w:r>
        <w:t xml:space="preserve">3.10</w:t>
      </w:r>
      <w:r>
        <w:t xml:space="preserve">). Some of the respondents were already using ABM. A large group was not sure yet in how to apply ABM and wanted to read more on the subject or play a bit with the possibilities. Many respondents also shared the context in which they were thinking to apply ABM to. Various were thinking about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by some, and often in relation to GIS or how to replace GIS with ABM.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2" name="Picture"/>
            <a:graphic>
              <a:graphicData uri="http://schemas.openxmlformats.org/drawingml/2006/picture">
                <pic:pic>
                  <pic:nvPicPr>
                    <pic:cNvPr descr="paper_files/figure-docx/future-abm-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4" w:name="fig:future-abm"/>
      <w:bookmarkEnd w:id="64"/>
      <w:r>
        <w:t xml:space="preserve">Figure 3.10: The respondents reaction to the question if they thing that they will apply ABM in the future.</w:t>
      </w:r>
    </w:p>
    <w:bookmarkEnd w:id="65"/>
    <w:bookmarkStart w:id="66" w:name="final-tutorials"/>
    <w:p>
      <w:pPr>
        <w:pStyle w:val="Heading2"/>
      </w:pPr>
      <w:r>
        <w:rPr>
          <w:rStyle w:val="SectionNumber"/>
        </w:rPr>
        <w:t xml:space="preserve">3.4</w:t>
      </w:r>
      <w:r>
        <w:tab/>
      </w:r>
      <w:r>
        <w:t xml:space="preserve">Final tutorials</w:t>
      </w:r>
    </w:p>
    <w:bookmarkEnd w:id="66"/>
    <w:bookmarkStart w:id="67" w:name="dissemination-of-tutorials"/>
    <w:p>
      <w:pPr>
        <w:pStyle w:val="Heading2"/>
      </w:pPr>
      <w:r>
        <w:rPr>
          <w:rStyle w:val="SectionNumber"/>
        </w:rPr>
        <w:t xml:space="preserve">3.5</w:t>
      </w:r>
      <w:r>
        <w:tab/>
      </w:r>
      <w:r>
        <w:t xml:space="preserve">Dissemination of tutorials</w:t>
      </w:r>
    </w:p>
    <w:p>
      <w:pPr>
        <w:pStyle w:val="FirstParagraph"/>
      </w:pPr>
      <w:r>
        <w:t xml:space="preserve">Website</w:t>
      </w:r>
    </w:p>
    <w:p>
      <w:pPr>
        <w:pStyle w:val="BodyText"/>
      </w:pPr>
      <w:r>
        <w:t xml:space="preserve">Github</w:t>
      </w:r>
    </w:p>
    <w:bookmarkEnd w:id="67"/>
    <w:bookmarkEnd w:id="68"/>
    <w:bookmarkStart w:id="69" w:name="conclusion"/>
    <w:p>
      <w:pPr>
        <w:pStyle w:val="Heading1"/>
      </w:pPr>
      <w:r>
        <w:rPr>
          <w:rStyle w:val="SectionNumber"/>
        </w:rPr>
        <w:t xml:space="preserve">4</w:t>
      </w:r>
      <w:r>
        <w:tab/>
      </w:r>
      <w:r>
        <w:t xml:space="preserve">Conclusion</w:t>
      </w:r>
    </w:p>
    <w:p>
      <w:pPr>
        <w:pStyle w:val="FirstParagraph"/>
      </w:pPr>
      <w:r>
        <w:t xml:space="preserve">Lessons learned</w:t>
      </w:r>
    </w:p>
    <w:p>
      <w:pPr>
        <w:pStyle w:val="BodyText"/>
      </w:pPr>
      <w:r>
        <w:t xml:space="preserve">Future aspects</w:t>
      </w:r>
    </w:p>
    <w:bookmarkEnd w:id="69"/>
    <w:bookmarkStart w:id="70" w:name="acknowledgements"/>
    <w:p>
      <w:pPr>
        <w:pStyle w:val="Heading1"/>
      </w:pPr>
      <w:r>
        <w:rPr>
          <w:rStyle w:val="SectionNumber"/>
        </w:rPr>
        <w:t xml:space="preserve">5</w:t>
      </w:r>
      <w:r>
        <w:tab/>
      </w:r>
      <w:r>
        <w:t xml:space="preserve">Acknowledgements</w:t>
      </w:r>
    </w:p>
    <w:p>
      <w:pPr>
        <w:pStyle w:val="FirstParagraph"/>
      </w:pPr>
      <w:r>
        <w:t xml:space="preserve">We would like to thank the student groups at Saxion University of Applied Sciences that worked with us:</w:t>
      </w:r>
    </w:p>
    <w:p>
      <w:pPr>
        <w:numPr>
          <w:ilvl w:val="0"/>
          <w:numId w:val="1001"/>
        </w:numPr>
      </w:pPr>
      <w:r>
        <w:t xml:space="preserve">September 2022-February 2023: Dany Dragoi, Liam van den Bosch, Marko Stojkovic, Max van Duinen, Nora van den Engel, Roan Man, Stefan Oostingh and their tutor: Mark Spanjer.</w:t>
      </w:r>
    </w:p>
    <w:p>
      <w:pPr>
        <w:numPr>
          <w:ilvl w:val="0"/>
          <w:numId w:val="1001"/>
        </w:numPr>
      </w:pPr>
      <w:r>
        <w:t xml:space="preserve">February 2022-July 2023: Alice Overgaauw, Johan Broersma, Mandy Hazenberg, Paulina Fulneczek, Ties Heesink and their tutor: Jan Willem Huson.</w:t>
      </w:r>
    </w:p>
    <w:p>
      <w:pPr>
        <w:numPr>
          <w:ilvl w:val="0"/>
          <w:numId w:val="1001"/>
        </w:numPr>
      </w:pPr>
      <w:r>
        <w:t xml:space="preserve">September 2023-February 2024: Arnfinn Sijbrant, Eva Baan, Jip Mulder, Robert Aalpoel, Sem Lucas, Sterre Regts and their tutor: Jan Willem Huson.</w:t>
      </w:r>
    </w:p>
    <w:p>
      <w:pPr>
        <w:pStyle w:val="FirstParagraph"/>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bookmarkEnd w:id="70"/>
    <w:bookmarkStart w:id="90" w:name="references"/>
    <w:p>
      <w:pPr>
        <w:pStyle w:val="Heading1"/>
      </w:pPr>
      <w:r>
        <w:t xml:space="preserve">References</w:t>
      </w:r>
    </w:p>
    <w:bookmarkStart w:id="89" w:name="refs"/>
    <w:bookmarkStart w:id="72" w:name="ref-grolemund2011"/>
    <w:p>
      <w:pPr>
        <w:pStyle w:val="Bibliography"/>
      </w:pPr>
      <w:r>
        <w:t xml:space="preserve">Grolemund, G and Wickham, H. 2011</w:t>
      </w:r>
      <w:r>
        <w:t xml:space="preserve"> </w:t>
      </w:r>
      <w:hyperlink r:id="rId71">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72"/>
    <w:bookmarkStart w:id="74" w:name="ref-rcoreteam2023"/>
    <w:p>
      <w:pPr>
        <w:pStyle w:val="Bibliography"/>
      </w:pPr>
      <w:r>
        <w:t xml:space="preserve">R Core Team. 2023</w:t>
      </w:r>
      <w:r>
        <w:t xml:space="preserve"> </w:t>
      </w:r>
      <w:hyperlink r:id="rId73">
        <w:r>
          <w:rPr>
            <w:rStyle w:val="Hyperlink"/>
            <w:iCs/>
            <w:i/>
          </w:rPr>
          <w:t xml:space="preserve">R: A language and environment for statistical computing</w:t>
        </w:r>
      </w:hyperlink>
      <w:r>
        <w:t xml:space="preserve">.</w:t>
      </w:r>
    </w:p>
    <w:bookmarkEnd w:id="74"/>
    <w:bookmarkStart w:id="76" w:name="ref-romanowska2021"/>
    <w:p>
      <w:pPr>
        <w:pStyle w:val="Bibliography"/>
      </w:pPr>
      <w:r>
        <w:t xml:space="preserve">Romanowska, I, Wren, CD and Crabtree, SA. 2021.</w:t>
      </w:r>
      <w:r>
        <w:t xml:space="preserve"> </w:t>
      </w:r>
      <w:hyperlink r:id="rId75">
        <w:r>
          <w:rPr>
            <w:rStyle w:val="Hyperlink"/>
            <w:iCs/>
            <w:i/>
          </w:rPr>
          <w:t xml:space="preserve">Agent-based modeling for archaeology: Simulating the complexity of societies</w:t>
        </w:r>
      </w:hyperlink>
      <w:r>
        <w:t xml:space="preserve">. Santa Fe: Santa Fe Institute Press.</w:t>
      </w:r>
    </w:p>
    <w:bookmarkEnd w:id="76"/>
    <w:bookmarkStart w:id="78"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77">
        <w:r>
          <w:rPr>
            <w:rStyle w:val="Hyperlink"/>
          </w:rPr>
          <w:t xml:space="preserve">10.5334/jcaa.26</w:t>
        </w:r>
      </w:hyperlink>
      <w:r>
        <w:t xml:space="preserve">.</w:t>
      </w:r>
    </w:p>
    <w:bookmarkEnd w:id="78"/>
    <w:bookmarkStart w:id="80" w:name="ref-wickham2016"/>
    <w:p>
      <w:pPr>
        <w:pStyle w:val="Bibliography"/>
      </w:pPr>
      <w:r>
        <w:t xml:space="preserve">Wickham, H. 2016.</w:t>
      </w:r>
      <w:r>
        <w:t xml:space="preserve"> </w:t>
      </w:r>
      <w:hyperlink r:id="rId79">
        <w:r>
          <w:rPr>
            <w:rStyle w:val="Hyperlink"/>
            <w:iCs/>
            <w:i/>
          </w:rPr>
          <w:t xml:space="preserve">ggplot2: Elegant graphics for data analysis</w:t>
        </w:r>
      </w:hyperlink>
      <w:r>
        <w:t xml:space="preserve">. Springer-Verlag New York.</w:t>
      </w:r>
    </w:p>
    <w:bookmarkEnd w:id="80"/>
    <w:bookmarkStart w:id="82" w:name="ref-wickham2023b"/>
    <w:p>
      <w:pPr>
        <w:pStyle w:val="Bibliography"/>
      </w:pPr>
      <w:r>
        <w:t xml:space="preserve">Wickham, H. 2023a</w:t>
      </w:r>
      <w:r>
        <w:t xml:space="preserve"> </w:t>
      </w:r>
      <w:hyperlink r:id="rId81">
        <w:r>
          <w:rPr>
            <w:rStyle w:val="Hyperlink"/>
            <w:iCs/>
            <w:i/>
          </w:rPr>
          <w:t xml:space="preserve">Forcats: Tools for working with categorical variables (factors)</w:t>
        </w:r>
      </w:hyperlink>
      <w:r>
        <w:t xml:space="preserve">.</w:t>
      </w:r>
    </w:p>
    <w:bookmarkEnd w:id="82"/>
    <w:bookmarkStart w:id="84" w:name="ref-wickham2023c"/>
    <w:p>
      <w:pPr>
        <w:pStyle w:val="Bibliography"/>
      </w:pPr>
      <w:r>
        <w:t xml:space="preserve">Wickham, H. 2023b</w:t>
      </w:r>
      <w:r>
        <w:t xml:space="preserve"> </w:t>
      </w:r>
      <w:hyperlink r:id="rId83">
        <w:r>
          <w:rPr>
            <w:rStyle w:val="Hyperlink"/>
            <w:iCs/>
            <w:i/>
          </w:rPr>
          <w:t xml:space="preserve">Stringr: Simple, consistent wrappers for common string operations</w:t>
        </w:r>
      </w:hyperlink>
      <w:r>
        <w:t xml:space="preserve">.</w:t>
      </w:r>
    </w:p>
    <w:bookmarkEnd w:id="84"/>
    <w:bookmarkStart w:id="86" w:name="ref-wickham2023a"/>
    <w:p>
      <w:pPr>
        <w:pStyle w:val="Bibliography"/>
      </w:pPr>
      <w:r>
        <w:t xml:space="preserve">Wickham, H, François, R, Henry, L, Müller, K and Vaughan, D. 2023</w:t>
      </w:r>
      <w:r>
        <w:t xml:space="preserve"> </w:t>
      </w:r>
      <w:hyperlink r:id="rId85">
        <w:r>
          <w:rPr>
            <w:rStyle w:val="Hyperlink"/>
            <w:iCs/>
            <w:i/>
          </w:rPr>
          <w:t xml:space="preserve">Dplyr: A grammar of data manipulation</w:t>
        </w:r>
      </w:hyperlink>
      <w:r>
        <w:t xml:space="preserve">.</w:t>
      </w:r>
    </w:p>
    <w:bookmarkEnd w:id="86"/>
    <w:bookmarkStart w:id="88" w:name="ref-wickham2023"/>
    <w:p>
      <w:pPr>
        <w:pStyle w:val="Bibliography"/>
      </w:pPr>
      <w:r>
        <w:t xml:space="preserve">Wickham, H, Vaughan, D and Girlich, M. 2023</w:t>
      </w:r>
      <w:r>
        <w:t xml:space="preserve"> </w:t>
      </w:r>
      <w:hyperlink r:id="rId87">
        <w:r>
          <w:rPr>
            <w:rStyle w:val="Hyperlink"/>
            <w:iCs/>
            <w:i/>
          </w:rPr>
          <w:t xml:space="preserve">Tidyr: Tidy messy data</w:t>
        </w:r>
      </w:hyperlink>
      <w:r>
        <w:t xml:space="preserve">.</w:t>
      </w: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51" Target="media/rId51.png" /><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79" Target="http://ggplot2.org" TargetMode="External" /><Relationship Type="http://schemas.openxmlformats.org/officeDocument/2006/relationships/hyperlink" Id="rId77" Target="https://doi.org/10.5334/jcaa.26" TargetMode="External" /><Relationship Type="http://schemas.openxmlformats.org/officeDocument/2006/relationships/hyperlink" Id="rId85" Target="https://dplyr.tidyverse.org" TargetMode="External" /><Relationship Type="http://schemas.openxmlformats.org/officeDocument/2006/relationships/hyperlink" Id="rId20" Target="https://erasmus-plus.ec.europa.eu/nl/projects/search/details/2021-2-IE01-KA220-VET-000049054" TargetMode="External" /><Relationship Type="http://schemas.openxmlformats.org/officeDocument/2006/relationships/hyperlink" Id="rId81" Target="https://forcats.tidyverse.org/" TargetMode="External" /><Relationship Type="http://schemas.openxmlformats.org/officeDocument/2006/relationships/hyperlink" Id="rId24" Target="https://github.com/RonaldVisser/ABM_tutorials" TargetMode="External" /><Relationship Type="http://schemas.openxmlformats.org/officeDocument/2006/relationships/hyperlink" Id="rId23" Target="https://github.com/lljvdk/EU-ABMA/" TargetMode="External" /><Relationship Type="http://schemas.openxmlformats.org/officeDocument/2006/relationships/hyperlink" Id="rId83" Target="https://stringr.tidyverse.org" TargetMode="External" /><Relationship Type="http://schemas.openxmlformats.org/officeDocument/2006/relationships/hyperlink" Id="rId87" Target="https://tidyr.tidyverse.org" TargetMode="External" /><Relationship Type="http://schemas.openxmlformats.org/officeDocument/2006/relationships/hyperlink" Id="rId73" Target="https://www.R-project.org/" TargetMode="External" /><Relationship Type="http://schemas.openxmlformats.org/officeDocument/2006/relationships/hyperlink" Id="rId71" Target="https://www.jstatsoft.org/v40/i03/" TargetMode="External" /><Relationship Type="http://schemas.openxmlformats.org/officeDocument/2006/relationships/hyperlink" Id="rId22" Target="https://www.netlogoweb.org/launch" TargetMode="External" /><Relationship Type="http://schemas.openxmlformats.org/officeDocument/2006/relationships/hyperlink" Id="rId25" Target="https://www.saxion.edu/business-and-research/collaborate-with-saxion/smart-solutions" TargetMode="External" /><Relationship Type="http://schemas.openxmlformats.org/officeDocument/2006/relationships/hyperlink" Id="rId75"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2024-03-01T09:26:40Z</dcterms:created>
  <dcterms:modified xsi:type="dcterms:W3CDTF">2024-03-01T09:26:40Z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01 March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