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March</w:t>
      </w:r>
      <w:r>
        <w:t xml:space="preserve"> </w:t>
      </w:r>
      <w:r>
        <w:t xml:space="preserve">20,</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https://github.com/ABMArchaeologists/ABMA_tutorials</w:t>
        </w:r>
      </w:hyperlink>
      <w:r>
        <w:t xml:space="preserve">). During the project initial testing was done with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and preferably after at least the first year of a Bachelor study in Archaeology (preferably above EQF levels 4 or 5). In addition, the tutorials are aimed at professionals working in archaeology and some experience with computer.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The tutorials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from two surveys using Qualtrics. The participants of the events were asked to answer questions of the first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75"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set of developed tutorials consists of the following tutorials:</w:t>
      </w:r>
    </w:p>
    <w:p>
      <w:pPr>
        <w:numPr>
          <w:ilvl w:val="0"/>
          <w:numId w:val="1001"/>
        </w:numPr>
      </w:pPr>
      <w:r>
        <w:t xml:space="preserve">Tutorial 1: Introduction to ABM</w:t>
      </w:r>
    </w:p>
    <w:p>
      <w:pPr>
        <w:numPr>
          <w:ilvl w:val="0"/>
          <w:numId w:val="1001"/>
        </w:numPr>
      </w:pPr>
      <w:r>
        <w:t xml:space="preserve">Tutorial 2: Beginning with NetLogo</w:t>
      </w:r>
    </w:p>
    <w:p>
      <w:pPr>
        <w:numPr>
          <w:ilvl w:val="0"/>
          <w:numId w:val="1001"/>
        </w:numPr>
      </w:pPr>
      <w:r>
        <w:t xml:space="preserve">Tutorial 3: Expanded ABM skills</w:t>
      </w:r>
    </w:p>
    <w:p>
      <w:pPr>
        <w:numPr>
          <w:ilvl w:val="0"/>
          <w:numId w:val="1001"/>
        </w:numPr>
      </w:pPr>
      <w:r>
        <w:t xml:space="preserve">Tutorial 4: Intermediate ABM</w:t>
      </w:r>
    </w:p>
    <w:p>
      <w:pPr>
        <w:numPr>
          <w:ilvl w:val="0"/>
          <w:numId w:val="1001"/>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learner will learn what simulations and agent-based models are and how they can help in archaeological research. This tutorial consists of 4 lessons. The first two lesson introduce the learner into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 upon.</w:t>
      </w:r>
    </w:p>
    <w:p>
      <w:pPr>
        <w:pStyle w:val="BodyText"/>
      </w:pPr>
      <w:r>
        <w:t xml:space="preserve">In tutorial 2 the learner will learn the basics of NetLogo by making your first simulation on the Out of Africal dispersal of homo sapiens. The leaerner will work with basic NetLogo syntax and learn how to set up a simulation and visualize their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your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learning ways to visualize the environment and how to give more agency to patches. Creating toy landscapes are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is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analyses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w:t>
      </w:r>
    </w:p>
    <w:bookmarkEnd w:id="52"/>
    <w:bookmarkStart w:id="67" w:name="after-workshop"/>
    <w:p>
      <w:pPr>
        <w:pStyle w:val="Heading2"/>
      </w:pPr>
      <w:r>
        <w:rPr>
          <w:rStyle w:val="SectionNumber"/>
        </w:rPr>
        <w:t xml:space="preserve">3.5</w:t>
      </w:r>
      <w:r>
        <w:tab/>
      </w:r>
      <w:r>
        <w:t xml:space="preserve">After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The tutorials are aimed at developing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communications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forces the user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4"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2">
        <w:r>
          <w:rPr>
            <w:rStyle w:val="Hyperlink"/>
          </w:rPr>
          <w:t xml:space="preserve">https://github.com/ABMArchaeologists/ABMA_tutorials/</w:t>
        </w:r>
      </w:hyperlink>
      <w:r>
        <w:t xml:space="preserve">). Anyone interested can download the tutorials and their source code. To increase the accessibility and visibility of the tutorials, a website has been launced (</w:t>
      </w:r>
      <w:hyperlink r:id="rId73">
        <w:r>
          <w:rPr>
            <w:rStyle w:val="Hyperlink"/>
          </w:rPr>
          <w:t xml:space="preserve">https://ABMArchaeologists.github.io/ABMA_Website</w:t>
        </w:r>
      </w:hyperlink>
      <w:r>
        <w:t xml:space="preserve">). On this website, the tutorials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one of the student groups from Saxion University of Applied Sciences, see the acknowledgements.</w:t>
      </w:r>
    </w:p>
    <w:bookmarkEnd w:id="74"/>
    <w:bookmarkEnd w:id="75"/>
    <w:bookmarkStart w:id="76"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76"/>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funded as an Erasmus+ project (</w:t>
      </w:r>
      <w:hyperlink r:id="rId20">
        <w:r>
          <w:rPr>
            <w:rStyle w:val="Hyperlink"/>
          </w:rPr>
          <w:t xml:space="preserve">https://erasmus-plus.ec.europa.eu/nl/projects/search/details/2021-2-IE01-KA220-VET-000049054</w:t>
        </w:r>
      </w:hyperlink>
      <w:r>
        <w:t xml:space="preserve">) and we thank the Erasmus+ program for enabling us to make these tutorials.</w:t>
      </w:r>
    </w:p>
    <w:p>
      <w:pPr>
        <w:pStyle w:val="BodyText"/>
      </w:pPr>
      <w:r>
        <w:t xml:space="preserve">We would like to thank the student groups at Saxion University of Applied Sciences that worked with us:</w:t>
      </w:r>
    </w:p>
    <w:p>
      <w:pPr>
        <w:numPr>
          <w:ilvl w:val="0"/>
          <w:numId w:val="1002"/>
        </w:numPr>
      </w:pPr>
      <w:r>
        <w:t xml:space="preserve">September 2022-February 2023: Dany Dragoi, Liam van den Bosch, Marko Stojkovic, Max van Duinen, Nora van den Engel, Roan Man, Stefan Oostingh and their tutor: Mark Spanjer.</w:t>
      </w:r>
    </w:p>
    <w:p>
      <w:pPr>
        <w:numPr>
          <w:ilvl w:val="0"/>
          <w:numId w:val="1002"/>
        </w:numPr>
      </w:pPr>
      <w:r>
        <w:t xml:space="preserve">February 2022-July 2023: Alice Overgaauw, Johan Broersma, Mandy Hazenberg, Paulina Fulneczek, Ties Heesink and their tutor: Jan Willem Huson.</w:t>
      </w:r>
    </w:p>
    <w:p>
      <w:pPr>
        <w:numPr>
          <w:ilvl w:val="0"/>
          <w:numId w:val="1002"/>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for the publication: The Carlsberg Foundation’s</w:t>
      </w:r>
      <w:r>
        <w:t xml:space="preserve"> </w:t>
      </w:r>
      <w:r>
        <w:rPr>
          <w:iCs/>
          <w:i/>
        </w:rPr>
        <w:t xml:space="preserve">Young Researcher Fellowship</w:t>
      </w:r>
      <w:r>
        <w:t xml:space="preserve"> </w:t>
      </w:r>
      <w:r>
        <w:t xml:space="preserve">(CF21-0382).</w:t>
      </w:r>
    </w:p>
    <w:bookmarkEnd w:id="77"/>
    <w:bookmarkStart w:id="101" w:name="references"/>
    <w:p>
      <w:pPr>
        <w:pStyle w:val="Heading1"/>
      </w:pPr>
      <w:r>
        <w:t xml:space="preserve">References</w:t>
      </w:r>
    </w:p>
    <w:bookmarkStart w:id="100"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1" w:name="X32e7d84f798fecaddc8b57b85323e29cd5798d5"/>
    <w:p>
      <w:pPr>
        <w:pStyle w:val="Bibliography"/>
      </w:pPr>
      <w:r>
        <w:t xml:space="preserve">European Commission, Joint Research Centre, Vuorikari, R, Kluzer, S and Punie, Y. 2022.</w:t>
      </w:r>
      <w:r>
        <w:t xml:space="preserve"> </w:t>
      </w:r>
      <w:hyperlink r:id="rId80">
        <w:r>
          <w:rPr>
            <w:rStyle w:val="Hyperlink"/>
            <w:iCs/>
            <w:i/>
          </w:rPr>
          <w:t xml:space="preserve">DigComp 2.2: The Digital Competence Framework for Citizens - With new examples of knowledge, skills and attitudes</w:t>
        </w:r>
      </w:hyperlink>
      <w:r>
        <w:t xml:space="preserve">.</w:t>
      </w:r>
    </w:p>
    <w:bookmarkEnd w:id="81"/>
    <w:bookmarkStart w:id="83" w:name="ref-grolemund2011"/>
    <w:p>
      <w:pPr>
        <w:pStyle w:val="Bibliography"/>
      </w:pPr>
      <w:r>
        <w:t xml:space="preserve">Grolemund, G and Wickham, H. 2011</w:t>
      </w:r>
      <w:r>
        <w:t xml:space="preserve"> </w:t>
      </w:r>
      <w:hyperlink r:id="rId82">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3"/>
    <w:bookmarkStart w:id="85" w:name="ref-rcoreteam2023"/>
    <w:p>
      <w:pPr>
        <w:pStyle w:val="Bibliography"/>
      </w:pPr>
      <w:r>
        <w:t xml:space="preserve">R Core Team. 2023</w:t>
      </w:r>
      <w:r>
        <w:t xml:space="preserve"> </w:t>
      </w:r>
      <w:hyperlink r:id="rId84">
        <w:r>
          <w:rPr>
            <w:rStyle w:val="Hyperlink"/>
            <w:iCs/>
            <w:i/>
          </w:rPr>
          <w:t xml:space="preserve">R: A language and environment for statistical computing</w:t>
        </w:r>
      </w:hyperlink>
      <w:r>
        <w:t xml:space="preserve">.</w:t>
      </w:r>
    </w:p>
    <w:bookmarkEnd w:id="85"/>
    <w:bookmarkStart w:id="87" w:name="ref-romanowska2021"/>
    <w:p>
      <w:pPr>
        <w:pStyle w:val="Bibliography"/>
      </w:pPr>
      <w:r>
        <w:t xml:space="preserve">Romanowska, I, Wren, CD and Crabtree, SA. 2021.</w:t>
      </w:r>
      <w:r>
        <w:t xml:space="preserve"> </w:t>
      </w:r>
      <w:hyperlink r:id="rId86">
        <w:r>
          <w:rPr>
            <w:rStyle w:val="Hyperlink"/>
            <w:iCs/>
            <w:i/>
          </w:rPr>
          <w:t xml:space="preserve">Agent-based modeling for archaeology: Simulating the complexity of societies</w:t>
        </w:r>
      </w:hyperlink>
      <w:r>
        <w:t xml:space="preserve">. Santa Fe: Santa Fe Institute Press.</w:t>
      </w:r>
    </w:p>
    <w:bookmarkEnd w:id="87"/>
    <w:bookmarkStart w:id="89"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88">
        <w:r>
          <w:rPr>
            <w:rStyle w:val="Hyperlink"/>
          </w:rPr>
          <w:t xml:space="preserve">10.5334/jcaa.26</w:t>
        </w:r>
      </w:hyperlink>
      <w:r>
        <w:t xml:space="preserve">.</w:t>
      </w:r>
    </w:p>
    <w:bookmarkEnd w:id="89"/>
    <w:bookmarkStart w:id="91" w:name="ref-wickham2016"/>
    <w:p>
      <w:pPr>
        <w:pStyle w:val="Bibliography"/>
      </w:pPr>
      <w:r>
        <w:t xml:space="preserve">Wickham, H. 2016.</w:t>
      </w:r>
      <w:r>
        <w:t xml:space="preserve"> </w:t>
      </w:r>
      <w:hyperlink r:id="rId90">
        <w:r>
          <w:rPr>
            <w:rStyle w:val="Hyperlink"/>
            <w:iCs/>
            <w:i/>
          </w:rPr>
          <w:t xml:space="preserve">ggplot2: Elegant graphics for data analysis</w:t>
        </w:r>
      </w:hyperlink>
      <w:r>
        <w:t xml:space="preserve">. Springer-Verlag New York.</w:t>
      </w:r>
    </w:p>
    <w:bookmarkEnd w:id="91"/>
    <w:bookmarkStart w:id="93" w:name="ref-wickham2023b"/>
    <w:p>
      <w:pPr>
        <w:pStyle w:val="Bibliography"/>
      </w:pPr>
      <w:r>
        <w:t xml:space="preserve">Wickham, H. 2023a</w:t>
      </w:r>
      <w:r>
        <w:t xml:space="preserve"> </w:t>
      </w:r>
      <w:hyperlink r:id="rId92">
        <w:r>
          <w:rPr>
            <w:rStyle w:val="Hyperlink"/>
            <w:iCs/>
            <w:i/>
          </w:rPr>
          <w:t xml:space="preserve">Forcats: Tools for working with categorical variables (factors)</w:t>
        </w:r>
      </w:hyperlink>
      <w:r>
        <w:t xml:space="preserve">.</w:t>
      </w:r>
    </w:p>
    <w:bookmarkEnd w:id="93"/>
    <w:bookmarkStart w:id="95" w:name="ref-wickham2023c"/>
    <w:p>
      <w:pPr>
        <w:pStyle w:val="Bibliography"/>
      </w:pPr>
      <w:r>
        <w:t xml:space="preserve">Wickham, H. 2023b</w:t>
      </w:r>
      <w:r>
        <w:t xml:space="preserve"> </w:t>
      </w:r>
      <w:hyperlink r:id="rId94">
        <w:r>
          <w:rPr>
            <w:rStyle w:val="Hyperlink"/>
            <w:iCs/>
            <w:i/>
          </w:rPr>
          <w:t xml:space="preserve">Stringr: Simple, consistent wrappers for common string operations</w:t>
        </w:r>
      </w:hyperlink>
      <w:r>
        <w:t xml:space="preserve">.</w:t>
      </w:r>
    </w:p>
    <w:bookmarkEnd w:id="95"/>
    <w:bookmarkStart w:id="97" w:name="ref-wickham2023a"/>
    <w:p>
      <w:pPr>
        <w:pStyle w:val="Bibliography"/>
      </w:pPr>
      <w:r>
        <w:t xml:space="preserve">Wickham, H, François, R, Henry, L, Müller, K and Vaughan, D. 2023</w:t>
      </w:r>
      <w:r>
        <w:t xml:space="preserve"> </w:t>
      </w:r>
      <w:hyperlink r:id="rId96">
        <w:r>
          <w:rPr>
            <w:rStyle w:val="Hyperlink"/>
            <w:iCs/>
            <w:i/>
          </w:rPr>
          <w:t xml:space="preserve">Dplyr: A grammar of data manipulation</w:t>
        </w:r>
      </w:hyperlink>
      <w:r>
        <w:t xml:space="preserve">.</w:t>
      </w:r>
    </w:p>
    <w:bookmarkEnd w:id="97"/>
    <w:bookmarkStart w:id="99" w:name="ref-wickham2023"/>
    <w:p>
      <w:pPr>
        <w:pStyle w:val="Bibliography"/>
      </w:pPr>
      <w:r>
        <w:t xml:space="preserve">Wickham, H, Vaughan, D and Girlich, M. 2023</w:t>
      </w:r>
      <w:r>
        <w:t xml:space="preserve"> </w:t>
      </w:r>
      <w:hyperlink r:id="rId98">
        <w:r>
          <w:rPr>
            <w:rStyle w:val="Hyperlink"/>
            <w:iCs/>
            <w:i/>
          </w:rPr>
          <w:t xml:space="preserve">Tidyr: Tidy messy data</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0"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0" Target="https://data.europa.eu/doi/10.2760/115376" TargetMode="External" /><Relationship Type="http://schemas.openxmlformats.org/officeDocument/2006/relationships/hyperlink" Id="rId88" Target="https://doi.org/10.5334/jcaa.26" TargetMode="External" /><Relationship Type="http://schemas.openxmlformats.org/officeDocument/2006/relationships/hyperlink" Id="rId96"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2"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4" Target="https://stringr.tidyverse.org" TargetMode="External" /><Relationship Type="http://schemas.openxmlformats.org/officeDocument/2006/relationships/hyperlink" Id="rId98" Target="https://tidyr.tidyverse.org" TargetMode="External" /><Relationship Type="http://schemas.openxmlformats.org/officeDocument/2006/relationships/hyperlink" Id="rId84" Target="https://www.R-project.org/" TargetMode="External" /><Relationship Type="http://schemas.openxmlformats.org/officeDocument/2006/relationships/hyperlink" Id="rId82"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6"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0"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0" Target="https://data.europa.eu/doi/10.2760/115376" TargetMode="External" /><Relationship Type="http://schemas.openxmlformats.org/officeDocument/2006/relationships/hyperlink" Id="rId88" Target="https://doi.org/10.5334/jcaa.26" TargetMode="External" /><Relationship Type="http://schemas.openxmlformats.org/officeDocument/2006/relationships/hyperlink" Id="rId96"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2"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4" Target="https://stringr.tidyverse.org" TargetMode="External" /><Relationship Type="http://schemas.openxmlformats.org/officeDocument/2006/relationships/hyperlink" Id="rId98" Target="https://tidyr.tidyverse.org" TargetMode="External" /><Relationship Type="http://schemas.openxmlformats.org/officeDocument/2006/relationships/hyperlink" Id="rId84" Target="https://www.R-project.org/" TargetMode="External" /><Relationship Type="http://schemas.openxmlformats.org/officeDocument/2006/relationships/hyperlink" Id="rId82"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6"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2024-03-20T12:48:51Z</dcterms:created>
  <dcterms:modified xsi:type="dcterms:W3CDTF">2024-03-20T12:48:51Z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March 20,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