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7.png" ContentType="image/png"/>
  <Override PartName="/word/media/rId63.png" ContentType="image/png"/>
  <Override PartName="/word/media/rId33.png" ContentType="image/png"/>
  <Override PartName="/word/media/rId29.png" ContentType="image/png"/>
  <Override PartName="/word/media/rId57.png" ContentType="image/png"/>
  <Override PartName="/word/media/rId6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April</w:t>
      </w:r>
      <w:r>
        <w:t xml:space="preserve"> </w:t>
      </w:r>
      <w:r>
        <w:t xml:space="preserve">18,</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While Agent-Based Modelling is a predictive tool that is in high demand from archaeologists, there are significant sectoral problems with access to vocational training for this skill.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and overcome this training deficiency through the development and delivery of a project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t>
      </w:r>
      <w:hyperlink r:id="rId20">
        <w:r>
          <w:rPr>
            <w:rStyle w:val="Hyperlink"/>
          </w:rPr>
          <w:t xml:space="preserve">https://erasmus-plus.ec.europa.eu/nl/projects/search/details/2021-2-IE01-KA220-VET-000049054</w:t>
        </w:r>
      </w:hyperlink>
      <w:r>
        <w:t xml:space="preserve">),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These are hands-on practical exercises, taking learners through the process of creating the digital models, and modular so they can be independent or incorporated into other teaching tools like learning management systems. They are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the creation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increased level of digital competence, specifically in advanced computer modelling skills that are highly transferable to other industries (computer programming and simulation development);</w:t>
      </w:r>
    </w:p>
    <w:p>
      <w:pPr>
        <w:numPr>
          <w:ilvl w:val="0"/>
          <w:numId w:val="1002"/>
        </w:numPr>
      </w:pPr>
      <w:r>
        <w:t xml:space="preserve">improved transnational mobility through matching of the skills being delivered with European and Sectoral Frameworks,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education and training in the areas of ABM that are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with only basic digital skills.</w:t>
      </w:r>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developed online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as a team and we worked together using GitHub (</w:t>
      </w:r>
      <w:hyperlink r:id="rId23">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learning and teaching material for ABM for archaeologists assumes that the users have completed secondary education. It is suitable for archaeologists with at least some background in archaeology, preferably after the first year of a Bachelor study in Archaeology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are developed aiming to develop learners’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w:t>
      </w:r>
      <w:r>
        <w:t xml:space="preserve"> </w:t>
      </w:r>
      <w:r>
        <w:t xml:space="preserve">‘</w:t>
      </w:r>
      <w:r>
        <w:t xml:space="preserve">in the wild</w:t>
      </w:r>
      <w:r>
        <w:t xml:space="preserve">’</w:t>
      </w:r>
      <w:r>
        <w:t xml:space="preserve"> </w:t>
      </w:r>
      <w:r>
        <w:t xml:space="preserve">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We obtained structured feedback from the participants and used it to improve the tutorials prior to the next test. The feedback was obtained from two surveys using Qualtrics. The participants of the events were asked to answer questions of the first survey before participating. We used the answers to understand what the background of the participants was and to get an estimate of their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improved the tutorials based on the received feedback.</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6"/>
    <w:bookmarkStart w:id="75"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28" w:name="final-tutorials"/>
    <w:p>
      <w:pPr>
        <w:pStyle w:val="Heading2"/>
      </w:pPr>
      <w:r>
        <w:rPr>
          <w:rStyle w:val="SectionNumber"/>
        </w:rPr>
        <w:t xml:space="preserve">3.2</w:t>
      </w:r>
      <w:r>
        <w:tab/>
      </w:r>
      <w:r>
        <w:t xml:space="preserve">Final tutorials</w:t>
      </w:r>
    </w:p>
    <w:p>
      <w:pPr>
        <w:pStyle w:val="FirstParagraph"/>
      </w:pPr>
      <w:r>
        <w:t xml:space="preserve">The final tutorals are available for download at</w:t>
      </w:r>
      <w:r>
        <w:t xml:space="preserve"> </w:t>
      </w:r>
      <w:hyperlink r:id="rId23">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different number of lessons that guide the learner in a self-pace manner through the lessons.</w:t>
      </w:r>
    </w:p>
    <w:p>
      <w:pPr>
        <w:pStyle w:val="BodyText"/>
      </w:pPr>
      <w:r>
        <w:t xml:space="preserve">In the first tutorial the user will learn what simulations and agent-based models are and how they can help in archaeological research. This tutorial consists of 4 lessons. The first two lessons introduce the learner to simulation in general and Agent-Based Modelling in specific. Various concepts related to ABM are introduced and the first concepts within NetLogo are explained. The third lesson aims to explain how ABMs are used in archaeological research. The final lesson introduces the learner to the NetLogo Interface and the difference between the Interactive and Authoring mode. This tutorial build a foundation for working in NetLogo and with ABM. All activity stays within the intermediate level, although higher levels might be touched upon.</w:t>
      </w:r>
    </w:p>
    <w:p>
      <w:pPr>
        <w:pStyle w:val="BodyText"/>
      </w:pPr>
      <w:r>
        <w:t xml:space="preserve">In tutorial 2 the user will learn the basics of NetLogo by making your their simulation on the Out of Africal dispersal of homo sapiens. The learner will work with basic NetLogo syntax and learn how to set up a simulation and visualize its outcomes. This tutorial consists of 9 lessons. This tutorial intends to guide the learner from the intermediate to the advanced level of proficiency. The learning curve is relatively gentle. This is achieved by learning to work with the NetLogo web interface. The primitives are introduced and initialization phase of a simple ABM is gone through. The world within NetLogo’s world (including dimensions, coordinates, origin) and how to alter it are explained and experience in a hands-on approach. The learners learn about simple simulation loops and how to use primitives. The advanced level is achieved with the custom procedures and variables. In addition, if-statements are introduced and more complex versions thereof. Exporting information using plots is also explained.</w:t>
      </w:r>
    </w:p>
    <w:p>
      <w:pPr>
        <w:pStyle w:val="BodyText"/>
      </w:pPr>
      <w:r>
        <w:t xml:space="preserve">In the third tutorial, the learner will build a simple trade model, picking up more advanced NetLogo coding along the way, such as loops, lists and reporters. The learner will be introduced to some techniques like modular code development and debugging which will become important with this increased coding complexity. This tutorial consists of 7 lessons. This tutorial intends to guide the learner from the intermediate to the advanced and highly specialised level of proficiency. This is achieved by improving development through using modular code, pseudocode and annotating the code. In addition, custom agent breeds are introduced. Visualization with labels and reporters, plots and monitors are learned. The use of loops is further explained. Debugging is learned in lesson 7. This can be very advanced, since it involves knowledge of the NetLogo-language combined with problem solving of unexpected behaviour.</w:t>
      </w:r>
    </w:p>
    <w:p>
      <w:pPr>
        <w:pStyle w:val="BodyText"/>
      </w:pPr>
      <w:r>
        <w:t xml:space="preserve">In tutorial 4 the learner will work with Sugarscape simulations to further expand their ABM and NetLogo skills. The learner will learn how to set up more complex interactions between agents and the environment. Furthermore, the basics of setting up good experiments and validating models will be explained. This tutorial consists of 8 lessons. This tutorial intends to guide the learner from the (intermediate and) advanced level to the highly specialised level of proficiency. In this tutorial more complex agent-environment interaction is further learned, including ways to visualize the environment and how to give more agency to patches. Creating toy landscapes is central to lesson 5. The learner also learns the basics of setting up experiments in NetLogo and how to use monitors and flexible plots to understand the results. The validation of agent-based models is an important concept of designing a good experiment. The finale step, is to compare simulation results with the archaeological record. The last lesson is aimed at learning syntax to make lists more dynamic and how to refactor code.</w:t>
      </w:r>
    </w:p>
    <w:p>
      <w:pPr>
        <w:pStyle w:val="BodyText"/>
      </w:pPr>
      <w:r>
        <w:t xml:space="preserve">In the final and fifth tutorial the learner will learn more about how to actually incorporate agent-based modelling in research. This tutorial focusses less on programming in NetLogo and more on the model development process. The learner will learn about the different phases in modelling and how to export data from models. This tutorial consists of 5 lessons. This tutorial touches upon various levels, but mainly between the intermediate and highly specialised level of proficiency. This tutorial approaches more theoretical aspects in a practical environment. The learner leans about the model development process starting with the conceptual phase of the model development. Good and bad research questions for modelling are explained and the difference between them. The learner needs to understand how to pick the right modelling technique. The learner should understand the importance of properly conceptualizing a model before starting the technical phase of the model development. In this phase parametrisation, designing experiments and the analysis and interpretation of the models are important. Learning about the dissemination phase of the model development is aimed at understanding (the importance of) publishing models and replication. In addition, learning how to export results from NetLogo using basic export primitives is explained. The BehaviorSpace is explained to enable the learners to analyse the output of models.</w:t>
      </w:r>
    </w:p>
    <w:bookmarkEnd w:id="28"/>
    <w:bookmarkStart w:id="51"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30" name="Picture"/>
            <a:graphic>
              <a:graphicData uri="http://schemas.openxmlformats.org/drawingml/2006/picture">
                <pic:pic>
                  <pic:nvPicPr>
                    <pic:cNvPr descr="paper_files/figure-docx/nationalit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nationality"/>
      <w:bookmarkEnd w:id="32"/>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4" name="Picture"/>
            <a:graphic>
              <a:graphicData uri="http://schemas.openxmlformats.org/drawingml/2006/picture">
                <pic:pic>
                  <pic:nvPicPr>
                    <pic:cNvPr descr="paper_files/figure-docx/gender-age-1.png" id="35" name="Picture"/>
                    <pic:cNvPicPr>
                      <a:picLocks noChangeArrowheads="1" noChangeAspect="1"/>
                    </pic:cNvPicPr>
                  </pic:nvPicPr>
                  <pic:blipFill>
                    <a:blip r:embed="rId3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6" w:name="fig:gender-age"/>
      <w:bookmarkEnd w:id="36"/>
      <w:r>
        <w:t xml:space="preserve">Figure 3.2: The gender and age distribution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8" name="Picture"/>
            <a:graphic>
              <a:graphicData uri="http://schemas.openxmlformats.org/drawingml/2006/picture">
                <pic:pic>
                  <pic:nvPicPr>
                    <pic:cNvPr descr="paper_files/figure-docx/computer-skills-1.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0" w:name="fig:computer-skills"/>
      <w:bookmarkEnd w:id="40"/>
      <w:r>
        <w:t xml:space="preserve">Figure 3.3: The computer skills of the respondents.</w:t>
      </w:r>
    </w:p>
    <w:p>
      <w:pPr>
        <w:pStyle w:val="BodyText"/>
      </w:pPr>
      <w:r>
        <w:drawing>
          <wp:inline>
            <wp:extent cx="2667000" cy="2133600"/>
            <wp:effectExtent b="0" l="0" r="0" t="0"/>
            <wp:docPr descr="Figure 3.4: Respondents knowledge and experience with ABM." title="" id="42" name="Picture"/>
            <a:graphic>
              <a:graphicData uri="http://schemas.openxmlformats.org/drawingml/2006/picture">
                <pic:pic>
                  <pic:nvPicPr>
                    <pic:cNvPr descr="paper_files/figure-docx/abm-knowledge-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5" name="Picture"/>
            <a:graphic>
              <a:graphicData uri="http://schemas.openxmlformats.org/drawingml/2006/picture">
                <pic:pic>
                  <pic:nvPicPr>
                    <pic:cNvPr descr="paper_files/figure-docx/abm-knowledge-2.png" id="46" name="Picture"/>
                    <pic:cNvPicPr>
                      <a:picLocks noChangeArrowheads="1" noChangeAspect="1"/>
                    </pic:cNvPicPr>
                  </pic:nvPicPr>
                  <pic:blipFill>
                    <a:blip r:embed="rId44"/>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8" name="Picture"/>
            <a:graphic>
              <a:graphicData uri="http://schemas.openxmlformats.org/drawingml/2006/picture">
                <pic:pic>
                  <pic:nvPicPr>
                    <pic:cNvPr descr="paper_files/figure-docx/available-theory-1.png" id="49" name="Picture"/>
                    <pic:cNvPicPr>
                      <a:picLocks noChangeArrowheads="1" noChangeAspect="1"/>
                    </pic:cNvPicPr>
                  </pic:nvPicPr>
                  <pic:blipFill>
                    <a:blip r:embed="rId4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0" w:name="fig:available-theory"/>
      <w:bookmarkEnd w:id="50"/>
      <w:r>
        <w:t xml:space="preserve">Figure 3.6: Respondents optionion on the quality of theory on ABM faceted out by event.</w:t>
      </w:r>
    </w:p>
    <w:bookmarkEnd w:id="51"/>
    <w:bookmarkStart w:id="52"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instalments.</w:t>
      </w:r>
    </w:p>
    <w:bookmarkEnd w:id="52"/>
    <w:bookmarkStart w:id="67" w:name="after-the-workshop"/>
    <w:p>
      <w:pPr>
        <w:pStyle w:val="Heading2"/>
      </w:pPr>
      <w:r>
        <w:rPr>
          <w:rStyle w:val="SectionNumber"/>
        </w:rPr>
        <w:t xml:space="preserve">3.5</w:t>
      </w:r>
      <w:r>
        <w:tab/>
      </w:r>
      <w:r>
        <w:t xml:space="preserve">After the workshop</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CaptionedFigure"/>
      </w:pPr>
      <w:r>
        <w:drawing>
          <wp:inline>
            <wp:extent cx="5334000" cy="1939636"/>
            <wp:effectExtent b="0" l="0" r="0" t="0"/>
            <wp:docPr descr="Figure 3.7: Respondents rating of the workshop in general faceted for each event." title="" id="54" name="Picture"/>
            <a:graphic>
              <a:graphicData uri="http://schemas.openxmlformats.org/drawingml/2006/picture">
                <pic:pic>
                  <pic:nvPicPr>
                    <pic:cNvPr descr="paper_files/figure-docx/rating-workshop-1.png" id="55" name="Picture"/>
                    <pic:cNvPicPr>
                      <a:picLocks noChangeArrowheads="1" noChangeAspect="1"/>
                    </pic:cNvPicPr>
                  </pic:nvPicPr>
                  <pic:blipFill>
                    <a:blip r:embed="rId53"/>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6" w:name="fig:rating-workshop"/>
      <w:bookmarkEnd w:id="56"/>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8" name="Picture"/>
            <a:graphic>
              <a:graphicData uri="http://schemas.openxmlformats.org/drawingml/2006/picture">
                <pic:pic>
                  <pic:nvPicPr>
                    <pic:cNvPr descr="paper_files/figure-docx/rating-teaching-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1" name="Picture"/>
            <a:graphic>
              <a:graphicData uri="http://schemas.openxmlformats.org/drawingml/2006/picture">
                <pic:pic>
                  <pic:nvPicPr>
                    <pic:cNvPr descr="paper_files/figure-docx/rating-teaching-2.png" id="62" name="Picture"/>
                    <pic:cNvPicPr>
                      <a:picLocks noChangeArrowheads="1" noChangeAspect="1"/>
                    </pic:cNvPicPr>
                  </pic:nvPicPr>
                  <pic:blipFill>
                    <a:blip r:embed="rId60"/>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harder for some online events, although we provided break-out rooms. It is also interesting to note that over time more and more people did not see any room for improvement.</w:t>
      </w:r>
    </w:p>
    <w:p>
      <w:pPr>
        <w:pStyle w:val="BodyText"/>
      </w:pPr>
      <w:r>
        <w:t xml:space="preserve">The majority of the respondents wanted to apply ABM in the future for research (144 of the 164 that answered this question, see Figure</w:t>
      </w:r>
      <w:r>
        <w:t xml:space="preserve"> </w:t>
      </w:r>
      <w:r>
        <w:t xml:space="preserve">3.10</w:t>
      </w:r>
      <w:r>
        <w:t xml:space="preserve">). Some of the respondents were already using ABM. A large group was not sure yet how to apply ABM and wanted to read more on the subject or play a bit with the possibilities. Many respondents also shared the context to which they were thinking to apply ABM. Various participants mentioned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4" name="Picture"/>
            <a:graphic>
              <a:graphicData uri="http://schemas.openxmlformats.org/drawingml/2006/picture">
                <pic:pic>
                  <pic:nvPicPr>
                    <pic:cNvPr descr="paper_files/figure-docx/future-abm-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6" w:name="fig:future-abm"/>
      <w:bookmarkEnd w:id="66"/>
      <w:r>
        <w:t xml:space="preserve">Figure 3.10: The respondents reaction to the question if they thing that they will apply ABM in the future.</w:t>
      </w:r>
    </w:p>
    <w:bookmarkEnd w:id="67"/>
    <w:bookmarkStart w:id="70"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w:t>
      </w:r>
    </w:p>
    <w:p>
      <w:pPr>
        <w:pStyle w:val="BodyText"/>
      </w:pPr>
      <w:r>
        <w:t xml:space="preserve">For competence area 1. Information and data literacy: the tutorials mainly address 1.2 Evaluating Data, Information And Digital Content and 1.3 Managing Data, Information And Digital Content. The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but we assume that users have a general understanding. A very important aspect of learning ABM is 3.4 Programming. The users are exploring the possibilities and chances of programming an ABM. The users are expected to learn both syntax and more general concepts such as modular code development, loops, lists and commenting and documenting code.</w:t>
      </w:r>
    </w:p>
    <w:p>
      <w:pPr>
        <w:pStyle w:val="BodyText"/>
      </w:pPr>
      <w:r>
        <w:t xml:space="preserve">Competence Area 5. Problem solving is very important and is closely tied to 3.4 Programming, since programming involves a lot of problem solving. In addition, the creation of a highly complex ABM consists of problem solving all the time, including debugging.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learning to think in models and develop models themselves. In tutorial 2 various aspects of 5.4 Identifying Digital Competence Gaps, are relevant, since this tutorial will force the user to remember code and commands and to assess their knowledge and skills.</w:t>
      </w:r>
    </w:p>
    <w:bookmarkEnd w:id="70"/>
    <w:bookmarkStart w:id="71" w:name="digital-skills-passport"/>
    <w:p>
      <w:pPr>
        <w:pStyle w:val="Heading2"/>
      </w:pPr>
      <w:r>
        <w:rPr>
          <w:rStyle w:val="SectionNumber"/>
        </w:rPr>
        <w:t xml:space="preserve">3.7</w:t>
      </w:r>
      <w:r>
        <w:tab/>
      </w:r>
      <w:r>
        <w:t xml:space="preserve">Digital Skills Passport</w:t>
      </w:r>
    </w:p>
    <w:bookmarkEnd w:id="71"/>
    <w:bookmarkStart w:id="74"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2">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a website has been launced (</w:t>
      </w:r>
      <w:hyperlink r:id="rId73">
        <w:r>
          <w:rPr>
            <w:rStyle w:val="Hyperlink"/>
          </w:rPr>
          <w:t xml:space="preserve">https://ABMArchaeologists.github.io/ABMA_Website</w:t>
        </w:r>
      </w:hyperlink>
      <w:r>
        <w:t xml:space="preserve">). On this website, the tutorials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one of the student groups from Saxion University of Applied Sciences, see the acknowledgements.</w:t>
      </w:r>
    </w:p>
    <w:bookmarkEnd w:id="74"/>
    <w:bookmarkEnd w:id="75"/>
    <w:bookmarkStart w:id="76"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6"/>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20">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Poorthuis, Johan Broersma, Mandy Hazenberg, Paulina Fulneczek, Ties Heesink and their tutor: Jan Wille</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for the publication: The Carlsberg Foundation’s</w:t>
      </w:r>
      <w:r>
        <w:t xml:space="preserve"> </w:t>
      </w:r>
      <w:r>
        <w:rPr>
          <w:iCs/>
          <w:i/>
        </w:rPr>
        <w:t xml:space="preserve">Young Researcher Fellowship</w:t>
      </w:r>
      <w:r>
        <w:t xml:space="preserve"> </w:t>
      </w:r>
      <w:r>
        <w:t xml:space="preserve">(CF21-0382).</w:t>
      </w:r>
    </w:p>
    <w:bookmarkEnd w:id="77"/>
    <w:bookmarkStart w:id="106" w:name="references"/>
    <w:p>
      <w:pPr>
        <w:pStyle w:val="Heading1"/>
      </w:pPr>
      <w:r>
        <w:t xml:space="preserve">References</w:t>
      </w:r>
    </w:p>
    <w:bookmarkStart w:id="105"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X32e7d84f798fecaddc8b57b85323e29cd5798d5"/>
    <w:p>
      <w:pPr>
        <w:pStyle w:val="Bibliography"/>
      </w:pPr>
      <w:r>
        <w:t xml:space="preserve">European Commission, Joint Research Centre, Vuorikari, R, Kluzer, S and Punie, Y. 2022.</w:t>
      </w:r>
      <w:r>
        <w:t xml:space="preserve"> </w:t>
      </w:r>
      <w:hyperlink r:id="rId81">
        <w:r>
          <w:rPr>
            <w:rStyle w:val="Hyperlink"/>
            <w:iCs/>
            <w:i/>
          </w:rPr>
          <w:t xml:space="preserve">DigComp 2.2: The Digital Competence Framework for Citizens - With new examples of knowledge, skills and attitudes</w:t>
        </w:r>
      </w:hyperlink>
      <w:r>
        <w:t xml:space="preserve">.</w:t>
      </w:r>
    </w:p>
    <w:bookmarkEnd w:id="82"/>
    <w:bookmarkStart w:id="84" w:name="ref-grolemund2011"/>
    <w:p>
      <w:pPr>
        <w:pStyle w:val="Bibliography"/>
      </w:pPr>
      <w:r>
        <w:t xml:space="preserve">Grolemund, G and Wickham, H. 2011</w:t>
      </w:r>
      <w:r>
        <w:t xml:space="preserve"> </w:t>
      </w:r>
      <w:hyperlink r:id="rId83">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4"/>
    <w:bookmarkStart w:id="86"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5">
        <w:r>
          <w:rPr>
            <w:rStyle w:val="Hyperlink"/>
          </w:rPr>
          <w:t xml:space="preserve">10.5281/zenodo.10931759</w:t>
        </w:r>
      </w:hyperlink>
      <w:r>
        <w:t xml:space="preserve">.</w:t>
      </w:r>
    </w:p>
    <w:bookmarkEnd w:id="86"/>
    <w:bookmarkStart w:id="88" w:name="ref-rcoreteam2023"/>
    <w:p>
      <w:pPr>
        <w:pStyle w:val="Bibliography"/>
      </w:pPr>
      <w:r>
        <w:t xml:space="preserve">R Core Team. 2023</w:t>
      </w:r>
      <w:r>
        <w:t xml:space="preserve"> </w:t>
      </w:r>
      <w:hyperlink r:id="rId87">
        <w:r>
          <w:rPr>
            <w:rStyle w:val="Hyperlink"/>
            <w:iCs/>
            <w:i/>
          </w:rPr>
          <w:t xml:space="preserve">R: A language and environment for statistical computing</w:t>
        </w:r>
      </w:hyperlink>
      <w:r>
        <w:t xml:space="preserve">.</w:t>
      </w:r>
    </w:p>
    <w:bookmarkEnd w:id="88"/>
    <w:bookmarkStart w:id="90"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89">
        <w:r>
          <w:rPr>
            <w:rStyle w:val="Hyperlink"/>
          </w:rPr>
          <w:t xml:space="preserve">10.5281/zenodo.10931587</w:t>
        </w:r>
      </w:hyperlink>
      <w:r>
        <w:t xml:space="preserve">.</w:t>
      </w:r>
    </w:p>
    <w:bookmarkEnd w:id="90"/>
    <w:bookmarkStart w:id="92" w:name="ref-romanowska2021a"/>
    <w:p>
      <w:pPr>
        <w:pStyle w:val="Bibliography"/>
      </w:pPr>
      <w:r>
        <w:t xml:space="preserve">Romanowska, I, Wren, CD and Crabtree, SA. 2021.</w:t>
      </w:r>
      <w:r>
        <w:t xml:space="preserve"> </w:t>
      </w:r>
      <w:hyperlink r:id="rId91">
        <w:r>
          <w:rPr>
            <w:rStyle w:val="Hyperlink"/>
            <w:iCs/>
            <w:i/>
          </w:rPr>
          <w:t xml:space="preserve">Agent-based modeling for archaeology: Simulating the complexity of societies</w:t>
        </w:r>
      </w:hyperlink>
      <w:r>
        <w:t xml:space="preserve">. Santa Fe: Santa Fe Institute Press.</w:t>
      </w:r>
    </w:p>
    <w:bookmarkEnd w:id="92"/>
    <w:bookmarkStart w:id="94"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93">
        <w:r>
          <w:rPr>
            <w:rStyle w:val="Hyperlink"/>
          </w:rPr>
          <w:t xml:space="preserve">10.5334/jcaa.26</w:t>
        </w:r>
      </w:hyperlink>
      <w:r>
        <w:t xml:space="preserve">.</w:t>
      </w:r>
    </w:p>
    <w:bookmarkEnd w:id="94"/>
    <w:bookmarkStart w:id="96" w:name="ref-wickham2016"/>
    <w:p>
      <w:pPr>
        <w:pStyle w:val="Bibliography"/>
      </w:pPr>
      <w:r>
        <w:t xml:space="preserve">Wickham, H. 2016.</w:t>
      </w:r>
      <w:r>
        <w:t xml:space="preserve"> </w:t>
      </w:r>
      <w:hyperlink r:id="rId95">
        <w:r>
          <w:rPr>
            <w:rStyle w:val="Hyperlink"/>
            <w:iCs/>
            <w:i/>
          </w:rPr>
          <w:t xml:space="preserve">ggplot2: Elegant graphics for data analysis</w:t>
        </w:r>
      </w:hyperlink>
      <w:r>
        <w:t xml:space="preserve">. Springer-Verlag New York.</w:t>
      </w:r>
    </w:p>
    <w:bookmarkEnd w:id="96"/>
    <w:bookmarkStart w:id="98" w:name="ref-wickham2023b"/>
    <w:p>
      <w:pPr>
        <w:pStyle w:val="Bibliography"/>
      </w:pPr>
      <w:r>
        <w:t xml:space="preserve">Wickham, H. 2023a</w:t>
      </w:r>
      <w:r>
        <w:t xml:space="preserve"> </w:t>
      </w:r>
      <w:hyperlink r:id="rId97">
        <w:r>
          <w:rPr>
            <w:rStyle w:val="Hyperlink"/>
            <w:iCs/>
            <w:i/>
          </w:rPr>
          <w:t xml:space="preserve">Forcats: Tools for working with categorical variables (factors)</w:t>
        </w:r>
      </w:hyperlink>
      <w:r>
        <w:t xml:space="preserve">.</w:t>
      </w:r>
    </w:p>
    <w:bookmarkEnd w:id="98"/>
    <w:bookmarkStart w:id="100" w:name="ref-wickham2023c"/>
    <w:p>
      <w:pPr>
        <w:pStyle w:val="Bibliography"/>
      </w:pPr>
      <w:r>
        <w:t xml:space="preserve">Wickham, H. 2023b</w:t>
      </w:r>
      <w:r>
        <w:t xml:space="preserve"> </w:t>
      </w:r>
      <w:hyperlink r:id="rId99">
        <w:r>
          <w:rPr>
            <w:rStyle w:val="Hyperlink"/>
            <w:iCs/>
            <w:i/>
          </w:rPr>
          <w:t xml:space="preserve">Stringr: Simple, consistent wrappers for common string operations</w:t>
        </w:r>
      </w:hyperlink>
      <w:r>
        <w:t xml:space="preserve">.</w:t>
      </w:r>
    </w:p>
    <w:bookmarkEnd w:id="100"/>
    <w:bookmarkStart w:id="102" w:name="ref-wickham2023a"/>
    <w:p>
      <w:pPr>
        <w:pStyle w:val="Bibliography"/>
      </w:pPr>
      <w:r>
        <w:t xml:space="preserve">Wickham, H, François, R, Henry, L, Müller, K and Vaughan, D. 2023</w:t>
      </w:r>
      <w:r>
        <w:t xml:space="preserve"> </w:t>
      </w:r>
      <w:hyperlink r:id="rId101">
        <w:r>
          <w:rPr>
            <w:rStyle w:val="Hyperlink"/>
            <w:iCs/>
            <w:i/>
          </w:rPr>
          <w:t xml:space="preserve">Dplyr: A grammar of data manipulation</w:t>
        </w:r>
      </w:hyperlink>
      <w:r>
        <w:t xml:space="preserve">.</w:t>
      </w:r>
    </w:p>
    <w:bookmarkEnd w:id="102"/>
    <w:bookmarkStart w:id="104" w:name="ref-wickham2023"/>
    <w:p>
      <w:pPr>
        <w:pStyle w:val="Bibliography"/>
      </w:pPr>
      <w:r>
        <w:t xml:space="preserve">Wickham, H, Vaughan, D and Girlich, M. 2023</w:t>
      </w:r>
      <w:r>
        <w:t xml:space="preserve"> </w:t>
      </w:r>
      <w:hyperlink r:id="rId103">
        <w:r>
          <w:rPr>
            <w:rStyle w:val="Hyperlink"/>
            <w:iCs/>
            <w:i/>
          </w:rPr>
          <w:t xml:space="preserve">Tidyr: Tidy messy data</w:t>
        </w:r>
      </w:hyperlink>
      <w:r>
        <w:t xml:space="preserve">.</w:t>
      </w:r>
    </w:p>
    <w:bookmarkEnd w:id="104"/>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5"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3" Target="https://doi.org/10.5334/jcaa.26" TargetMode="External" /><Relationship Type="http://schemas.openxmlformats.org/officeDocument/2006/relationships/hyperlink" Id="rId101"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7"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9" Target="https://stringr.tidyverse.org" TargetMode="External" /><Relationship Type="http://schemas.openxmlformats.org/officeDocument/2006/relationships/hyperlink" Id="rId103"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95" Target="http://ggplot2.org" TargetMode="External" /><Relationship Type="http://schemas.openxmlformats.org/officeDocument/2006/relationships/hyperlink" Id="rId78" Target="http://www.coe.int/lang-cefr" TargetMode="External" /><Relationship Type="http://schemas.openxmlformats.org/officeDocument/2006/relationships/hyperlink" Id="rId73" Target="https://ABMArchaeologists.github.io/ABMA_Website/#/" TargetMode="External" /><Relationship Type="http://schemas.openxmlformats.org/officeDocument/2006/relationships/hyperlink" Id="rId81" Target="https://data.europa.eu/doi/10.2760/115376" TargetMode="External" /><Relationship Type="http://schemas.openxmlformats.org/officeDocument/2006/relationships/hyperlink" Id="rId89" Target="https://doi.org/10.5281/zenodo.10931587" TargetMode="External" /><Relationship Type="http://schemas.openxmlformats.org/officeDocument/2006/relationships/hyperlink" Id="rId85" Target="https://doi.org/10.5281/zenodo.10931759" TargetMode="External" /><Relationship Type="http://schemas.openxmlformats.org/officeDocument/2006/relationships/hyperlink" Id="rId93" Target="https://doi.org/10.5334/jcaa.26" TargetMode="External" /><Relationship Type="http://schemas.openxmlformats.org/officeDocument/2006/relationships/hyperlink" Id="rId101"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97" Target="https://forcats.tidyverse.org/" TargetMode="External" /><Relationship Type="http://schemas.openxmlformats.org/officeDocument/2006/relationships/hyperlink" Id="rId24" Target="https://github.com/ABMArchaeologists/ABMA_paper" TargetMode="External" /><Relationship Type="http://schemas.openxmlformats.org/officeDocument/2006/relationships/hyperlink" Id="rId23" Target="https://github.com/ABMArchaeologists/ABMA_tutorials" TargetMode="External" /><Relationship Type="http://schemas.openxmlformats.org/officeDocument/2006/relationships/hyperlink" Id="rId72" Target="https://github.com/ABMArchaeologists/ABMA_tutorials/" TargetMode="External" /><Relationship Type="http://schemas.openxmlformats.org/officeDocument/2006/relationships/hyperlink" Id="rId99" Target="https://stringr.tidyverse.org" TargetMode="External" /><Relationship Type="http://schemas.openxmlformats.org/officeDocument/2006/relationships/hyperlink" Id="rId103" Target="https://tidyr.tidyverse.org" TargetMode="External" /><Relationship Type="http://schemas.openxmlformats.org/officeDocument/2006/relationships/hyperlink" Id="rId87" Target="https://www.R-project.org/" TargetMode="External" /><Relationship Type="http://schemas.openxmlformats.org/officeDocument/2006/relationships/hyperlink" Id="rId83"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91"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2024-04-18T06:59:49Z</dcterms:created>
  <dcterms:modified xsi:type="dcterms:W3CDTF">2024-04-18T06:59:49Z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April 18,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