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§16–27)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29 687 frames; </w:t>
      </w:r>
      <w:r>
        <w:rPr>
          <w:rStyle w:val="VerbatimChar"/>
        </w:rPr>
        <w:t xml:space="preserve">mycobot_sorting_heldout</w:t>
      </w:r>
      <w:r>
        <w:t xml:space="preserve"> 12 episodes, 7 411 frames; 320×240 at 30 fps, LeRobot v3.0, written by LeRobot's own writer and </w:t>
      </w:r>
      <w:r>
        <w:rPr>
          <w:bCs/>
          <w:b/>
        </w:rPr>
        <w:t xml:space="preserve">loaded by the real </w:t>
      </w:r>
      <w:r>
        <w:rPr>
          <w:rStyle w:val="VerbatimChar"/>
          <w:bCs/>
          <w:b/>
        </w:rPr>
        <w:t xml:space="preserve">LeRobotDataset</w:t>
      </w:r>
      <w:r>
        <w:rPr>
          <w:bCs/>
          <w:b/>
        </w:rPr>
        <w:t xml:space="preserve"> class under lerobot 0.4.4</w:t>
      </w:r>
      <w:r>
        <w:t xml:space="preserve"> (provisional pin: the current release, to be confirmed against the version the team trains with). A SmolVLA CPU smoke-train (</w:t>
      </w:r>
      <w:r>
        <w:rPr>
          <w:rStyle w:val="VerbatimChar"/>
        </w:rPr>
        <w:t xml:space="preserve">lerobot/smolvla_base</w:t>
      </w:r>
      <w:r>
        <w:t xml:space="preserve">, batch 1, 10 steps) ran with a finite loss at every step.</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dxa" w:w="9000"/>
        <w:tblLayout w:type="fixed"/>
        <w:tblLook w:firstRow="1" w:lastRow="0" w:firstColumn="0" w:lastColumn="0" w:noHBand="0" w:noVBand="0" w:val="0020"/>
        <w:jc w:val="start"/>
      </w:tblPr>
      <w:tblGrid>
        <w:gridCol w:w="1180"/>
        <w:gridCol w:w="1700"/>
        <w:gridCol w:w="3520"/>
        <w:gridCol w:w="2600"/>
      </w:tblGrid>
      <w:tr>
        <w:trPr>
          <w:tblHeader w:val="true"/>
        </w:trPr>
        <w:tc>
          <w:tcPr>
            <w:tcW w:type="dxa" w:w="1180"/>
          </w:tcPr>
          <w:p>
            <w:pPr>
              <w:pStyle w:val="Compact"/>
              <w:jc w:val="left"/>
            </w:pPr>
            <w:r>
              <w:t xml:space="preserve">Clause</w:t>
            </w:r>
          </w:p>
        </w:tc>
        <w:tc>
          <w:tcPr>
            <w:tcW w:type="dxa" w:w="1700"/>
          </w:tcPr>
          <w:p>
            <w:pPr>
              <w:pStyle w:val="Compact"/>
              <w:jc w:val="left"/>
            </w:pPr>
            <w:r>
              <w:t xml:space="preserve">Spec says</w:t>
            </w:r>
          </w:p>
        </w:tc>
        <w:tc>
          <w:tcPr>
            <w:tcW w:type="dxa" w:w="3520"/>
          </w:tcPr>
          <w:p>
            <w:pPr>
              <w:pStyle w:val="Compact"/>
              <w:jc w:val="left"/>
            </w:pPr>
            <w:r>
              <w:t xml:space="preserve">Implemented</w:t>
            </w:r>
          </w:p>
        </w:tc>
        <w:tc>
          <w:tcPr>
            <w:tcW w:type="dxa" w:w="2600"/>
          </w:tcPr>
          <w:p>
            <w:pPr>
              <w:pStyle w:val="Compact"/>
              <w:jc w:val="left"/>
            </w:pPr>
            <w:r>
              <w:t xml:space="preserve">Why, and evidence</w:t>
            </w:r>
          </w:p>
        </w:tc>
      </w:tr>
      <w:tr>
        <w:tc>
          <w:tcPr>
            <w:tcW w:type="dxa" w:w="1180"/>
          </w:tcPr>
          <w:p>
            <w:pPr>
              <w:pStyle w:val="Compact"/>
              <w:jc w:val="left"/>
            </w:pPr>
            <w:r>
              <w:t xml:space="preserve">A8, 3.6</w:t>
            </w:r>
          </w:p>
        </w:tc>
        <w:tc>
          <w:tcPr>
            <w:tcW w:type="dxa" w:w="1700"/>
          </w:tcPr>
          <w:p>
            <w:pPr>
              <w:pStyle w:val="Compact"/>
              <w:jc w:val="left"/>
            </w:pPr>
            <w:r>
              <w:t xml:space="preserve">Simulated attachment sanctioned.</w:t>
            </w:r>
          </w:p>
        </w:tc>
        <w:tc>
          <w:tcPr>
            <w:tcW w:type="dxa" w:w="3520"/>
          </w:tcPr>
          <w:p>
            <w:pPr>
              <w:pStyle w:val="Compact"/>
              <w:jc w:val="left"/>
            </w:pPr>
            <w:r>
              <w:t xml:space="preserve">Retained: one DetachableJoint per object, each with its own topics; every attach and detach confirmed by the plugin's own state report and re-published if unconfirmed.</w:t>
            </w:r>
          </w:p>
        </w:tc>
        <w:tc>
          <w:tcPr>
            <w:tcW w:type="dxa" w:w="2600"/>
          </w:tcPr>
          <w:p>
            <w:pPr>
              <w:pStyle w:val="Compact"/>
              <w:jc w:val="left"/>
            </w:pPr>
            <w:r>
              <w:t xml:space="preserve">The plugin welds on load (the arm could not leave HOME) and ignores a detach that arrives before it creates the joint (held-out episode 13).</w:t>
            </w:r>
          </w:p>
        </w:tc>
      </w:tr>
      <w:tr>
        <w:tc>
          <w:tcPr>
            <w:tcW w:type="dxa" w:w="1180"/>
          </w:tcPr>
          <w:p>
            <w:pPr>
              <w:pStyle w:val="Compact"/>
              <w:jc w:val="left"/>
            </w:pPr>
            <w:r>
              <w:t xml:space="preserve">A10, Part 11</w:t>
            </w:r>
          </w:p>
        </w:tc>
        <w:tc>
          <w:tcPr>
            <w:tcW w:type="dxa" w:w="1700"/>
          </w:tcPr>
          <w:p>
            <w:pPr>
              <w:pStyle w:val="Compact"/>
              <w:jc w:val="left"/>
            </w:pPr>
            <w:r>
              <w:t xml:space="preserve">The batch runs on a separate high-performance workstation (version of 2026-09-23).</w:t>
            </w:r>
          </w:p>
        </w:tc>
        <w:tc>
          <w:tcPr>
            <w:tcW w:type="dxa" w:w="3520"/>
          </w:tcPr>
          <w:p>
            <w:pPr>
              <w:pStyle w:val="Compact"/>
              <w:jc w:val="left"/>
            </w:pPr>
            <w:r>
              <w:t xml:space="preserve">Everything ran on one WSL2 laptop (7.8 GB visible to WSL, i7-11370H); the 60-episode batch took ~2.7 h. The specification was revised accordingly (Part 0.2).</w:t>
            </w:r>
          </w:p>
        </w:tc>
        <w:tc>
          <w:tcPr>
            <w:tcW w:type="dxa" w:w="2600"/>
          </w:tcPr>
          <w:p>
            <w:pPr>
              <w:pStyle w:val="Compact"/>
              <w:jc w:val="left"/>
            </w:pPr>
            <w:r>
              <w:t xml:space="preserve">The memory symptoms A10 warns about did not occur: frames complete, no re-sends, 60/60 first-attempt PASS under one code version.</w:t>
            </w:r>
          </w:p>
        </w:tc>
      </w:tr>
      <w:tr>
        <w:tc>
          <w:tcPr>
            <w:tcW w:type="dxa" w:w="1180"/>
          </w:tcPr>
          <w:p>
            <w:pPr>
              <w:pStyle w:val="Compact"/>
              <w:jc w:val="left"/>
            </w:pPr>
            <w:r>
              <w:t xml:space="preserve">2.5, 4</w:t>
            </w:r>
          </w:p>
        </w:tc>
        <w:tc>
          <w:tcPr>
            <w:tcW w:type="dxa" w:w="1700"/>
          </w:tcPr>
          <w:p>
            <w:pPr>
              <w:pStyle w:val="Compact"/>
              <w:jc w:val="left"/>
            </w:pPr>
            <w:r>
              <w:t xml:space="preserve">World real_table.sdf with its objects.</w:t>
            </w:r>
          </w:p>
        </w:tc>
        <w:tc>
          <w:tcPr>
            <w:tcW w:type="dxa" w:w="3520"/>
          </w:tcPr>
          <w:p>
            <w:pPr>
              <w:pStyle w:val="Compact"/>
              <w:jc w:val="left"/>
            </w:pPr>
            <w:r>
              <w:t xml:space="preserve">worlds/sorting_table.sdf: the same bench with no objects or bins; spawn_scene.py places all four objects and four bins per episode.</w:t>
            </w:r>
          </w:p>
        </w:tc>
        <w:tc>
          <w:tcPr>
            <w:tcW w:type="dxa" w:w="2600"/>
          </w:tcPr>
          <w:p>
            <w:pPr>
              <w:pStyle w:val="Compact"/>
              <w:jc w:val="left"/>
            </w:pPr>
            <w:r>
              <w:t xml:space="preserve">real_table.sdf carries one red cube and one red bin only.</w:t>
            </w:r>
          </w:p>
        </w:tc>
      </w:tr>
      <w:tr>
        <w:tc>
          <w:tcPr>
            <w:tcW w:type="dxa" w:w="1180"/>
          </w:tcPr>
          <w:p>
            <w:pPr>
              <w:pStyle w:val="Compact"/>
              <w:jc w:val="left"/>
            </w:pPr>
            <w:r>
              <w:t xml:space="preserve">4.5</w:t>
            </w:r>
          </w:p>
        </w:tc>
        <w:tc>
          <w:tcPr>
            <w:tcW w:type="dxa" w:w="1700"/>
          </w:tcPr>
          <w:p>
            <w:pPr>
              <w:pStyle w:val="Compact"/>
              <w:jc w:val="left"/>
            </w:pPr>
            <w:r>
              <w:t xml:space="preserve">Bins as in the world: 100 mm.</w:t>
            </w:r>
          </w:p>
        </w:tc>
        <w:tc>
          <w:tcPr>
            <w:tcW w:type="dxa" w:w="3520"/>
          </w:tcPr>
          <w:p>
            <w:pPr>
              <w:pStyle w:val="Compact"/>
              <w:jc w:val="left"/>
            </w:pPr>
            <w:r>
              <w:t xml:space="preserve">80 mm square opening, 3 mm walls, 86 mm outer; blue bin moved to (0.24, 0.01).</w:t>
            </w:r>
          </w:p>
        </w:tc>
        <w:tc>
          <w:tcPr>
            <w:tcW w:type="dxa" w:w="2600"/>
          </w:tcPr>
          <w:p>
            <w:pPr>
              <w:pStyle w:val="Compact"/>
              <w:jc w:val="left"/>
            </w:pPr>
            <w:r>
              <w:t xml:space="preserve">100 mm bins interpenetrate (red/green walls 15 mm): tilted landings, false WRONG_BIN. A 70 mm opening failed the placement probe.</w:t>
            </w:r>
          </w:p>
        </w:tc>
      </w:tr>
      <w:tr>
        <w:tc>
          <w:tcPr>
            <w:tcW w:type="dxa" w:w="1180"/>
          </w:tcPr>
          <w:p>
            <w:pPr>
              <w:pStyle w:val="Compact"/>
              <w:jc w:val="left"/>
            </w:pPr>
            <w:r>
              <w:t xml:space="preserve">6.2, 6.4</w:t>
            </w:r>
          </w:p>
        </w:tc>
        <w:tc>
          <w:tcPr>
            <w:tcW w:type="dxa" w:w="1700"/>
          </w:tcPr>
          <w:p>
            <w:pPr>
              <w:pStyle w:val="Compact"/>
              <w:jc w:val="left"/>
            </w:pPr>
            <w:r>
              <w:t xml:space="preserve">Held-out split on a second camera.</w:t>
            </w:r>
          </w:p>
        </w:tc>
        <w:tc>
          <w:tcPr>
            <w:tcW w:type="dxa" w:w="3520"/>
          </w:tcPr>
          <w:p>
            <w:pPr>
              <w:pStyle w:val="Compact"/>
              <w:jc w:val="left"/>
            </w:pPr>
            <w:r>
              <w:t xml:space="preserve">Option 2 of 6.4: a reserved configuration of the table camera (heldout_oblique), on the same topic /camera/image_raw.</w:t>
            </w:r>
          </w:p>
        </w:tc>
        <w:tc>
          <w:tcPr>
            <w:tcW w:type="dxa" w:w="2600"/>
          </w:tcPr>
          <w:p>
            <w:pPr>
              <w:pStyle w:val="Compact"/>
              <w:jc w:val="left"/>
            </w:pPr>
            <w:r>
              <w:t xml:space="preserve">No second sensor or bridge needed; the condition is never seen in training.</w:t>
            </w:r>
          </w:p>
        </w:tc>
      </w:tr>
      <w:tr>
        <w:tc>
          <w:tcPr>
            <w:tcW w:type="dxa" w:w="1180"/>
          </w:tcPr>
          <w:p>
            <w:pPr>
              <w:pStyle w:val="Compact"/>
              <w:jc w:val="left"/>
            </w:pPr>
            <w:r>
              <w:t xml:space="preserve">6.5, 6.6</w:t>
            </w:r>
          </w:p>
        </w:tc>
        <w:tc>
          <w:tcPr>
            <w:tcW w:type="dxa" w:w="1700"/>
          </w:tcPr>
          <w:p>
            <w:pPr>
              <w:pStyle w:val="Compact"/>
              <w:jc w:val="left"/>
            </w:pPr>
            <w:r>
              <w:t xml:space="preserve">Reachable envelope; positions must not collide.</w:t>
            </w:r>
          </w:p>
        </w:tc>
        <w:tc>
          <w:tcPr>
            <w:tcW w:type="dxa" w:w="3520"/>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tcW w:type="dxa" w:w="2600"/>
          </w:tcPr>
          <w:p>
            <w:pPr>
              <w:pStyle w:val="Compact"/>
              <w:jc w:val="left"/>
            </w:pPr>
            <w:r>
              <w:t xml:space="preserve">Folded lift poses fail loaded only (simulation collision defect, not sag); the robot base has no collision at table height; a circle keep-out missed the bins' corners.</w:t>
            </w:r>
          </w:p>
        </w:tc>
      </w:tr>
      <w:tr>
        <w:tc>
          <w:tcPr>
            <w:tcW w:type="dxa" w:w="1180"/>
          </w:tcPr>
          <w:p>
            <w:pPr>
              <w:pStyle w:val="Compact"/>
              <w:jc w:val="left"/>
            </w:pPr>
            <w:r>
              <w:t xml:space="preserve">7.3</w:t>
            </w:r>
          </w:p>
        </w:tc>
        <w:tc>
          <w:tcPr>
            <w:tcW w:type="dxa" w:w="1700"/>
          </w:tcPr>
          <w:p>
            <w:pPr>
              <w:pStyle w:val="Compact"/>
              <w:jc w:val="left"/>
            </w:pPr>
            <w:r>
              <w:t xml:space="preserve">Release yaw not specified.</w:t>
            </w:r>
          </w:p>
        </w:tc>
        <w:tc>
          <w:tcPr>
            <w:tcW w:type="dxa" w:w="3520"/>
          </w:tcPr>
          <w:p>
            <w:pPr>
              <w:pStyle w:val="Compact"/>
              <w:jc w:val="left"/>
            </w:pPr>
            <w:r>
              <w:t xml:space="preserve">The place column is solved with the gripper's world yaw constrained so boxes land square to the bin (0/90/180/270° cubes, 90/270° yellow box; cylinder free).</w:t>
            </w:r>
          </w:p>
        </w:tc>
        <w:tc>
          <w:tcPr>
            <w:tcW w:type="dxa" w:w="2600"/>
          </w:tcPr>
          <w:p>
            <w:pPr>
              <w:pStyle w:val="Compact"/>
              <w:jc w:val="left"/>
            </w:pPr>
            <w:r>
              <w:t xml:space="preserve">The cube lands at the gripper's world yaw at release, mod 90°; with a free yaw a 50 mm cube spans up to 70.7 mm and no bin size fits.</w:t>
            </w:r>
          </w:p>
        </w:tc>
      </w:tr>
      <w:tr>
        <w:tc>
          <w:tcPr>
            <w:tcW w:type="dxa" w:w="1180"/>
          </w:tcPr>
          <w:p>
            <w:pPr>
              <w:pStyle w:val="Compact"/>
              <w:jc w:val="left"/>
            </w:pPr>
            <w:r>
              <w:t xml:space="preserve">7.4</w:t>
            </w:r>
          </w:p>
        </w:tc>
        <w:tc>
          <w:tcPr>
            <w:tcW w:type="dxa" w:w="1700"/>
          </w:tcPr>
          <w:p>
            <w:pPr>
              <w:pStyle w:val="Compact"/>
              <w:jc w:val="left"/>
            </w:pPr>
            <w:r>
              <w:t xml:space="preserve">420 IK solves (60 × 7).</w:t>
            </w:r>
          </w:p>
        </w:tc>
        <w:tc>
          <w:tcPr>
            <w:tcW w:type="dxa" w:w="3520"/>
          </w:tcPr>
          <w:p>
            <w:pPr>
              <w:pStyle w:val="Compact"/>
              <w:jc w:val="left"/>
            </w:pPr>
            <w:r>
              <w:t xml:space="preserve">360 (60 × 6): HOME is a fixed joint constant.</w:t>
            </w:r>
          </w:p>
        </w:tc>
        <w:tc>
          <w:tcPr>
            <w:tcW w:type="dxa" w:w="2600"/>
          </w:tcPr>
          <w:p>
            <w:pPr>
              <w:pStyle w:val="Compact"/>
              <w:jc w:val="left"/>
            </w:pPr>
            <w:r>
              <w:t xml:space="preserve">Arithmetic in 7.4, confirmed with the author on 2026-09-23.</w:t>
            </w:r>
          </w:p>
        </w:tc>
      </w:tr>
      <w:tr>
        <w:tc>
          <w:tcPr>
            <w:tcW w:type="dxa" w:w="1180"/>
          </w:tcPr>
          <w:p>
            <w:pPr>
              <w:pStyle w:val="Compact"/>
              <w:jc w:val="left"/>
            </w:pPr>
            <w:r>
              <w:t xml:space="preserve">8.2, 10.3</w:t>
            </w:r>
          </w:p>
        </w:tc>
        <w:tc>
          <w:tcPr>
            <w:tcW w:type="dxa" w:w="1700"/>
          </w:tcPr>
          <w:p>
            <w:pPr>
              <w:pStyle w:val="Compact"/>
              <w:jc w:val="left"/>
            </w:pPr>
            <w:r>
              <w:t xml:space="preserve">Sequence via move_group.</w:t>
            </w:r>
          </w:p>
        </w:tc>
        <w:tc>
          <w:tcPr>
            <w:tcW w:type="dxa" w:w="3520"/>
          </w:tcPr>
          <w:p>
            <w:pPr>
              <w:pStyle w:val="Compact"/>
              <w:jc w:val="left"/>
            </w:pPr>
            <w:r>
              <w:t xml:space="preserve">FollowJointTrajectory actions directly, waits in simulated time, one re-send at most; controller goal tolerance 0.026 rad, goal_time 1.0 s.</w:t>
            </w:r>
          </w:p>
        </w:tc>
        <w:tc>
          <w:tcPr>
            <w:tcW w:type="dxa" w:w="2600"/>
          </w:tcPr>
          <w:p>
            <w:pPr>
              <w:pStyle w:val="Compact"/>
              <w:jc w:val="left"/>
            </w:pPr>
            <w:r>
              <w:t xml:space="preserve">Without goal tolerances the controller reported SUCCESSFUL with the arm 2.5–8.2° short.</w:t>
            </w:r>
          </w:p>
        </w:tc>
      </w:tr>
      <w:tr>
        <w:tc>
          <w:tcPr>
            <w:tcW w:type="dxa" w:w="1180"/>
          </w:tcPr>
          <w:p>
            <w:pPr>
              <w:pStyle w:val="Compact"/>
              <w:jc w:val="left"/>
            </w:pPr>
            <w:r>
              <w:t xml:space="preserve">8.4</w:t>
            </w:r>
          </w:p>
        </w:tc>
        <w:tc>
          <w:tcPr>
            <w:tcW w:type="dxa" w:w="1700"/>
          </w:tcPr>
          <w:p>
            <w:pPr>
              <w:pStyle w:val="Compact"/>
              <w:jc w:val="left"/>
            </w:pPr>
            <w:r>
              <w:t xml:space="preserve">RTF 0.082 and 0.277, measured on the two machines of the original plan.</w:t>
            </w:r>
          </w:p>
        </w:tc>
        <w:tc>
          <w:tcPr>
            <w:tcW w:type="dxa" w:w="3520"/>
          </w:tcPr>
          <w:p>
            <w:pPr>
              <w:pStyle w:val="Compact"/>
              <w:jc w:val="left"/>
            </w:pPr>
            <w:r>
              <w:t xml:space="preserve">Median RTF 0.344 on the laptop: sun shadows off, software OpenGL, physics step 2 ms.</w:t>
            </w:r>
          </w:p>
        </w:tc>
        <w:tc>
          <w:tcPr>
            <w:tcW w:type="dxa" w:w="2600"/>
          </w:tcPr>
          <w:p>
            <w:pPr>
              <w:pStyle w:val="Compact"/>
              <w:jc w:val="left"/>
            </w:pPr>
            <w:r>
              <w:t xml:space="preserve">Shadows took RTF to 0.006–0.011; the WSL GPU path renders runtime-spawned objects white.</w:t>
            </w:r>
          </w:p>
        </w:tc>
      </w:tr>
      <w:tr>
        <w:tc>
          <w:tcPr>
            <w:tcW w:type="dxa" w:w="1180"/>
          </w:tcPr>
          <w:p>
            <w:pPr>
              <w:pStyle w:val="Compact"/>
              <w:jc w:val="left"/>
            </w:pPr>
            <w:r>
              <w:t xml:space="preserve">9.2</w:t>
            </w:r>
          </w:p>
        </w:tc>
        <w:tc>
          <w:tcPr>
            <w:tcW w:type="dxa" w:w="1700"/>
          </w:tcPr>
          <w:p>
            <w:pPr>
              <w:pStyle w:val="Compact"/>
              <w:jc w:val="left"/>
            </w:pPr>
            <w:r>
              <w:t xml:space="preserve">settled = z ≤ rim_z on the centre.</w:t>
            </w:r>
          </w:p>
        </w:tc>
        <w:tc>
          <w:tcPr>
            <w:tcW w:type="dxa" w:w="3520"/>
          </w:tcPr>
          <w:p>
            <w:pPr>
              <w:pStyle w:val="Compact"/>
              <w:jc w:val="left"/>
            </w:pPr>
            <w:r>
              <w:t xml:space="preserve">Settled on the object's lowest point: z ≤ rim_z + half-height − 10 mm; 15 self-test cases.</w:t>
            </w:r>
          </w:p>
        </w:tc>
        <w:tc>
          <w:tcPr>
            <w:tcW w:type="dxa" w:w="2600"/>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tcW w:type="dxa" w:w="1180"/>
          </w:tcPr>
          <w:p>
            <w:pPr>
              <w:pStyle w:val="Compact"/>
              <w:jc w:val="left"/>
            </w:pPr>
            <w:r>
              <w:t xml:space="preserve">9.4</w:t>
            </w:r>
          </w:p>
        </w:tc>
        <w:tc>
          <w:tcPr>
            <w:tcW w:type="dxa" w:w="1700"/>
          </w:tcPr>
          <w:p>
            <w:pPr>
              <w:pStyle w:val="Compact"/>
              <w:jc w:val="left"/>
            </w:pPr>
            <w:r>
              <w:t xml:space="preserve">Verdict file from the motion checks.</w:t>
            </w:r>
          </w:p>
        </w:tc>
        <w:tc>
          <w:tcPr>
            <w:tcW w:type="dxa" w:w="3520"/>
          </w:tcPr>
          <w:p>
            <w:pPr>
              <w:pStyle w:val="Compact"/>
              <w:jc w:val="left"/>
            </w:pPr>
            <w:r>
              <w:t xml:space="preserve">One final verdict: motion, frame count (30 fps), target colour in the first frame, and zero trajectory re-sends.</w:t>
            </w:r>
          </w:p>
        </w:tc>
        <w:tc>
          <w:tcPr>
            <w:tcW w:type="dxa" w:w="2600"/>
          </w:tcPr>
          <w:p>
            <w:pPr>
              <w:pStyle w:val="Compact"/>
              <w:jc w:val="left"/>
            </w:pPr>
            <w:r>
              <w:t xml:space="preserve">A motion PASS with incomplete frames or a white target is not a usable episode.</w:t>
            </w:r>
          </w:p>
        </w:tc>
      </w:tr>
      <w:tr>
        <w:tc>
          <w:tcPr>
            <w:tcW w:type="dxa" w:w="1180"/>
          </w:tcPr>
          <w:p>
            <w:pPr>
              <w:pStyle w:val="Compact"/>
              <w:jc w:val="left"/>
            </w:pPr>
            <w:r>
              <w:t xml:space="preserve">9.3</w:t>
            </w:r>
          </w:p>
        </w:tc>
        <w:tc>
          <w:tcPr>
            <w:tcW w:type="dxa" w:w="1700"/>
          </w:tcPr>
          <w:p>
            <w:pPr>
              <w:pStyle w:val="Compact"/>
              <w:jc w:val="left"/>
            </w:pPr>
            <w:r>
              <w:t xml:space="preserve">Disturbed distractor: warning, decide at assembly.</w:t>
            </w:r>
          </w:p>
        </w:tc>
        <w:tc>
          <w:tcPr>
            <w:tcW w:type="dxa" w:w="3520"/>
          </w:tcPr>
          <w:p>
            <w:pPr>
              <w:pStyle w:val="Compact"/>
              <w:jc w:val="left"/>
            </w:pPr>
            <w:r>
              <w:t xml:space="preserve">Applied as written: episode 12 (cylinder pushed 22.9 mm by the open jaw, verified from the recording) kept, with distractors_moved carried into meta/episodes.jsonl.</w:t>
            </w:r>
          </w:p>
        </w:tc>
        <w:tc>
          <w:tcPr>
            <w:tcW w:type="dxa" w:w="2600"/>
          </w:tcPr>
          <w:p>
            <w:pPr>
              <w:pStyle w:val="Compact"/>
              <w:jc w:val="left"/>
            </w:pPr>
            <w:r>
              <w:t xml:space="preserve">The task succeeded; a labelled collision is more honest than a removed one.</w:t>
            </w:r>
          </w:p>
        </w:tc>
      </w:tr>
      <w:tr>
        <w:tc>
          <w:tcPr>
            <w:tcW w:type="dxa" w:w="1180"/>
          </w:tcPr>
          <w:p>
            <w:pPr>
              <w:pStyle w:val="Compact"/>
              <w:jc w:val="left"/>
            </w:pPr>
            <w:r>
              <w:t xml:space="preserve">10.1</w:t>
            </w:r>
          </w:p>
        </w:tc>
        <w:tc>
          <w:tcPr>
            <w:tcW w:type="dxa" w:w="1700"/>
          </w:tcPr>
          <w:p>
            <w:pPr>
              <w:pStyle w:val="Compact"/>
              <w:jc w:val="left"/>
            </w:pPr>
            <w:r>
              <w:t xml:space="preserve">30 fps, resized to 224×224.</w:t>
            </w:r>
          </w:p>
        </w:tc>
        <w:tc>
          <w:tcPr>
            <w:tcW w:type="dxa" w:w="3520"/>
          </w:tcPr>
          <w:p>
            <w:pPr>
              <w:pStyle w:val="Compact"/>
              <w:jc w:val="left"/>
            </w:pPr>
            <w:r>
              <w:t xml:space="preserve">Table camera renders 320×240 at 30 Hz; frames complete in all 60 episodes.</w:t>
            </w:r>
          </w:p>
        </w:tc>
        <w:tc>
          <w:tcPr>
            <w:tcW w:type="dxa" w:w="2600"/>
          </w:tcPr>
          <w:p>
            <w:pPr>
              <w:pStyle w:val="Compact"/>
              <w:jc w:val="left"/>
            </w:pPr>
            <w:r>
              <w:t xml:space="preserve">At 1280×960 and 10 Hz, 60 of ~210 frames reached the bag.</w:t>
            </w:r>
          </w:p>
        </w:tc>
      </w:tr>
      <w:tr>
        <w:tc>
          <w:tcPr>
            <w:tcW w:type="dxa" w:w="1180"/>
          </w:tcPr>
          <w:p>
            <w:pPr>
              <w:pStyle w:val="Compact"/>
              <w:jc w:val="left"/>
            </w:pPr>
            <w:r>
              <w:t xml:space="preserve">10.2</w:t>
            </w:r>
          </w:p>
        </w:tc>
        <w:tc>
          <w:tcPr>
            <w:tcW w:type="dxa" w:w="1700"/>
          </w:tcPr>
          <w:p>
            <w:pPr>
              <w:pStyle w:val="Compact"/>
              <w:jc w:val="left"/>
            </w:pPr>
            <w:r>
              <w:t xml:space="preserve">Recorder lifecycle via ros2 lifecycle set --no-daemon --spin-time 15.</w:t>
            </w:r>
          </w:p>
        </w:tc>
        <w:tc>
          <w:tcPr>
            <w:tcW w:type="dxa" w:w="3520"/>
          </w:tcPr>
          <w:p>
            <w:pPr>
              <w:pStyle w:val="Compact"/>
              <w:jc w:val="left"/>
            </w:pPr>
            <w:r>
              <w:t xml:space="preserve">Direct change_state service calls (recorder_lifecycle.py): 71 s → ~1 s per episode.</w:t>
            </w:r>
          </w:p>
        </w:tc>
        <w:tc>
          <w:tcPr>
            <w:tcW w:type="dxa" w:w="2600"/>
          </w:tcPr>
          <w:p>
            <w:pPr>
              <w:pStyle w:val="Compact"/>
              <w:jc w:val="left"/>
            </w:pPr>
            <w:r>
              <w:t xml:space="preserve">Each CLI call took ~31 s for a service available ~1 s after start.</w:t>
            </w:r>
          </w:p>
        </w:tc>
      </w:tr>
      <w:tr>
        <w:tc>
          <w:tcPr>
            <w:tcW w:type="dxa" w:w="1180"/>
          </w:tcPr>
          <w:p>
            <w:pPr>
              <w:pStyle w:val="Compact"/>
              <w:jc w:val="left"/>
            </w:pPr>
            <w:r>
              <w:t xml:space="preserve">10.1, 10.4</w:t>
            </w:r>
          </w:p>
        </w:tc>
        <w:tc>
          <w:tcPr>
            <w:tcW w:type="dxa" w:w="1700"/>
          </w:tcPr>
          <w:p>
            <w:pPr>
              <w:pStyle w:val="Compact"/>
              <w:jc w:val="left"/>
            </w:pPr>
            <w:r>
              <w:t xml:space="preserve">action from /joint_states; one image feature per contract (table / heldout).</w:t>
            </w:r>
          </w:p>
        </w:tc>
        <w:tc>
          <w:tcPr>
            <w:tcW w:type="dxa" w:w="3520"/>
          </w:tcPr>
          <w:p>
            <w:pPr>
              <w:pStyle w:val="Compact"/>
              <w:jc w:val="left"/>
            </w:pPr>
            <w:r>
              <w:t xml:space="preserve">action[t] = observation.state[t+1], each episode's last frame dropped; one image key, observation.images.top, in both splits; the camera configuration per episode in meta/episodes_extra.jsonl. The contracts now also record the controller's desired state and the gripper command (adjunct channels).</w:t>
            </w:r>
          </w:p>
        </w:tc>
        <w:tc>
          <w:tcPr>
            <w:tcW w:type="dxa" w:w="2600"/>
          </w:tcPr>
          <w:p>
            <w:pPr>
              <w:pStyle w:val="Compact"/>
              <w:jc w:val="left"/>
            </w:pPr>
            <w:r>
              <w:t xml:space="preserve">No command or desired-state topic was recorded, so the next achieved state is the action. A different key per split left a policy trained on train without its image input in held-out.</w:t>
            </w:r>
          </w:p>
        </w:tc>
      </w:tr>
      <w:tr>
        <w:tc>
          <w:tcPr>
            <w:tcW w:type="dxa" w:w="1180"/>
          </w:tcPr>
          <w:p>
            <w:pPr>
              <w:pStyle w:val="Compact"/>
              <w:jc w:val="left"/>
            </w:pPr>
            <w:r>
              <w:t xml:space="preserve">10.5</w:t>
            </w:r>
          </w:p>
        </w:tc>
        <w:tc>
          <w:tcPr>
            <w:tcW w:type="dxa" w:w="1700"/>
          </w:tcPr>
          <w:p>
            <w:pPr>
              <w:pStyle w:val="Compact"/>
              <w:jc w:val="left"/>
            </w:pPr>
            <w:r>
              <w:t xml:space="preserve">Convert without PyTorch: pyarrow and ffmpeg write the layout by hand.</w:t>
            </w:r>
          </w:p>
        </w:tc>
        <w:tc>
          <w:tcPr>
            <w:tcW w:type="dxa" w:w="3520"/>
          </w:tcPr>
          <w:p>
            <w:pPr>
              <w:pStyle w:val="Compact"/>
              <w:jc w:val="left"/>
            </w:pPr>
            <w:r>
              <w:t xml:space="preserve">port_bag.py writes with LeRobot's own writer (create / add_frame / save_episode / finalize), in a CPU-only venv on the WSL2 host (lerobot 0.4.4, CPU torch, 2.3 GB), reading the bags with mcap-ros2-support; the pin is in scripts/requirements-lerobot.txt.</w:t>
            </w:r>
          </w:p>
        </w:tc>
        <w:tc>
          <w:tcPr>
            <w:tcW w:type="dxa" w:w="2600"/>
          </w:tcPr>
          <w:p>
            <w:pPr>
              <w:pStyle w:val="Compact"/>
              <w:jc w:val="left"/>
            </w:pPr>
            <w:r>
              <w:t xml:space="preserve">The hand-written layout did not load (InvalidVersion 'v3.0-manual'; v2.x file layout, no statistics, per-episode index, wall-clock timestamps).</w:t>
            </w:r>
          </w:p>
        </w:tc>
      </w:tr>
      <w:tr>
        <w:tc>
          <w:tcPr>
            <w:tcW w:type="dxa" w:w="1180"/>
          </w:tcPr>
          <w:p>
            <w:pPr>
              <w:pStyle w:val="Compact"/>
              <w:jc w:val="left"/>
            </w:pPr>
            <w:r>
              <w:t xml:space="preserve">10.6</w:t>
            </w:r>
          </w:p>
        </w:tc>
        <w:tc>
          <w:tcPr>
            <w:tcW w:type="dxa" w:w="1700"/>
          </w:tcPr>
          <w:p>
            <w:pPr>
              <w:pStyle w:val="Compact"/>
              <w:jc w:val="left"/>
            </w:pPr>
            <w:r>
              <w:t xml:space="preserve">Validation deferred to a machine with PyTorch.</w:t>
            </w:r>
          </w:p>
        </w:tc>
        <w:tc>
          <w:tcPr>
            <w:tcW w:type="dxa" w:w="3520"/>
          </w:tcPr>
          <w:p>
            <w:pPr>
              <w:pStyle w:val="Compact"/>
              <w:jc w:val="left"/>
            </w:pPr>
            <w:r>
              <w:t xml:space="preserve">Done 2026-10-05: both splits load offline; action[t] == state[t+1] on every row; the loader's image equals the frame decoded straight from the MP4 at that index; statistics present; same image key; SmolVLA CPU smoke-train, loss finite at every step.</w:t>
            </w:r>
          </w:p>
        </w:tc>
        <w:tc>
          <w:tcPr>
            <w:tcW w:type="dxa" w:w="2600"/>
          </w:tcPr>
          <w:p>
            <w:pPr>
              <w:pStyle w:val="Compact"/>
              <w:jc w:val="left"/>
            </w:pPr>
            <w:r>
              <w:t xml:space="preserve">Measured on the laptop; numbers in datasets/README.md.</w:t>
            </w:r>
          </w:p>
        </w:tc>
      </w:tr>
      <w:tr>
        <w:tc>
          <w:tcPr>
            <w:tcW w:type="dxa" w:w="1180"/>
          </w:tcPr>
          <w:p>
            <w:pPr>
              <w:pStyle w:val="Compact"/>
              <w:jc w:val="left"/>
            </w:pPr>
            <w:r>
              <w:t xml:space="preserve">10.8</w:t>
            </w:r>
          </w:p>
        </w:tc>
        <w:tc>
          <w:tcPr>
            <w:tcW w:type="dxa" w:w="1700"/>
          </w:tcPr>
          <w:p>
            <w:pPr>
              <w:pStyle w:val="Compact"/>
              <w:jc w:val="left"/>
            </w:pPr>
            <w:r>
              <w:t xml:space="preserve">~5 GB of bags.</w:t>
            </w:r>
          </w:p>
        </w:tc>
        <w:tc>
          <w:tcPr>
            <w:tcW w:type="dxa" w:w="3520"/>
          </w:tcPr>
          <w:p>
            <w:pPr>
              <w:pStyle w:val="Compact"/>
              <w:jc w:val="left"/>
            </w:pPr>
            <w:r>
              <w:t xml:space="preserve">8.1 GB of bags (container only); converted datasets 19 MB.</w:t>
            </w:r>
          </w:p>
        </w:tc>
        <w:tc>
          <w:tcPr>
            <w:tcW w:type="dxa" w:w="2600"/>
          </w:tcPr>
          <w:p>
            <w:pPr>
              <w:pStyle w:val="Compact"/>
              <w:jc w:val="left"/>
            </w:pPr>
            <w:r>
              <w:t xml:space="preserve">Measured.</w:t>
            </w:r>
          </w:p>
        </w:tc>
      </w:tr>
      <w:tr>
        <w:tc>
          <w:tcPr>
            <w:tcW w:type="dxa" w:w="1180"/>
          </w:tcPr>
          <w:p>
            <w:pPr>
              <w:pStyle w:val="Compact"/>
              <w:jc w:val="left"/>
            </w:pPr>
            <w:r>
              <w:t xml:space="preserve">11.4–11.6</w:t>
            </w:r>
          </w:p>
        </w:tc>
        <w:tc>
          <w:tcPr>
            <w:tcW w:type="dxa" w:w="1700"/>
          </w:tcPr>
          <w:p>
            <w:pPr>
              <w:pStyle w:val="Compact"/>
              <w:jc w:val="left"/>
            </w:pPr>
            <w:r>
              <w:t xml:space="preserve">Package, RUNNING.md, preflight.sh.</w:t>
            </w:r>
          </w:p>
        </w:tc>
        <w:tc>
          <w:tcPr>
            <w:tcW w:type="dxa" w:w="3520"/>
          </w:tcPr>
          <w:p>
            <w:pPr>
              <w:pStyle w:val="Compact"/>
              <w:jc w:val="left"/>
            </w:pPr>
            <w:r>
              <w:t xml:space="preserve">Plus two launch files: pick_and_sort_and_place_demo.launch.py (Gazebo GUI) and pick_and_sort_and_place_no_gui_demo.launch.py (headless, exit code 0 = PASS), episode:=N.</w:t>
            </w:r>
          </w:p>
        </w:tc>
        <w:tc>
          <w:tcPr>
            <w:tcW w:type="dxa" w:w="2600"/>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numPr>
          <w:ilvl w:val="0"/>
          <w:numId w:val="1001"/>
        </w:numPr>
        <w:pStyle w:val="Compact"/>
      </w:pPr>
      <w:r>
        <w:rPr>
          <w:bCs/>
          <w:b/>
        </w:rPr>
        <w:t xml:space="preserve">A dataset's timestamps must come from header (simulation) time.</w:t>
      </w:r>
      <w:r>
        <w:t xml:space="preserve"> Bag receive time stretched an episode's 20.6 simulated seconds over 106.8 s of wall clock; a loader that seeks video by timestamp then returns the wrong frame without raising an error.</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