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917248" w14:textId="77777777" w:rsidR="00A26520" w:rsidRDefault="00A26520"/>
    <w:p w14:paraId="01DA28C0" w14:textId="7E112963" w:rsidR="00A26520" w:rsidRDefault="00A26520" w:rsidP="00554190">
      <w:pPr>
        <w:pStyle w:val="a7"/>
        <w:jc w:val="center"/>
      </w:pPr>
      <w:r>
        <w:t xml:space="preserve">OHDSI </w:t>
      </w:r>
      <w:r w:rsidR="00640D6C">
        <w:t xml:space="preserve">Comparison of </w:t>
      </w:r>
      <w:r w:rsidR="00043224">
        <w:t xml:space="preserve">febuxostat and allopurinol </w:t>
      </w:r>
      <w:r w:rsidR="00640D6C">
        <w:t xml:space="preserve">in </w:t>
      </w:r>
      <w:r w:rsidR="00043224">
        <w:t>gout</w:t>
      </w:r>
    </w:p>
    <w:p w14:paraId="4EE5C3B0" w14:textId="19596D57" w:rsidR="00DA5BC8" w:rsidRPr="00DA5BC8" w:rsidRDefault="0092461C">
      <w:r>
        <w:rPr>
          <w:b/>
        </w:rPr>
        <w:t>Version</w:t>
      </w:r>
      <w:r w:rsidR="00FE2F14">
        <w:rPr>
          <w:b/>
        </w:rPr>
        <w:t>:</w:t>
      </w:r>
      <w:r>
        <w:rPr>
          <w:b/>
        </w:rPr>
        <w:t xml:space="preserve"> </w:t>
      </w:r>
      <w:r w:rsidR="002E5446">
        <w:t>0</w:t>
      </w:r>
      <w:r w:rsidR="00A40668">
        <w:t>.1</w:t>
      </w:r>
    </w:p>
    <w:p w14:paraId="7E43F05A" w14:textId="77777777" w:rsidR="00FE2F14" w:rsidRDefault="00FE2F14">
      <w:pPr>
        <w:rPr>
          <w:b/>
        </w:rPr>
      </w:pPr>
    </w:p>
    <w:p w14:paraId="0F68A568" w14:textId="77777777" w:rsidR="00C84B89" w:rsidRPr="00554190" w:rsidRDefault="0074593E">
      <w:pPr>
        <w:rPr>
          <w:b/>
        </w:rPr>
      </w:pPr>
      <w:r w:rsidRPr="00554190">
        <w:rPr>
          <w:b/>
        </w:rPr>
        <w:t>Author</w:t>
      </w:r>
      <w:r w:rsidR="00A26520" w:rsidRPr="00554190">
        <w:rPr>
          <w:b/>
        </w:rPr>
        <w:t>s</w:t>
      </w:r>
      <w:r w:rsidRPr="00554190">
        <w:rPr>
          <w:b/>
        </w:rPr>
        <w:t>:</w:t>
      </w:r>
      <w:r w:rsidR="00A26520" w:rsidRPr="00554190">
        <w:rPr>
          <w:b/>
        </w:rPr>
        <w:t xml:space="preserve">  </w:t>
      </w:r>
    </w:p>
    <w:p w14:paraId="485315EB" w14:textId="5277FDDC" w:rsidR="00F05D4D" w:rsidRDefault="00F05D4D" w:rsidP="00CA21CE">
      <w:pPr>
        <w:rPr>
          <w:lang w:eastAsia="ko-KR"/>
        </w:rPr>
      </w:pPr>
      <w:r>
        <w:rPr>
          <w:lang w:eastAsia="ko-KR"/>
        </w:rPr>
        <w:t xml:space="preserve">Seng Chan You, MD, </w:t>
      </w:r>
      <w:proofErr w:type="spellStart"/>
      <w:r>
        <w:rPr>
          <w:lang w:eastAsia="ko-KR"/>
        </w:rPr>
        <w:t>Ajou</w:t>
      </w:r>
      <w:proofErr w:type="spellEnd"/>
      <w:r>
        <w:rPr>
          <w:lang w:eastAsia="ko-KR"/>
        </w:rPr>
        <w:t xml:space="preserve"> University, Korea</w:t>
      </w:r>
    </w:p>
    <w:p w14:paraId="6052C5B3" w14:textId="404FD7BB" w:rsidR="002E5446" w:rsidRDefault="002E5446" w:rsidP="00CA21CE">
      <w:pPr>
        <w:rPr>
          <w:lang w:eastAsia="ko-KR"/>
        </w:rPr>
      </w:pPr>
      <w:r>
        <w:rPr>
          <w:rFonts w:hint="eastAsia"/>
          <w:lang w:eastAsia="ko-KR"/>
        </w:rPr>
        <w:t>J</w:t>
      </w:r>
      <w:r>
        <w:rPr>
          <w:lang w:eastAsia="ko-KR"/>
        </w:rPr>
        <w:t xml:space="preserve">u-Yang Jung, MD, </w:t>
      </w:r>
      <w:proofErr w:type="spellStart"/>
      <w:r>
        <w:rPr>
          <w:lang w:eastAsia="ko-KR"/>
        </w:rPr>
        <w:t>Ajou</w:t>
      </w:r>
      <w:proofErr w:type="spellEnd"/>
      <w:r>
        <w:rPr>
          <w:lang w:eastAsia="ko-KR"/>
        </w:rPr>
        <w:t xml:space="preserve"> University, Korea</w:t>
      </w:r>
    </w:p>
    <w:p w14:paraId="5213F740" w14:textId="672CEA14" w:rsidR="002E5446" w:rsidRDefault="002E5446" w:rsidP="00CA21CE">
      <w:pPr>
        <w:rPr>
          <w:rFonts w:hint="eastAsia"/>
          <w:lang w:eastAsia="ko-KR"/>
        </w:rPr>
      </w:pPr>
      <w:r>
        <w:rPr>
          <w:rFonts w:hint="eastAsia"/>
          <w:lang w:eastAsia="ko-KR"/>
        </w:rPr>
        <w:t>C</w:t>
      </w:r>
      <w:r>
        <w:rPr>
          <w:lang w:eastAsia="ko-KR"/>
        </w:rPr>
        <w:t xml:space="preserve">hang-Hee Su, MD, PhD, </w:t>
      </w:r>
      <w:proofErr w:type="spellStart"/>
      <w:r>
        <w:rPr>
          <w:lang w:eastAsia="ko-KR"/>
        </w:rPr>
        <w:t>Ajou</w:t>
      </w:r>
      <w:proofErr w:type="spellEnd"/>
      <w:r>
        <w:rPr>
          <w:lang w:eastAsia="ko-KR"/>
        </w:rPr>
        <w:t xml:space="preserve"> University, Korea</w:t>
      </w:r>
    </w:p>
    <w:p w14:paraId="26E58080" w14:textId="1475B822" w:rsidR="0071742D" w:rsidRDefault="0071742D" w:rsidP="00CA21CE">
      <w:r>
        <w:t xml:space="preserve">Rae Woong Park, MD, PhD, </w:t>
      </w:r>
      <w:proofErr w:type="spellStart"/>
      <w:r>
        <w:t>Ajou</w:t>
      </w:r>
      <w:proofErr w:type="spellEnd"/>
      <w:r>
        <w:t xml:space="preserve"> University, Korea</w:t>
      </w:r>
    </w:p>
    <w:p w14:paraId="5E922FC6" w14:textId="77777777" w:rsidR="00CA21CE" w:rsidRPr="00CB5628" w:rsidRDefault="00CA21CE"/>
    <w:p w14:paraId="6B1D3C49" w14:textId="462BE983" w:rsidR="009D45C8" w:rsidRDefault="00A26520">
      <w:r w:rsidRPr="00554190">
        <w:rPr>
          <w:b/>
        </w:rPr>
        <w:t>Date</w:t>
      </w:r>
      <w:r w:rsidR="0074593E" w:rsidRPr="00554190">
        <w:rPr>
          <w:b/>
        </w:rPr>
        <w:t>:</w:t>
      </w:r>
      <w:r w:rsidR="00EE506E">
        <w:t xml:space="preserve"> </w:t>
      </w:r>
      <w:r w:rsidR="002E5446">
        <w:rPr>
          <w:rFonts w:hint="eastAsia"/>
          <w:lang w:eastAsia="ko-KR"/>
        </w:rPr>
        <w:t>S</w:t>
      </w:r>
      <w:r w:rsidR="002E5446">
        <w:rPr>
          <w:lang w:eastAsia="ko-KR"/>
        </w:rPr>
        <w:t>eptember</w:t>
      </w:r>
      <w:r w:rsidR="00F7418F">
        <w:rPr>
          <w:lang w:eastAsia="ko-KR"/>
        </w:rPr>
        <w:t xml:space="preserve"> </w:t>
      </w:r>
      <w:r w:rsidR="002E5446">
        <w:rPr>
          <w:lang w:eastAsia="ko-KR"/>
        </w:rPr>
        <w:t>9</w:t>
      </w:r>
      <w:r w:rsidR="00F7418F">
        <w:rPr>
          <w:lang w:eastAsia="ko-KR"/>
        </w:rPr>
        <w:t>, 201</w:t>
      </w:r>
      <w:r w:rsidR="002E5446">
        <w:rPr>
          <w:lang w:eastAsia="ko-KR"/>
        </w:rPr>
        <w:t>8</w:t>
      </w:r>
    </w:p>
    <w:p w14:paraId="094FFE2C" w14:textId="77777777" w:rsidR="00EE506E" w:rsidRDefault="00EE506E"/>
    <w:p w14:paraId="5CD68A1E" w14:textId="77777777" w:rsidR="00EE506E" w:rsidRDefault="00EE506E">
      <w:r w:rsidRPr="00554190">
        <w:rPr>
          <w:b/>
        </w:rPr>
        <w:t>Acknowledgement:</w:t>
      </w:r>
      <w:r>
        <w:t xml:space="preserve">  The analysis is </w:t>
      </w:r>
      <w:r w:rsidR="00E321CF">
        <w:t>based in part</w:t>
      </w:r>
      <w:r>
        <w:t xml:space="preserve"> on work from the Observational Health Sciences and Informatics collaborative. OHDSI (</w:t>
      </w:r>
      <w:hyperlink r:id="rId8" w:history="1">
        <w:r w:rsidRPr="00923FF9">
          <w:rPr>
            <w:rStyle w:val="a3"/>
          </w:rPr>
          <w:t>http://ohdsi.org</w:t>
        </w:r>
      </w:hyperlink>
      <w:r>
        <w:t>) is</w:t>
      </w:r>
      <w:r w:rsidRPr="00EE506E">
        <w:t xml:space="preserve"> a multi-stakeholder, interdisciplinary collaborative to create open-source solutions that bring out the value of observational health data through large-scale analytics</w:t>
      </w:r>
      <w:r>
        <w:t xml:space="preserve">.  </w:t>
      </w:r>
    </w:p>
    <w:p w14:paraId="41C6573D" w14:textId="77777777" w:rsidR="00E321CF" w:rsidRPr="00EE506E" w:rsidRDefault="00E321CF"/>
    <w:p w14:paraId="710D8F08" w14:textId="77777777" w:rsidR="00A26520" w:rsidRDefault="00A26520">
      <w:pPr>
        <w:rPr>
          <w:rFonts w:asciiTheme="majorHAnsi" w:eastAsiaTheme="majorEastAsia" w:hAnsiTheme="majorHAnsi" w:cstheme="majorBidi"/>
          <w:b/>
          <w:bCs/>
          <w:color w:val="365F91" w:themeColor="accent1" w:themeShade="BF"/>
          <w:sz w:val="28"/>
          <w:szCs w:val="28"/>
        </w:rPr>
      </w:pPr>
      <w:r>
        <w:br w:type="page"/>
      </w:r>
    </w:p>
    <w:sdt>
      <w:sdtPr>
        <w:rPr>
          <w:rFonts w:asciiTheme="minorHAnsi" w:eastAsiaTheme="minorHAnsi" w:hAnsiTheme="minorHAnsi" w:cstheme="minorBidi"/>
          <w:b w:val="0"/>
          <w:bCs w:val="0"/>
          <w:color w:val="auto"/>
          <w:sz w:val="22"/>
          <w:szCs w:val="22"/>
          <w:lang w:eastAsia="en-US"/>
        </w:rPr>
        <w:id w:val="-1334219256"/>
        <w:docPartObj>
          <w:docPartGallery w:val="Table of Contents"/>
          <w:docPartUnique/>
        </w:docPartObj>
      </w:sdtPr>
      <w:sdtEndPr>
        <w:rPr>
          <w:rFonts w:eastAsia="Batang"/>
          <w:noProof/>
        </w:rPr>
      </w:sdtEndPr>
      <w:sdtContent>
        <w:p w14:paraId="303517E0" w14:textId="77777777" w:rsidR="000F0CE6" w:rsidRDefault="00572D03">
          <w:pPr>
            <w:pStyle w:val="TOC"/>
          </w:pPr>
          <w:r>
            <w:t>Table of c</w:t>
          </w:r>
          <w:r w:rsidR="000F0CE6">
            <w:t>ontents</w:t>
          </w:r>
        </w:p>
        <w:p w14:paraId="6163939C" w14:textId="7479053D" w:rsidR="0006023B" w:rsidRDefault="000F0CE6">
          <w:pPr>
            <w:pStyle w:val="10"/>
            <w:tabs>
              <w:tab w:val="left" w:pos="440"/>
              <w:tab w:val="right" w:leader="dot" w:pos="9350"/>
            </w:tabs>
            <w:rPr>
              <w:rFonts w:eastAsiaTheme="minorEastAsia"/>
              <w:noProof/>
              <w:kern w:val="2"/>
              <w:sz w:val="20"/>
              <w:lang w:eastAsia="ko-KR"/>
            </w:rPr>
          </w:pPr>
          <w:r>
            <w:fldChar w:fldCharType="begin"/>
          </w:r>
          <w:r>
            <w:instrText xml:space="preserve"> TOC \o "1-3" \h \z \u </w:instrText>
          </w:r>
          <w:r>
            <w:fldChar w:fldCharType="separate"/>
          </w:r>
          <w:hyperlink w:anchor="_Toc470944203" w:history="1">
            <w:r w:rsidR="0006023B" w:rsidRPr="00465382">
              <w:rPr>
                <w:rStyle w:val="a3"/>
                <w:noProof/>
              </w:rPr>
              <w:t>2</w:t>
            </w:r>
            <w:r w:rsidR="0006023B">
              <w:rPr>
                <w:rFonts w:eastAsiaTheme="minorEastAsia"/>
                <w:noProof/>
                <w:kern w:val="2"/>
                <w:sz w:val="20"/>
                <w:lang w:eastAsia="ko-KR"/>
              </w:rPr>
              <w:tab/>
            </w:r>
            <w:r w:rsidR="0006023B" w:rsidRPr="00465382">
              <w:rPr>
                <w:rStyle w:val="a3"/>
                <w:noProof/>
              </w:rPr>
              <w:t>List of abbreviations</w:t>
            </w:r>
            <w:r w:rsidR="0006023B">
              <w:rPr>
                <w:noProof/>
                <w:webHidden/>
              </w:rPr>
              <w:tab/>
            </w:r>
            <w:r w:rsidR="0006023B">
              <w:rPr>
                <w:noProof/>
                <w:webHidden/>
              </w:rPr>
              <w:fldChar w:fldCharType="begin"/>
            </w:r>
            <w:r w:rsidR="0006023B">
              <w:rPr>
                <w:noProof/>
                <w:webHidden/>
              </w:rPr>
              <w:instrText xml:space="preserve"> PAGEREF _Toc470944203 \h </w:instrText>
            </w:r>
            <w:r w:rsidR="0006023B">
              <w:rPr>
                <w:noProof/>
                <w:webHidden/>
              </w:rPr>
            </w:r>
            <w:r w:rsidR="0006023B">
              <w:rPr>
                <w:noProof/>
                <w:webHidden/>
              </w:rPr>
              <w:fldChar w:fldCharType="separate"/>
            </w:r>
            <w:r w:rsidR="0006023B">
              <w:rPr>
                <w:noProof/>
                <w:webHidden/>
              </w:rPr>
              <w:t>2</w:t>
            </w:r>
            <w:r w:rsidR="0006023B">
              <w:rPr>
                <w:noProof/>
                <w:webHidden/>
              </w:rPr>
              <w:fldChar w:fldCharType="end"/>
            </w:r>
          </w:hyperlink>
        </w:p>
        <w:p w14:paraId="4422BF8F" w14:textId="34D0A56B" w:rsidR="0006023B" w:rsidRDefault="00AF2682">
          <w:pPr>
            <w:pStyle w:val="10"/>
            <w:tabs>
              <w:tab w:val="left" w:pos="440"/>
              <w:tab w:val="right" w:leader="dot" w:pos="9350"/>
            </w:tabs>
            <w:rPr>
              <w:rFonts w:eastAsiaTheme="minorEastAsia"/>
              <w:noProof/>
              <w:kern w:val="2"/>
              <w:sz w:val="20"/>
              <w:lang w:eastAsia="ko-KR"/>
            </w:rPr>
          </w:pPr>
          <w:hyperlink w:anchor="_Toc470944204" w:history="1">
            <w:r w:rsidR="0006023B" w:rsidRPr="00465382">
              <w:rPr>
                <w:rStyle w:val="a3"/>
                <w:noProof/>
              </w:rPr>
              <w:t>3</w:t>
            </w:r>
            <w:r w:rsidR="0006023B">
              <w:rPr>
                <w:rFonts w:eastAsiaTheme="minorEastAsia"/>
                <w:noProof/>
                <w:kern w:val="2"/>
                <w:sz w:val="20"/>
                <w:lang w:eastAsia="ko-KR"/>
              </w:rPr>
              <w:tab/>
            </w:r>
            <w:r w:rsidR="0006023B" w:rsidRPr="00465382">
              <w:rPr>
                <w:rStyle w:val="a3"/>
                <w:noProof/>
              </w:rPr>
              <w:t>Abstract</w:t>
            </w:r>
            <w:r w:rsidR="0006023B">
              <w:rPr>
                <w:noProof/>
                <w:webHidden/>
              </w:rPr>
              <w:tab/>
            </w:r>
            <w:r w:rsidR="0006023B">
              <w:rPr>
                <w:noProof/>
                <w:webHidden/>
              </w:rPr>
              <w:fldChar w:fldCharType="begin"/>
            </w:r>
            <w:r w:rsidR="0006023B">
              <w:rPr>
                <w:noProof/>
                <w:webHidden/>
              </w:rPr>
              <w:instrText xml:space="preserve"> PAGEREF _Toc470944204 \h </w:instrText>
            </w:r>
            <w:r w:rsidR="0006023B">
              <w:rPr>
                <w:noProof/>
                <w:webHidden/>
              </w:rPr>
            </w:r>
            <w:r w:rsidR="0006023B">
              <w:rPr>
                <w:noProof/>
                <w:webHidden/>
              </w:rPr>
              <w:fldChar w:fldCharType="separate"/>
            </w:r>
            <w:r w:rsidR="0006023B">
              <w:rPr>
                <w:noProof/>
                <w:webHidden/>
              </w:rPr>
              <w:t>3</w:t>
            </w:r>
            <w:r w:rsidR="0006023B">
              <w:rPr>
                <w:noProof/>
                <w:webHidden/>
              </w:rPr>
              <w:fldChar w:fldCharType="end"/>
            </w:r>
          </w:hyperlink>
        </w:p>
        <w:p w14:paraId="041B9C68" w14:textId="4BEED533" w:rsidR="0006023B" w:rsidRDefault="00AF2682">
          <w:pPr>
            <w:pStyle w:val="10"/>
            <w:tabs>
              <w:tab w:val="left" w:pos="440"/>
              <w:tab w:val="right" w:leader="dot" w:pos="9350"/>
            </w:tabs>
            <w:rPr>
              <w:rFonts w:eastAsiaTheme="minorEastAsia"/>
              <w:noProof/>
              <w:kern w:val="2"/>
              <w:sz w:val="20"/>
              <w:lang w:eastAsia="ko-KR"/>
            </w:rPr>
          </w:pPr>
          <w:hyperlink w:anchor="_Toc470944205" w:history="1">
            <w:r w:rsidR="0006023B" w:rsidRPr="00465382">
              <w:rPr>
                <w:rStyle w:val="a3"/>
                <w:noProof/>
              </w:rPr>
              <w:t>4</w:t>
            </w:r>
            <w:r w:rsidR="0006023B">
              <w:rPr>
                <w:rFonts w:eastAsiaTheme="minorEastAsia"/>
                <w:noProof/>
                <w:kern w:val="2"/>
                <w:sz w:val="20"/>
                <w:lang w:eastAsia="ko-KR"/>
              </w:rPr>
              <w:tab/>
            </w:r>
            <w:r w:rsidR="0006023B" w:rsidRPr="00465382">
              <w:rPr>
                <w:rStyle w:val="a3"/>
                <w:noProof/>
              </w:rPr>
              <w:t>Rationale and Background</w:t>
            </w:r>
            <w:r w:rsidR="0006023B">
              <w:rPr>
                <w:noProof/>
                <w:webHidden/>
              </w:rPr>
              <w:tab/>
            </w:r>
            <w:r w:rsidR="0006023B">
              <w:rPr>
                <w:noProof/>
                <w:webHidden/>
              </w:rPr>
              <w:fldChar w:fldCharType="begin"/>
            </w:r>
            <w:r w:rsidR="0006023B">
              <w:rPr>
                <w:noProof/>
                <w:webHidden/>
              </w:rPr>
              <w:instrText xml:space="preserve"> PAGEREF _Toc470944205 \h </w:instrText>
            </w:r>
            <w:r w:rsidR="0006023B">
              <w:rPr>
                <w:noProof/>
                <w:webHidden/>
              </w:rPr>
            </w:r>
            <w:r w:rsidR="0006023B">
              <w:rPr>
                <w:noProof/>
                <w:webHidden/>
              </w:rPr>
              <w:fldChar w:fldCharType="separate"/>
            </w:r>
            <w:r w:rsidR="0006023B">
              <w:rPr>
                <w:noProof/>
                <w:webHidden/>
              </w:rPr>
              <w:t>3</w:t>
            </w:r>
            <w:r w:rsidR="0006023B">
              <w:rPr>
                <w:noProof/>
                <w:webHidden/>
              </w:rPr>
              <w:fldChar w:fldCharType="end"/>
            </w:r>
          </w:hyperlink>
        </w:p>
        <w:p w14:paraId="324BF1E3" w14:textId="045A1BB8" w:rsidR="0006023B" w:rsidRDefault="00AF2682">
          <w:pPr>
            <w:pStyle w:val="10"/>
            <w:tabs>
              <w:tab w:val="left" w:pos="440"/>
              <w:tab w:val="right" w:leader="dot" w:pos="9350"/>
            </w:tabs>
            <w:rPr>
              <w:rFonts w:eastAsiaTheme="minorEastAsia"/>
              <w:noProof/>
              <w:kern w:val="2"/>
              <w:sz w:val="20"/>
              <w:lang w:eastAsia="ko-KR"/>
            </w:rPr>
          </w:pPr>
          <w:hyperlink w:anchor="_Toc470944206" w:history="1">
            <w:r w:rsidR="0006023B" w:rsidRPr="00465382">
              <w:rPr>
                <w:rStyle w:val="a3"/>
                <w:noProof/>
              </w:rPr>
              <w:t>5</w:t>
            </w:r>
            <w:r w:rsidR="0006023B">
              <w:rPr>
                <w:rFonts w:eastAsiaTheme="minorEastAsia"/>
                <w:noProof/>
                <w:kern w:val="2"/>
                <w:sz w:val="20"/>
                <w:lang w:eastAsia="ko-KR"/>
              </w:rPr>
              <w:tab/>
            </w:r>
            <w:r w:rsidR="0006023B" w:rsidRPr="00465382">
              <w:rPr>
                <w:rStyle w:val="a3"/>
                <w:noProof/>
              </w:rPr>
              <w:t>Research Questions and Objectives</w:t>
            </w:r>
            <w:r w:rsidR="0006023B">
              <w:rPr>
                <w:noProof/>
                <w:webHidden/>
              </w:rPr>
              <w:tab/>
            </w:r>
            <w:r w:rsidR="0006023B">
              <w:rPr>
                <w:noProof/>
                <w:webHidden/>
              </w:rPr>
              <w:fldChar w:fldCharType="begin"/>
            </w:r>
            <w:r w:rsidR="0006023B">
              <w:rPr>
                <w:noProof/>
                <w:webHidden/>
              </w:rPr>
              <w:instrText xml:space="preserve"> PAGEREF _Toc470944206 \h </w:instrText>
            </w:r>
            <w:r w:rsidR="0006023B">
              <w:rPr>
                <w:noProof/>
                <w:webHidden/>
              </w:rPr>
            </w:r>
            <w:r w:rsidR="0006023B">
              <w:rPr>
                <w:noProof/>
                <w:webHidden/>
              </w:rPr>
              <w:fldChar w:fldCharType="separate"/>
            </w:r>
            <w:r w:rsidR="0006023B">
              <w:rPr>
                <w:noProof/>
                <w:webHidden/>
              </w:rPr>
              <w:t>3</w:t>
            </w:r>
            <w:r w:rsidR="0006023B">
              <w:rPr>
                <w:noProof/>
                <w:webHidden/>
              </w:rPr>
              <w:fldChar w:fldCharType="end"/>
            </w:r>
          </w:hyperlink>
        </w:p>
        <w:p w14:paraId="268B5C78" w14:textId="18FD2690" w:rsidR="0006023B" w:rsidRDefault="00AF2682">
          <w:pPr>
            <w:pStyle w:val="20"/>
            <w:tabs>
              <w:tab w:val="left" w:pos="800"/>
              <w:tab w:val="right" w:leader="dot" w:pos="9350"/>
            </w:tabs>
            <w:rPr>
              <w:rFonts w:eastAsiaTheme="minorEastAsia"/>
              <w:noProof/>
              <w:kern w:val="2"/>
              <w:sz w:val="20"/>
              <w:lang w:eastAsia="ko-KR"/>
            </w:rPr>
          </w:pPr>
          <w:hyperlink w:anchor="_Toc470944207" w:history="1">
            <w:r w:rsidR="0006023B" w:rsidRPr="00465382">
              <w:rPr>
                <w:rStyle w:val="a3"/>
                <w:noProof/>
              </w:rPr>
              <w:t>5.1</w:t>
            </w:r>
            <w:r w:rsidR="0006023B">
              <w:rPr>
                <w:rFonts w:eastAsiaTheme="minorEastAsia"/>
                <w:noProof/>
                <w:kern w:val="2"/>
                <w:sz w:val="20"/>
                <w:lang w:eastAsia="ko-KR"/>
              </w:rPr>
              <w:tab/>
            </w:r>
            <w:r w:rsidR="0006023B" w:rsidRPr="00465382">
              <w:rPr>
                <w:rStyle w:val="a3"/>
                <w:noProof/>
              </w:rPr>
              <w:t>Research Questions</w:t>
            </w:r>
            <w:r w:rsidR="0006023B">
              <w:rPr>
                <w:noProof/>
                <w:webHidden/>
              </w:rPr>
              <w:tab/>
            </w:r>
            <w:r w:rsidR="0006023B">
              <w:rPr>
                <w:noProof/>
                <w:webHidden/>
              </w:rPr>
              <w:fldChar w:fldCharType="begin"/>
            </w:r>
            <w:r w:rsidR="0006023B">
              <w:rPr>
                <w:noProof/>
                <w:webHidden/>
              </w:rPr>
              <w:instrText xml:space="preserve"> PAGEREF _Toc470944207 \h </w:instrText>
            </w:r>
            <w:r w:rsidR="0006023B">
              <w:rPr>
                <w:noProof/>
                <w:webHidden/>
              </w:rPr>
            </w:r>
            <w:r w:rsidR="0006023B">
              <w:rPr>
                <w:noProof/>
                <w:webHidden/>
              </w:rPr>
              <w:fldChar w:fldCharType="separate"/>
            </w:r>
            <w:r w:rsidR="0006023B">
              <w:rPr>
                <w:noProof/>
                <w:webHidden/>
              </w:rPr>
              <w:t>3</w:t>
            </w:r>
            <w:r w:rsidR="0006023B">
              <w:rPr>
                <w:noProof/>
                <w:webHidden/>
              </w:rPr>
              <w:fldChar w:fldCharType="end"/>
            </w:r>
          </w:hyperlink>
        </w:p>
        <w:p w14:paraId="4B673A9D" w14:textId="1F32625B" w:rsidR="0006023B" w:rsidRDefault="00AF2682">
          <w:pPr>
            <w:pStyle w:val="20"/>
            <w:tabs>
              <w:tab w:val="left" w:pos="800"/>
              <w:tab w:val="right" w:leader="dot" w:pos="9350"/>
            </w:tabs>
            <w:rPr>
              <w:rFonts w:eastAsiaTheme="minorEastAsia"/>
              <w:noProof/>
              <w:kern w:val="2"/>
              <w:sz w:val="20"/>
              <w:lang w:eastAsia="ko-KR"/>
            </w:rPr>
          </w:pPr>
          <w:hyperlink w:anchor="_Toc470944208" w:history="1">
            <w:r w:rsidR="0006023B" w:rsidRPr="00465382">
              <w:rPr>
                <w:rStyle w:val="a3"/>
                <w:noProof/>
              </w:rPr>
              <w:t>5.2</w:t>
            </w:r>
            <w:r w:rsidR="0006023B">
              <w:rPr>
                <w:rFonts w:eastAsiaTheme="minorEastAsia"/>
                <w:noProof/>
                <w:kern w:val="2"/>
                <w:sz w:val="20"/>
                <w:lang w:eastAsia="ko-KR"/>
              </w:rPr>
              <w:tab/>
            </w:r>
            <w:r w:rsidR="0006023B" w:rsidRPr="00465382">
              <w:rPr>
                <w:rStyle w:val="a3"/>
                <w:noProof/>
              </w:rPr>
              <w:t>Objectives</w:t>
            </w:r>
            <w:r w:rsidR="0006023B">
              <w:rPr>
                <w:noProof/>
                <w:webHidden/>
              </w:rPr>
              <w:tab/>
            </w:r>
            <w:r w:rsidR="0006023B">
              <w:rPr>
                <w:noProof/>
                <w:webHidden/>
              </w:rPr>
              <w:fldChar w:fldCharType="begin"/>
            </w:r>
            <w:r w:rsidR="0006023B">
              <w:rPr>
                <w:noProof/>
                <w:webHidden/>
              </w:rPr>
              <w:instrText xml:space="preserve"> PAGEREF _Toc470944208 \h </w:instrText>
            </w:r>
            <w:r w:rsidR="0006023B">
              <w:rPr>
                <w:noProof/>
                <w:webHidden/>
              </w:rPr>
            </w:r>
            <w:r w:rsidR="0006023B">
              <w:rPr>
                <w:noProof/>
                <w:webHidden/>
              </w:rPr>
              <w:fldChar w:fldCharType="separate"/>
            </w:r>
            <w:r w:rsidR="0006023B">
              <w:rPr>
                <w:noProof/>
                <w:webHidden/>
              </w:rPr>
              <w:t>4</w:t>
            </w:r>
            <w:r w:rsidR="0006023B">
              <w:rPr>
                <w:noProof/>
                <w:webHidden/>
              </w:rPr>
              <w:fldChar w:fldCharType="end"/>
            </w:r>
          </w:hyperlink>
        </w:p>
        <w:p w14:paraId="52407CC4" w14:textId="3C6ED337" w:rsidR="0006023B" w:rsidRDefault="00AF2682">
          <w:pPr>
            <w:pStyle w:val="10"/>
            <w:tabs>
              <w:tab w:val="left" w:pos="440"/>
              <w:tab w:val="right" w:leader="dot" w:pos="9350"/>
            </w:tabs>
            <w:rPr>
              <w:rFonts w:eastAsiaTheme="minorEastAsia"/>
              <w:noProof/>
              <w:kern w:val="2"/>
              <w:sz w:val="20"/>
              <w:lang w:eastAsia="ko-KR"/>
            </w:rPr>
          </w:pPr>
          <w:hyperlink w:anchor="_Toc470944209" w:history="1">
            <w:r w:rsidR="0006023B" w:rsidRPr="00465382">
              <w:rPr>
                <w:rStyle w:val="a3"/>
                <w:noProof/>
              </w:rPr>
              <w:t>6</w:t>
            </w:r>
            <w:r w:rsidR="0006023B">
              <w:rPr>
                <w:rFonts w:eastAsiaTheme="minorEastAsia"/>
                <w:noProof/>
                <w:kern w:val="2"/>
                <w:sz w:val="20"/>
                <w:lang w:eastAsia="ko-KR"/>
              </w:rPr>
              <w:tab/>
            </w:r>
            <w:r w:rsidR="0006023B" w:rsidRPr="00465382">
              <w:rPr>
                <w:rStyle w:val="a3"/>
                <w:noProof/>
              </w:rPr>
              <w:t>Research methods</w:t>
            </w:r>
            <w:r w:rsidR="0006023B">
              <w:rPr>
                <w:noProof/>
                <w:webHidden/>
              </w:rPr>
              <w:tab/>
            </w:r>
            <w:r w:rsidR="0006023B">
              <w:rPr>
                <w:noProof/>
                <w:webHidden/>
              </w:rPr>
              <w:fldChar w:fldCharType="begin"/>
            </w:r>
            <w:r w:rsidR="0006023B">
              <w:rPr>
                <w:noProof/>
                <w:webHidden/>
              </w:rPr>
              <w:instrText xml:space="preserve"> PAGEREF _Toc470944209 \h </w:instrText>
            </w:r>
            <w:r w:rsidR="0006023B">
              <w:rPr>
                <w:noProof/>
                <w:webHidden/>
              </w:rPr>
            </w:r>
            <w:r w:rsidR="0006023B">
              <w:rPr>
                <w:noProof/>
                <w:webHidden/>
              </w:rPr>
              <w:fldChar w:fldCharType="separate"/>
            </w:r>
            <w:r w:rsidR="0006023B">
              <w:rPr>
                <w:noProof/>
                <w:webHidden/>
              </w:rPr>
              <w:t>4</w:t>
            </w:r>
            <w:r w:rsidR="0006023B">
              <w:rPr>
                <w:noProof/>
                <w:webHidden/>
              </w:rPr>
              <w:fldChar w:fldCharType="end"/>
            </w:r>
          </w:hyperlink>
        </w:p>
        <w:p w14:paraId="0EFF3BFB" w14:textId="2CD706B6" w:rsidR="0006023B" w:rsidRDefault="00AF2682">
          <w:pPr>
            <w:pStyle w:val="20"/>
            <w:tabs>
              <w:tab w:val="left" w:pos="800"/>
              <w:tab w:val="right" w:leader="dot" w:pos="9350"/>
            </w:tabs>
            <w:rPr>
              <w:rFonts w:eastAsiaTheme="minorEastAsia"/>
              <w:noProof/>
              <w:kern w:val="2"/>
              <w:sz w:val="20"/>
              <w:lang w:eastAsia="ko-KR"/>
            </w:rPr>
          </w:pPr>
          <w:hyperlink w:anchor="_Toc470944210" w:history="1">
            <w:r w:rsidR="0006023B" w:rsidRPr="00465382">
              <w:rPr>
                <w:rStyle w:val="a3"/>
                <w:noProof/>
              </w:rPr>
              <w:t>6.1</w:t>
            </w:r>
            <w:r w:rsidR="0006023B">
              <w:rPr>
                <w:rFonts w:eastAsiaTheme="minorEastAsia"/>
                <w:noProof/>
                <w:kern w:val="2"/>
                <w:sz w:val="20"/>
                <w:lang w:eastAsia="ko-KR"/>
              </w:rPr>
              <w:tab/>
            </w:r>
            <w:r w:rsidR="0006023B" w:rsidRPr="00465382">
              <w:rPr>
                <w:rStyle w:val="a3"/>
                <w:noProof/>
              </w:rPr>
              <w:t>Study Design</w:t>
            </w:r>
            <w:r w:rsidR="0006023B">
              <w:rPr>
                <w:noProof/>
                <w:webHidden/>
              </w:rPr>
              <w:tab/>
            </w:r>
            <w:r w:rsidR="0006023B">
              <w:rPr>
                <w:noProof/>
                <w:webHidden/>
              </w:rPr>
              <w:fldChar w:fldCharType="begin"/>
            </w:r>
            <w:r w:rsidR="0006023B">
              <w:rPr>
                <w:noProof/>
                <w:webHidden/>
              </w:rPr>
              <w:instrText xml:space="preserve"> PAGEREF _Toc470944210 \h </w:instrText>
            </w:r>
            <w:r w:rsidR="0006023B">
              <w:rPr>
                <w:noProof/>
                <w:webHidden/>
              </w:rPr>
            </w:r>
            <w:r w:rsidR="0006023B">
              <w:rPr>
                <w:noProof/>
                <w:webHidden/>
              </w:rPr>
              <w:fldChar w:fldCharType="separate"/>
            </w:r>
            <w:r w:rsidR="0006023B">
              <w:rPr>
                <w:noProof/>
                <w:webHidden/>
              </w:rPr>
              <w:t>4</w:t>
            </w:r>
            <w:r w:rsidR="0006023B">
              <w:rPr>
                <w:noProof/>
                <w:webHidden/>
              </w:rPr>
              <w:fldChar w:fldCharType="end"/>
            </w:r>
          </w:hyperlink>
        </w:p>
        <w:p w14:paraId="70ACB850" w14:textId="1D0E2405" w:rsidR="0006023B" w:rsidRDefault="00AF2682">
          <w:pPr>
            <w:pStyle w:val="30"/>
            <w:tabs>
              <w:tab w:val="left" w:pos="1200"/>
              <w:tab w:val="right" w:leader="dot" w:pos="9350"/>
            </w:tabs>
            <w:rPr>
              <w:rFonts w:eastAsiaTheme="minorEastAsia"/>
              <w:noProof/>
              <w:kern w:val="2"/>
              <w:sz w:val="20"/>
              <w:lang w:eastAsia="ko-KR"/>
            </w:rPr>
          </w:pPr>
          <w:hyperlink w:anchor="_Toc470944211" w:history="1">
            <w:r w:rsidR="0006023B" w:rsidRPr="00465382">
              <w:rPr>
                <w:rStyle w:val="a3"/>
                <w:noProof/>
              </w:rPr>
              <w:t>6.1.1</w:t>
            </w:r>
            <w:r w:rsidR="0006023B">
              <w:rPr>
                <w:rFonts w:eastAsiaTheme="minorEastAsia"/>
                <w:noProof/>
                <w:kern w:val="2"/>
                <w:sz w:val="20"/>
                <w:lang w:eastAsia="ko-KR"/>
              </w:rPr>
              <w:tab/>
            </w:r>
            <w:r w:rsidR="0006023B" w:rsidRPr="00465382">
              <w:rPr>
                <w:rStyle w:val="a3"/>
                <w:noProof/>
              </w:rPr>
              <w:t>Overview</w:t>
            </w:r>
            <w:r w:rsidR="0006023B">
              <w:rPr>
                <w:noProof/>
                <w:webHidden/>
              </w:rPr>
              <w:tab/>
            </w:r>
            <w:r w:rsidR="0006023B">
              <w:rPr>
                <w:noProof/>
                <w:webHidden/>
              </w:rPr>
              <w:fldChar w:fldCharType="begin"/>
            </w:r>
            <w:r w:rsidR="0006023B">
              <w:rPr>
                <w:noProof/>
                <w:webHidden/>
              </w:rPr>
              <w:instrText xml:space="preserve"> PAGEREF _Toc470944211 \h </w:instrText>
            </w:r>
            <w:r w:rsidR="0006023B">
              <w:rPr>
                <w:noProof/>
                <w:webHidden/>
              </w:rPr>
            </w:r>
            <w:r w:rsidR="0006023B">
              <w:rPr>
                <w:noProof/>
                <w:webHidden/>
              </w:rPr>
              <w:fldChar w:fldCharType="separate"/>
            </w:r>
            <w:r w:rsidR="0006023B">
              <w:rPr>
                <w:noProof/>
                <w:webHidden/>
              </w:rPr>
              <w:t>4</w:t>
            </w:r>
            <w:r w:rsidR="0006023B">
              <w:rPr>
                <w:noProof/>
                <w:webHidden/>
              </w:rPr>
              <w:fldChar w:fldCharType="end"/>
            </w:r>
          </w:hyperlink>
        </w:p>
        <w:p w14:paraId="2D27D4BE" w14:textId="31463EC2" w:rsidR="0006023B" w:rsidRDefault="00AF2682">
          <w:pPr>
            <w:pStyle w:val="30"/>
            <w:tabs>
              <w:tab w:val="left" w:pos="1200"/>
              <w:tab w:val="right" w:leader="dot" w:pos="9350"/>
            </w:tabs>
            <w:rPr>
              <w:rFonts w:eastAsiaTheme="minorEastAsia"/>
              <w:noProof/>
              <w:kern w:val="2"/>
              <w:sz w:val="20"/>
              <w:lang w:eastAsia="ko-KR"/>
            </w:rPr>
          </w:pPr>
          <w:hyperlink w:anchor="_Toc470944212" w:history="1">
            <w:r w:rsidR="0006023B" w:rsidRPr="00465382">
              <w:rPr>
                <w:rStyle w:val="a3"/>
                <w:noProof/>
              </w:rPr>
              <w:t>6.1.2</w:t>
            </w:r>
            <w:r w:rsidR="0006023B">
              <w:rPr>
                <w:rFonts w:eastAsiaTheme="minorEastAsia"/>
                <w:noProof/>
                <w:kern w:val="2"/>
                <w:sz w:val="20"/>
                <w:lang w:eastAsia="ko-KR"/>
              </w:rPr>
              <w:tab/>
            </w:r>
            <w:r w:rsidR="0006023B" w:rsidRPr="00465382">
              <w:rPr>
                <w:rStyle w:val="a3"/>
                <w:noProof/>
              </w:rPr>
              <w:t>Study population</w:t>
            </w:r>
            <w:r w:rsidR="0006023B">
              <w:rPr>
                <w:noProof/>
                <w:webHidden/>
              </w:rPr>
              <w:tab/>
            </w:r>
            <w:r w:rsidR="0006023B">
              <w:rPr>
                <w:noProof/>
                <w:webHidden/>
              </w:rPr>
              <w:fldChar w:fldCharType="begin"/>
            </w:r>
            <w:r w:rsidR="0006023B">
              <w:rPr>
                <w:noProof/>
                <w:webHidden/>
              </w:rPr>
              <w:instrText xml:space="preserve"> PAGEREF _Toc470944212 \h </w:instrText>
            </w:r>
            <w:r w:rsidR="0006023B">
              <w:rPr>
                <w:noProof/>
                <w:webHidden/>
              </w:rPr>
            </w:r>
            <w:r w:rsidR="0006023B">
              <w:rPr>
                <w:noProof/>
                <w:webHidden/>
              </w:rPr>
              <w:fldChar w:fldCharType="separate"/>
            </w:r>
            <w:r w:rsidR="0006023B">
              <w:rPr>
                <w:noProof/>
                <w:webHidden/>
              </w:rPr>
              <w:t>5</w:t>
            </w:r>
            <w:r w:rsidR="0006023B">
              <w:rPr>
                <w:noProof/>
                <w:webHidden/>
              </w:rPr>
              <w:fldChar w:fldCharType="end"/>
            </w:r>
          </w:hyperlink>
        </w:p>
        <w:p w14:paraId="6C194447" w14:textId="4169F8D4" w:rsidR="0006023B" w:rsidRDefault="00AF2682">
          <w:pPr>
            <w:pStyle w:val="30"/>
            <w:tabs>
              <w:tab w:val="left" w:pos="1200"/>
              <w:tab w:val="right" w:leader="dot" w:pos="9350"/>
            </w:tabs>
            <w:rPr>
              <w:rFonts w:eastAsiaTheme="minorEastAsia"/>
              <w:noProof/>
              <w:kern w:val="2"/>
              <w:sz w:val="20"/>
              <w:lang w:eastAsia="ko-KR"/>
            </w:rPr>
          </w:pPr>
          <w:hyperlink w:anchor="_Toc470944213" w:history="1">
            <w:r w:rsidR="0006023B" w:rsidRPr="00465382">
              <w:rPr>
                <w:rStyle w:val="a3"/>
                <w:noProof/>
              </w:rPr>
              <w:t>6.1.3</w:t>
            </w:r>
            <w:r w:rsidR="0006023B">
              <w:rPr>
                <w:rFonts w:eastAsiaTheme="minorEastAsia"/>
                <w:noProof/>
                <w:kern w:val="2"/>
                <w:sz w:val="20"/>
                <w:lang w:eastAsia="ko-KR"/>
              </w:rPr>
              <w:tab/>
            </w:r>
            <w:r w:rsidR="0006023B" w:rsidRPr="00465382">
              <w:rPr>
                <w:rStyle w:val="a3"/>
                <w:noProof/>
              </w:rPr>
              <w:t>Additional analysis details</w:t>
            </w:r>
            <w:r w:rsidR="0006023B">
              <w:rPr>
                <w:noProof/>
                <w:webHidden/>
              </w:rPr>
              <w:tab/>
            </w:r>
            <w:r w:rsidR="0006023B">
              <w:rPr>
                <w:noProof/>
                <w:webHidden/>
              </w:rPr>
              <w:fldChar w:fldCharType="begin"/>
            </w:r>
            <w:r w:rsidR="0006023B">
              <w:rPr>
                <w:noProof/>
                <w:webHidden/>
              </w:rPr>
              <w:instrText xml:space="preserve"> PAGEREF _Toc470944213 \h </w:instrText>
            </w:r>
            <w:r w:rsidR="0006023B">
              <w:rPr>
                <w:noProof/>
                <w:webHidden/>
              </w:rPr>
            </w:r>
            <w:r w:rsidR="0006023B">
              <w:rPr>
                <w:noProof/>
                <w:webHidden/>
              </w:rPr>
              <w:fldChar w:fldCharType="separate"/>
            </w:r>
            <w:r w:rsidR="0006023B">
              <w:rPr>
                <w:noProof/>
                <w:webHidden/>
              </w:rPr>
              <w:t>6</w:t>
            </w:r>
            <w:r w:rsidR="0006023B">
              <w:rPr>
                <w:noProof/>
                <w:webHidden/>
              </w:rPr>
              <w:fldChar w:fldCharType="end"/>
            </w:r>
          </w:hyperlink>
        </w:p>
        <w:p w14:paraId="205D4E08" w14:textId="48CCBFF7" w:rsidR="0006023B" w:rsidRDefault="00AF2682">
          <w:pPr>
            <w:pStyle w:val="30"/>
            <w:tabs>
              <w:tab w:val="left" w:pos="1200"/>
              <w:tab w:val="right" w:leader="dot" w:pos="9350"/>
            </w:tabs>
            <w:rPr>
              <w:rFonts w:eastAsiaTheme="minorEastAsia"/>
              <w:noProof/>
              <w:kern w:val="2"/>
              <w:sz w:val="20"/>
              <w:lang w:eastAsia="ko-KR"/>
            </w:rPr>
          </w:pPr>
          <w:hyperlink w:anchor="_Toc470944214" w:history="1">
            <w:r w:rsidR="0006023B" w:rsidRPr="00465382">
              <w:rPr>
                <w:rStyle w:val="a3"/>
                <w:noProof/>
              </w:rPr>
              <w:t>6.1.4</w:t>
            </w:r>
            <w:r w:rsidR="0006023B">
              <w:rPr>
                <w:rFonts w:eastAsiaTheme="minorEastAsia"/>
                <w:noProof/>
                <w:kern w:val="2"/>
                <w:sz w:val="20"/>
                <w:lang w:eastAsia="ko-KR"/>
              </w:rPr>
              <w:tab/>
            </w:r>
            <w:r w:rsidR="0006023B" w:rsidRPr="00465382">
              <w:rPr>
                <w:rStyle w:val="a3"/>
                <w:noProof/>
              </w:rPr>
              <w:t>Analysis variations</w:t>
            </w:r>
            <w:r w:rsidR="0006023B">
              <w:rPr>
                <w:noProof/>
                <w:webHidden/>
              </w:rPr>
              <w:tab/>
            </w:r>
            <w:r w:rsidR="0006023B">
              <w:rPr>
                <w:noProof/>
                <w:webHidden/>
              </w:rPr>
              <w:fldChar w:fldCharType="begin"/>
            </w:r>
            <w:r w:rsidR="0006023B">
              <w:rPr>
                <w:noProof/>
                <w:webHidden/>
              </w:rPr>
              <w:instrText xml:space="preserve"> PAGEREF _Toc470944214 \h </w:instrText>
            </w:r>
            <w:r w:rsidR="0006023B">
              <w:rPr>
                <w:noProof/>
                <w:webHidden/>
              </w:rPr>
            </w:r>
            <w:r w:rsidR="0006023B">
              <w:rPr>
                <w:noProof/>
                <w:webHidden/>
              </w:rPr>
              <w:fldChar w:fldCharType="separate"/>
            </w:r>
            <w:r w:rsidR="0006023B">
              <w:rPr>
                <w:noProof/>
                <w:webHidden/>
              </w:rPr>
              <w:t>6</w:t>
            </w:r>
            <w:r w:rsidR="0006023B">
              <w:rPr>
                <w:noProof/>
                <w:webHidden/>
              </w:rPr>
              <w:fldChar w:fldCharType="end"/>
            </w:r>
          </w:hyperlink>
        </w:p>
        <w:p w14:paraId="368754A9" w14:textId="112F4E8B" w:rsidR="0006023B" w:rsidRDefault="00AF2682">
          <w:pPr>
            <w:pStyle w:val="20"/>
            <w:tabs>
              <w:tab w:val="left" w:pos="800"/>
              <w:tab w:val="right" w:leader="dot" w:pos="9350"/>
            </w:tabs>
            <w:rPr>
              <w:rFonts w:eastAsiaTheme="minorEastAsia"/>
              <w:noProof/>
              <w:kern w:val="2"/>
              <w:sz w:val="20"/>
              <w:lang w:eastAsia="ko-KR"/>
            </w:rPr>
          </w:pPr>
          <w:hyperlink w:anchor="_Toc470944215" w:history="1">
            <w:r w:rsidR="0006023B" w:rsidRPr="00465382">
              <w:rPr>
                <w:rStyle w:val="a3"/>
                <w:noProof/>
              </w:rPr>
              <w:t>6.2</w:t>
            </w:r>
            <w:r w:rsidR="0006023B">
              <w:rPr>
                <w:rFonts w:eastAsiaTheme="minorEastAsia"/>
                <w:noProof/>
                <w:kern w:val="2"/>
                <w:sz w:val="20"/>
                <w:lang w:eastAsia="ko-KR"/>
              </w:rPr>
              <w:tab/>
            </w:r>
            <w:r w:rsidR="0006023B" w:rsidRPr="00465382">
              <w:rPr>
                <w:rStyle w:val="a3"/>
                <w:noProof/>
              </w:rPr>
              <w:t>Variables</w:t>
            </w:r>
            <w:r w:rsidR="0006023B">
              <w:rPr>
                <w:noProof/>
                <w:webHidden/>
              </w:rPr>
              <w:tab/>
            </w:r>
            <w:r w:rsidR="0006023B">
              <w:rPr>
                <w:noProof/>
                <w:webHidden/>
              </w:rPr>
              <w:fldChar w:fldCharType="begin"/>
            </w:r>
            <w:r w:rsidR="0006023B">
              <w:rPr>
                <w:noProof/>
                <w:webHidden/>
              </w:rPr>
              <w:instrText xml:space="preserve"> PAGEREF _Toc470944215 \h </w:instrText>
            </w:r>
            <w:r w:rsidR="0006023B">
              <w:rPr>
                <w:noProof/>
                <w:webHidden/>
              </w:rPr>
            </w:r>
            <w:r w:rsidR="0006023B">
              <w:rPr>
                <w:noProof/>
                <w:webHidden/>
              </w:rPr>
              <w:fldChar w:fldCharType="separate"/>
            </w:r>
            <w:r w:rsidR="0006023B">
              <w:rPr>
                <w:noProof/>
                <w:webHidden/>
              </w:rPr>
              <w:t>6</w:t>
            </w:r>
            <w:r w:rsidR="0006023B">
              <w:rPr>
                <w:noProof/>
                <w:webHidden/>
              </w:rPr>
              <w:fldChar w:fldCharType="end"/>
            </w:r>
          </w:hyperlink>
        </w:p>
        <w:p w14:paraId="00C7A360" w14:textId="7F16AA81" w:rsidR="0006023B" w:rsidRDefault="00AF2682">
          <w:pPr>
            <w:pStyle w:val="30"/>
            <w:tabs>
              <w:tab w:val="left" w:pos="1200"/>
              <w:tab w:val="right" w:leader="dot" w:pos="9350"/>
            </w:tabs>
            <w:rPr>
              <w:rFonts w:eastAsiaTheme="minorEastAsia"/>
              <w:noProof/>
              <w:kern w:val="2"/>
              <w:sz w:val="20"/>
              <w:lang w:eastAsia="ko-KR"/>
            </w:rPr>
          </w:pPr>
          <w:hyperlink w:anchor="_Toc470944216" w:history="1">
            <w:r w:rsidR="0006023B" w:rsidRPr="00465382">
              <w:rPr>
                <w:rStyle w:val="a3"/>
                <w:noProof/>
              </w:rPr>
              <w:t>6.2.1</w:t>
            </w:r>
            <w:r w:rsidR="0006023B">
              <w:rPr>
                <w:rFonts w:eastAsiaTheme="minorEastAsia"/>
                <w:noProof/>
                <w:kern w:val="2"/>
                <w:sz w:val="20"/>
                <w:lang w:eastAsia="ko-KR"/>
              </w:rPr>
              <w:tab/>
            </w:r>
            <w:r w:rsidR="0006023B" w:rsidRPr="00465382">
              <w:rPr>
                <w:rStyle w:val="a3"/>
                <w:noProof/>
              </w:rPr>
              <w:t>Exposures</w:t>
            </w:r>
            <w:r w:rsidR="0006023B">
              <w:rPr>
                <w:noProof/>
                <w:webHidden/>
              </w:rPr>
              <w:tab/>
            </w:r>
            <w:r w:rsidR="0006023B">
              <w:rPr>
                <w:noProof/>
                <w:webHidden/>
              </w:rPr>
              <w:fldChar w:fldCharType="begin"/>
            </w:r>
            <w:r w:rsidR="0006023B">
              <w:rPr>
                <w:noProof/>
                <w:webHidden/>
              </w:rPr>
              <w:instrText xml:space="preserve"> PAGEREF _Toc470944216 \h </w:instrText>
            </w:r>
            <w:r w:rsidR="0006023B">
              <w:rPr>
                <w:noProof/>
                <w:webHidden/>
              </w:rPr>
            </w:r>
            <w:r w:rsidR="0006023B">
              <w:rPr>
                <w:noProof/>
                <w:webHidden/>
              </w:rPr>
              <w:fldChar w:fldCharType="separate"/>
            </w:r>
            <w:r w:rsidR="0006023B">
              <w:rPr>
                <w:noProof/>
                <w:webHidden/>
              </w:rPr>
              <w:t>6</w:t>
            </w:r>
            <w:r w:rsidR="0006023B">
              <w:rPr>
                <w:noProof/>
                <w:webHidden/>
              </w:rPr>
              <w:fldChar w:fldCharType="end"/>
            </w:r>
          </w:hyperlink>
        </w:p>
        <w:p w14:paraId="05D35466" w14:textId="0FCAB934" w:rsidR="0006023B" w:rsidRDefault="00AF2682">
          <w:pPr>
            <w:pStyle w:val="30"/>
            <w:tabs>
              <w:tab w:val="left" w:pos="1200"/>
              <w:tab w:val="right" w:leader="dot" w:pos="9350"/>
            </w:tabs>
            <w:rPr>
              <w:rFonts w:eastAsiaTheme="minorEastAsia"/>
              <w:noProof/>
              <w:kern w:val="2"/>
              <w:sz w:val="20"/>
              <w:lang w:eastAsia="ko-KR"/>
            </w:rPr>
          </w:pPr>
          <w:hyperlink w:anchor="_Toc470944217" w:history="1">
            <w:r w:rsidR="0006023B" w:rsidRPr="00465382">
              <w:rPr>
                <w:rStyle w:val="a3"/>
                <w:noProof/>
              </w:rPr>
              <w:t>6.2.2</w:t>
            </w:r>
            <w:r w:rsidR="0006023B">
              <w:rPr>
                <w:rFonts w:eastAsiaTheme="minorEastAsia"/>
                <w:noProof/>
                <w:kern w:val="2"/>
                <w:sz w:val="20"/>
                <w:lang w:eastAsia="ko-KR"/>
              </w:rPr>
              <w:tab/>
            </w:r>
            <w:r w:rsidR="0006023B" w:rsidRPr="00465382">
              <w:rPr>
                <w:rStyle w:val="a3"/>
                <w:noProof/>
              </w:rPr>
              <w:t>Outcomes</w:t>
            </w:r>
            <w:r w:rsidR="0006023B">
              <w:rPr>
                <w:noProof/>
                <w:webHidden/>
              </w:rPr>
              <w:tab/>
            </w:r>
            <w:r w:rsidR="0006023B">
              <w:rPr>
                <w:noProof/>
                <w:webHidden/>
              </w:rPr>
              <w:fldChar w:fldCharType="begin"/>
            </w:r>
            <w:r w:rsidR="0006023B">
              <w:rPr>
                <w:noProof/>
                <w:webHidden/>
              </w:rPr>
              <w:instrText xml:space="preserve"> PAGEREF _Toc470944217 \h </w:instrText>
            </w:r>
            <w:r w:rsidR="0006023B">
              <w:rPr>
                <w:noProof/>
                <w:webHidden/>
              </w:rPr>
            </w:r>
            <w:r w:rsidR="0006023B">
              <w:rPr>
                <w:noProof/>
                <w:webHidden/>
              </w:rPr>
              <w:fldChar w:fldCharType="separate"/>
            </w:r>
            <w:r w:rsidR="0006023B">
              <w:rPr>
                <w:noProof/>
                <w:webHidden/>
              </w:rPr>
              <w:t>7</w:t>
            </w:r>
            <w:r w:rsidR="0006023B">
              <w:rPr>
                <w:noProof/>
                <w:webHidden/>
              </w:rPr>
              <w:fldChar w:fldCharType="end"/>
            </w:r>
          </w:hyperlink>
        </w:p>
        <w:p w14:paraId="17597B37" w14:textId="1C042F22" w:rsidR="0006023B" w:rsidRDefault="00AF2682">
          <w:pPr>
            <w:pStyle w:val="30"/>
            <w:tabs>
              <w:tab w:val="left" w:pos="1200"/>
              <w:tab w:val="right" w:leader="dot" w:pos="9350"/>
            </w:tabs>
            <w:rPr>
              <w:rFonts w:eastAsiaTheme="minorEastAsia"/>
              <w:noProof/>
              <w:kern w:val="2"/>
              <w:sz w:val="20"/>
              <w:lang w:eastAsia="ko-KR"/>
            </w:rPr>
          </w:pPr>
          <w:hyperlink w:anchor="_Toc470944218" w:history="1">
            <w:r w:rsidR="0006023B" w:rsidRPr="00465382">
              <w:rPr>
                <w:rStyle w:val="a3"/>
                <w:noProof/>
              </w:rPr>
              <w:t>6.2.3</w:t>
            </w:r>
            <w:r w:rsidR="0006023B">
              <w:rPr>
                <w:rFonts w:eastAsiaTheme="minorEastAsia"/>
                <w:noProof/>
                <w:kern w:val="2"/>
                <w:sz w:val="20"/>
                <w:lang w:eastAsia="ko-KR"/>
              </w:rPr>
              <w:tab/>
            </w:r>
            <w:r w:rsidR="0006023B" w:rsidRPr="00465382">
              <w:rPr>
                <w:rStyle w:val="a3"/>
                <w:noProof/>
              </w:rPr>
              <w:t>Potential confounders</w:t>
            </w:r>
            <w:r w:rsidR="0006023B">
              <w:rPr>
                <w:noProof/>
                <w:webHidden/>
              </w:rPr>
              <w:tab/>
            </w:r>
            <w:r w:rsidR="0006023B">
              <w:rPr>
                <w:noProof/>
                <w:webHidden/>
              </w:rPr>
              <w:fldChar w:fldCharType="begin"/>
            </w:r>
            <w:r w:rsidR="0006023B">
              <w:rPr>
                <w:noProof/>
                <w:webHidden/>
              </w:rPr>
              <w:instrText xml:space="preserve"> PAGEREF _Toc470944218 \h </w:instrText>
            </w:r>
            <w:r w:rsidR="0006023B">
              <w:rPr>
                <w:noProof/>
                <w:webHidden/>
              </w:rPr>
            </w:r>
            <w:r w:rsidR="0006023B">
              <w:rPr>
                <w:noProof/>
                <w:webHidden/>
              </w:rPr>
              <w:fldChar w:fldCharType="separate"/>
            </w:r>
            <w:r w:rsidR="0006023B">
              <w:rPr>
                <w:noProof/>
                <w:webHidden/>
              </w:rPr>
              <w:t>9</w:t>
            </w:r>
            <w:r w:rsidR="0006023B">
              <w:rPr>
                <w:noProof/>
                <w:webHidden/>
              </w:rPr>
              <w:fldChar w:fldCharType="end"/>
            </w:r>
          </w:hyperlink>
        </w:p>
        <w:p w14:paraId="5ED8A7C1" w14:textId="042FC319" w:rsidR="0006023B" w:rsidRDefault="00AF2682">
          <w:pPr>
            <w:pStyle w:val="30"/>
            <w:tabs>
              <w:tab w:val="left" w:pos="1200"/>
              <w:tab w:val="right" w:leader="dot" w:pos="9350"/>
            </w:tabs>
            <w:rPr>
              <w:rFonts w:eastAsiaTheme="minorEastAsia"/>
              <w:noProof/>
              <w:kern w:val="2"/>
              <w:sz w:val="20"/>
              <w:lang w:eastAsia="ko-KR"/>
            </w:rPr>
          </w:pPr>
          <w:hyperlink w:anchor="_Toc470944219" w:history="1">
            <w:r w:rsidR="0006023B" w:rsidRPr="00465382">
              <w:rPr>
                <w:rStyle w:val="a3"/>
                <w:noProof/>
              </w:rPr>
              <w:t>6.2.4</w:t>
            </w:r>
            <w:r w:rsidR="0006023B">
              <w:rPr>
                <w:rFonts w:eastAsiaTheme="minorEastAsia"/>
                <w:noProof/>
                <w:kern w:val="2"/>
                <w:sz w:val="20"/>
                <w:lang w:eastAsia="ko-KR"/>
              </w:rPr>
              <w:tab/>
            </w:r>
            <w:r w:rsidR="0006023B" w:rsidRPr="00465382">
              <w:rPr>
                <w:rStyle w:val="a3"/>
                <w:noProof/>
              </w:rPr>
              <w:t>Negative controls</w:t>
            </w:r>
            <w:r w:rsidR="0006023B">
              <w:rPr>
                <w:noProof/>
                <w:webHidden/>
              </w:rPr>
              <w:tab/>
            </w:r>
            <w:r w:rsidR="0006023B">
              <w:rPr>
                <w:noProof/>
                <w:webHidden/>
              </w:rPr>
              <w:fldChar w:fldCharType="begin"/>
            </w:r>
            <w:r w:rsidR="0006023B">
              <w:rPr>
                <w:noProof/>
                <w:webHidden/>
              </w:rPr>
              <w:instrText xml:space="preserve"> PAGEREF _Toc470944219 \h </w:instrText>
            </w:r>
            <w:r w:rsidR="0006023B">
              <w:rPr>
                <w:noProof/>
                <w:webHidden/>
              </w:rPr>
            </w:r>
            <w:r w:rsidR="0006023B">
              <w:rPr>
                <w:noProof/>
                <w:webHidden/>
              </w:rPr>
              <w:fldChar w:fldCharType="separate"/>
            </w:r>
            <w:r w:rsidR="0006023B">
              <w:rPr>
                <w:noProof/>
                <w:webHidden/>
              </w:rPr>
              <w:t>9</w:t>
            </w:r>
            <w:r w:rsidR="0006023B">
              <w:rPr>
                <w:noProof/>
                <w:webHidden/>
              </w:rPr>
              <w:fldChar w:fldCharType="end"/>
            </w:r>
          </w:hyperlink>
        </w:p>
        <w:p w14:paraId="38A88F94" w14:textId="311E4A68" w:rsidR="0006023B" w:rsidRDefault="00AF2682">
          <w:pPr>
            <w:pStyle w:val="30"/>
            <w:tabs>
              <w:tab w:val="left" w:pos="1200"/>
              <w:tab w:val="right" w:leader="dot" w:pos="9350"/>
            </w:tabs>
            <w:rPr>
              <w:rFonts w:eastAsiaTheme="minorEastAsia"/>
              <w:noProof/>
              <w:kern w:val="2"/>
              <w:sz w:val="20"/>
              <w:lang w:eastAsia="ko-KR"/>
            </w:rPr>
          </w:pPr>
          <w:hyperlink w:anchor="_Toc470944220" w:history="1">
            <w:r w:rsidR="0006023B" w:rsidRPr="00465382">
              <w:rPr>
                <w:rStyle w:val="a3"/>
                <w:noProof/>
              </w:rPr>
              <w:t>6.2.5</w:t>
            </w:r>
            <w:r w:rsidR="0006023B">
              <w:rPr>
                <w:rFonts w:eastAsiaTheme="minorEastAsia"/>
                <w:noProof/>
                <w:kern w:val="2"/>
                <w:sz w:val="20"/>
                <w:lang w:eastAsia="ko-KR"/>
              </w:rPr>
              <w:tab/>
            </w:r>
            <w:r w:rsidR="0006023B" w:rsidRPr="00465382">
              <w:rPr>
                <w:rStyle w:val="a3"/>
                <w:noProof/>
              </w:rPr>
              <w:t>Other variables</w:t>
            </w:r>
            <w:r w:rsidR="0006023B">
              <w:rPr>
                <w:noProof/>
                <w:webHidden/>
              </w:rPr>
              <w:tab/>
            </w:r>
            <w:r w:rsidR="0006023B">
              <w:rPr>
                <w:noProof/>
                <w:webHidden/>
              </w:rPr>
              <w:fldChar w:fldCharType="begin"/>
            </w:r>
            <w:r w:rsidR="0006023B">
              <w:rPr>
                <w:noProof/>
                <w:webHidden/>
              </w:rPr>
              <w:instrText xml:space="preserve"> PAGEREF _Toc470944220 \h </w:instrText>
            </w:r>
            <w:r w:rsidR="0006023B">
              <w:rPr>
                <w:noProof/>
                <w:webHidden/>
              </w:rPr>
            </w:r>
            <w:r w:rsidR="0006023B">
              <w:rPr>
                <w:noProof/>
                <w:webHidden/>
              </w:rPr>
              <w:fldChar w:fldCharType="separate"/>
            </w:r>
            <w:r w:rsidR="0006023B">
              <w:rPr>
                <w:noProof/>
                <w:webHidden/>
              </w:rPr>
              <w:t>11</w:t>
            </w:r>
            <w:r w:rsidR="0006023B">
              <w:rPr>
                <w:noProof/>
                <w:webHidden/>
              </w:rPr>
              <w:fldChar w:fldCharType="end"/>
            </w:r>
          </w:hyperlink>
        </w:p>
        <w:p w14:paraId="35990578" w14:textId="3226C554" w:rsidR="0006023B" w:rsidRDefault="00AF2682">
          <w:pPr>
            <w:pStyle w:val="20"/>
            <w:tabs>
              <w:tab w:val="left" w:pos="800"/>
              <w:tab w:val="right" w:leader="dot" w:pos="9350"/>
            </w:tabs>
            <w:rPr>
              <w:rFonts w:eastAsiaTheme="minorEastAsia"/>
              <w:noProof/>
              <w:kern w:val="2"/>
              <w:sz w:val="20"/>
              <w:lang w:eastAsia="ko-KR"/>
            </w:rPr>
          </w:pPr>
          <w:hyperlink w:anchor="_Toc470944221" w:history="1">
            <w:r w:rsidR="0006023B" w:rsidRPr="00465382">
              <w:rPr>
                <w:rStyle w:val="a3"/>
                <w:noProof/>
              </w:rPr>
              <w:t>6.3</w:t>
            </w:r>
            <w:r w:rsidR="0006023B">
              <w:rPr>
                <w:rFonts w:eastAsiaTheme="minorEastAsia"/>
                <w:noProof/>
                <w:kern w:val="2"/>
                <w:sz w:val="20"/>
                <w:lang w:eastAsia="ko-KR"/>
              </w:rPr>
              <w:tab/>
            </w:r>
            <w:r w:rsidR="0006023B" w:rsidRPr="00465382">
              <w:rPr>
                <w:rStyle w:val="a3"/>
                <w:noProof/>
              </w:rPr>
              <w:t>Data Sources</w:t>
            </w:r>
            <w:r w:rsidR="0006023B">
              <w:rPr>
                <w:noProof/>
                <w:webHidden/>
              </w:rPr>
              <w:tab/>
            </w:r>
            <w:r w:rsidR="0006023B">
              <w:rPr>
                <w:noProof/>
                <w:webHidden/>
              </w:rPr>
              <w:fldChar w:fldCharType="begin"/>
            </w:r>
            <w:r w:rsidR="0006023B">
              <w:rPr>
                <w:noProof/>
                <w:webHidden/>
              </w:rPr>
              <w:instrText xml:space="preserve"> PAGEREF _Toc470944221 \h </w:instrText>
            </w:r>
            <w:r w:rsidR="0006023B">
              <w:rPr>
                <w:noProof/>
                <w:webHidden/>
              </w:rPr>
            </w:r>
            <w:r w:rsidR="0006023B">
              <w:rPr>
                <w:noProof/>
                <w:webHidden/>
              </w:rPr>
              <w:fldChar w:fldCharType="separate"/>
            </w:r>
            <w:r w:rsidR="0006023B">
              <w:rPr>
                <w:noProof/>
                <w:webHidden/>
              </w:rPr>
              <w:t>11</w:t>
            </w:r>
            <w:r w:rsidR="0006023B">
              <w:rPr>
                <w:noProof/>
                <w:webHidden/>
              </w:rPr>
              <w:fldChar w:fldCharType="end"/>
            </w:r>
          </w:hyperlink>
        </w:p>
        <w:p w14:paraId="4A73AB3A" w14:textId="72C5F125" w:rsidR="0006023B" w:rsidRDefault="00AF2682">
          <w:pPr>
            <w:pStyle w:val="20"/>
            <w:tabs>
              <w:tab w:val="left" w:pos="800"/>
              <w:tab w:val="right" w:leader="dot" w:pos="9350"/>
            </w:tabs>
            <w:rPr>
              <w:rFonts w:eastAsiaTheme="minorEastAsia"/>
              <w:noProof/>
              <w:kern w:val="2"/>
              <w:sz w:val="20"/>
              <w:lang w:eastAsia="ko-KR"/>
            </w:rPr>
          </w:pPr>
          <w:hyperlink w:anchor="_Toc470944222" w:history="1">
            <w:r w:rsidR="0006023B" w:rsidRPr="00465382">
              <w:rPr>
                <w:rStyle w:val="a3"/>
                <w:noProof/>
              </w:rPr>
              <w:t>6.4</w:t>
            </w:r>
            <w:r w:rsidR="0006023B">
              <w:rPr>
                <w:rFonts w:eastAsiaTheme="minorEastAsia"/>
                <w:noProof/>
                <w:kern w:val="2"/>
                <w:sz w:val="20"/>
                <w:lang w:eastAsia="ko-KR"/>
              </w:rPr>
              <w:tab/>
            </w:r>
            <w:r w:rsidR="0006023B" w:rsidRPr="00465382">
              <w:rPr>
                <w:rStyle w:val="a3"/>
                <w:noProof/>
              </w:rPr>
              <w:t>Sample Size and Study Power</w:t>
            </w:r>
            <w:r w:rsidR="0006023B">
              <w:rPr>
                <w:noProof/>
                <w:webHidden/>
              </w:rPr>
              <w:tab/>
            </w:r>
            <w:r w:rsidR="0006023B">
              <w:rPr>
                <w:noProof/>
                <w:webHidden/>
              </w:rPr>
              <w:fldChar w:fldCharType="begin"/>
            </w:r>
            <w:r w:rsidR="0006023B">
              <w:rPr>
                <w:noProof/>
                <w:webHidden/>
              </w:rPr>
              <w:instrText xml:space="preserve"> PAGEREF _Toc470944222 \h </w:instrText>
            </w:r>
            <w:r w:rsidR="0006023B">
              <w:rPr>
                <w:noProof/>
                <w:webHidden/>
              </w:rPr>
            </w:r>
            <w:r w:rsidR="0006023B">
              <w:rPr>
                <w:noProof/>
                <w:webHidden/>
              </w:rPr>
              <w:fldChar w:fldCharType="separate"/>
            </w:r>
            <w:r w:rsidR="0006023B">
              <w:rPr>
                <w:noProof/>
                <w:webHidden/>
              </w:rPr>
              <w:t>13</w:t>
            </w:r>
            <w:r w:rsidR="0006023B">
              <w:rPr>
                <w:noProof/>
                <w:webHidden/>
              </w:rPr>
              <w:fldChar w:fldCharType="end"/>
            </w:r>
          </w:hyperlink>
        </w:p>
        <w:p w14:paraId="527CB9B8" w14:textId="2C5C1907" w:rsidR="0006023B" w:rsidRDefault="00AF2682">
          <w:pPr>
            <w:pStyle w:val="20"/>
            <w:tabs>
              <w:tab w:val="left" w:pos="800"/>
              <w:tab w:val="right" w:leader="dot" w:pos="9350"/>
            </w:tabs>
            <w:rPr>
              <w:rFonts w:eastAsiaTheme="minorEastAsia"/>
              <w:noProof/>
              <w:kern w:val="2"/>
              <w:sz w:val="20"/>
              <w:lang w:eastAsia="ko-KR"/>
            </w:rPr>
          </w:pPr>
          <w:hyperlink w:anchor="_Toc470944223" w:history="1">
            <w:r w:rsidR="0006023B" w:rsidRPr="00465382">
              <w:rPr>
                <w:rStyle w:val="a3"/>
                <w:noProof/>
              </w:rPr>
              <w:t>6.5</w:t>
            </w:r>
            <w:r w:rsidR="0006023B">
              <w:rPr>
                <w:rFonts w:eastAsiaTheme="minorEastAsia"/>
                <w:noProof/>
                <w:kern w:val="2"/>
                <w:sz w:val="20"/>
                <w:lang w:eastAsia="ko-KR"/>
              </w:rPr>
              <w:tab/>
            </w:r>
            <w:r w:rsidR="0006023B" w:rsidRPr="00465382">
              <w:rPr>
                <w:rStyle w:val="a3"/>
                <w:noProof/>
              </w:rPr>
              <w:t>Quality control</w:t>
            </w:r>
            <w:r w:rsidR="0006023B">
              <w:rPr>
                <w:noProof/>
                <w:webHidden/>
              </w:rPr>
              <w:tab/>
            </w:r>
            <w:r w:rsidR="0006023B">
              <w:rPr>
                <w:noProof/>
                <w:webHidden/>
              </w:rPr>
              <w:fldChar w:fldCharType="begin"/>
            </w:r>
            <w:r w:rsidR="0006023B">
              <w:rPr>
                <w:noProof/>
                <w:webHidden/>
              </w:rPr>
              <w:instrText xml:space="preserve"> PAGEREF _Toc470944223 \h </w:instrText>
            </w:r>
            <w:r w:rsidR="0006023B">
              <w:rPr>
                <w:noProof/>
                <w:webHidden/>
              </w:rPr>
            </w:r>
            <w:r w:rsidR="0006023B">
              <w:rPr>
                <w:noProof/>
                <w:webHidden/>
              </w:rPr>
              <w:fldChar w:fldCharType="separate"/>
            </w:r>
            <w:r w:rsidR="0006023B">
              <w:rPr>
                <w:noProof/>
                <w:webHidden/>
              </w:rPr>
              <w:t>13</w:t>
            </w:r>
            <w:r w:rsidR="0006023B">
              <w:rPr>
                <w:noProof/>
                <w:webHidden/>
              </w:rPr>
              <w:fldChar w:fldCharType="end"/>
            </w:r>
          </w:hyperlink>
        </w:p>
        <w:p w14:paraId="15EDA608" w14:textId="40FF68AA" w:rsidR="0006023B" w:rsidRDefault="00AF2682">
          <w:pPr>
            <w:pStyle w:val="20"/>
            <w:tabs>
              <w:tab w:val="left" w:pos="800"/>
              <w:tab w:val="right" w:leader="dot" w:pos="9350"/>
            </w:tabs>
            <w:rPr>
              <w:rFonts w:eastAsiaTheme="minorEastAsia"/>
              <w:noProof/>
              <w:kern w:val="2"/>
              <w:sz w:val="20"/>
              <w:lang w:eastAsia="ko-KR"/>
            </w:rPr>
          </w:pPr>
          <w:hyperlink w:anchor="_Toc470944224" w:history="1">
            <w:r w:rsidR="0006023B" w:rsidRPr="00465382">
              <w:rPr>
                <w:rStyle w:val="a3"/>
                <w:noProof/>
              </w:rPr>
              <w:t>6.6</w:t>
            </w:r>
            <w:r w:rsidR="0006023B">
              <w:rPr>
                <w:rFonts w:eastAsiaTheme="minorEastAsia"/>
                <w:noProof/>
                <w:kern w:val="2"/>
                <w:sz w:val="20"/>
                <w:lang w:eastAsia="ko-KR"/>
              </w:rPr>
              <w:tab/>
            </w:r>
            <w:r w:rsidR="0006023B" w:rsidRPr="00465382">
              <w:rPr>
                <w:rStyle w:val="a3"/>
                <w:noProof/>
              </w:rPr>
              <w:t>Strengths and Limitations of the Research Methods</w:t>
            </w:r>
            <w:r w:rsidR="0006023B">
              <w:rPr>
                <w:noProof/>
                <w:webHidden/>
              </w:rPr>
              <w:tab/>
            </w:r>
            <w:r w:rsidR="0006023B">
              <w:rPr>
                <w:noProof/>
                <w:webHidden/>
              </w:rPr>
              <w:fldChar w:fldCharType="begin"/>
            </w:r>
            <w:r w:rsidR="0006023B">
              <w:rPr>
                <w:noProof/>
                <w:webHidden/>
              </w:rPr>
              <w:instrText xml:space="preserve"> PAGEREF _Toc470944224 \h </w:instrText>
            </w:r>
            <w:r w:rsidR="0006023B">
              <w:rPr>
                <w:noProof/>
                <w:webHidden/>
              </w:rPr>
            </w:r>
            <w:r w:rsidR="0006023B">
              <w:rPr>
                <w:noProof/>
                <w:webHidden/>
              </w:rPr>
              <w:fldChar w:fldCharType="separate"/>
            </w:r>
            <w:r w:rsidR="0006023B">
              <w:rPr>
                <w:noProof/>
                <w:webHidden/>
              </w:rPr>
              <w:t>14</w:t>
            </w:r>
            <w:r w:rsidR="0006023B">
              <w:rPr>
                <w:noProof/>
                <w:webHidden/>
              </w:rPr>
              <w:fldChar w:fldCharType="end"/>
            </w:r>
          </w:hyperlink>
        </w:p>
        <w:p w14:paraId="590740BE" w14:textId="3A439A35" w:rsidR="0006023B" w:rsidRDefault="00AF2682">
          <w:pPr>
            <w:pStyle w:val="10"/>
            <w:tabs>
              <w:tab w:val="left" w:pos="440"/>
              <w:tab w:val="right" w:leader="dot" w:pos="9350"/>
            </w:tabs>
            <w:rPr>
              <w:rFonts w:eastAsiaTheme="minorEastAsia"/>
              <w:noProof/>
              <w:kern w:val="2"/>
              <w:sz w:val="20"/>
              <w:lang w:eastAsia="ko-KR"/>
            </w:rPr>
          </w:pPr>
          <w:hyperlink w:anchor="_Toc470944225" w:history="1">
            <w:r w:rsidR="0006023B" w:rsidRPr="00465382">
              <w:rPr>
                <w:rStyle w:val="a3"/>
                <w:noProof/>
              </w:rPr>
              <w:t>7</w:t>
            </w:r>
            <w:r w:rsidR="0006023B">
              <w:rPr>
                <w:rFonts w:eastAsiaTheme="minorEastAsia"/>
                <w:noProof/>
                <w:kern w:val="2"/>
                <w:sz w:val="20"/>
                <w:lang w:eastAsia="ko-KR"/>
              </w:rPr>
              <w:tab/>
            </w:r>
            <w:r w:rsidR="0006023B" w:rsidRPr="00465382">
              <w:rPr>
                <w:rStyle w:val="a3"/>
                <w:noProof/>
              </w:rPr>
              <w:t>Protection of Human Subjects</w:t>
            </w:r>
            <w:r w:rsidR="0006023B">
              <w:rPr>
                <w:noProof/>
                <w:webHidden/>
              </w:rPr>
              <w:tab/>
            </w:r>
            <w:r w:rsidR="0006023B">
              <w:rPr>
                <w:noProof/>
                <w:webHidden/>
              </w:rPr>
              <w:fldChar w:fldCharType="begin"/>
            </w:r>
            <w:r w:rsidR="0006023B">
              <w:rPr>
                <w:noProof/>
                <w:webHidden/>
              </w:rPr>
              <w:instrText xml:space="preserve"> PAGEREF _Toc470944225 \h </w:instrText>
            </w:r>
            <w:r w:rsidR="0006023B">
              <w:rPr>
                <w:noProof/>
                <w:webHidden/>
              </w:rPr>
            </w:r>
            <w:r w:rsidR="0006023B">
              <w:rPr>
                <w:noProof/>
                <w:webHidden/>
              </w:rPr>
              <w:fldChar w:fldCharType="separate"/>
            </w:r>
            <w:r w:rsidR="0006023B">
              <w:rPr>
                <w:noProof/>
                <w:webHidden/>
              </w:rPr>
              <w:t>14</w:t>
            </w:r>
            <w:r w:rsidR="0006023B">
              <w:rPr>
                <w:noProof/>
                <w:webHidden/>
              </w:rPr>
              <w:fldChar w:fldCharType="end"/>
            </w:r>
          </w:hyperlink>
        </w:p>
        <w:p w14:paraId="064BAFF0" w14:textId="4C192A2D" w:rsidR="0006023B" w:rsidRDefault="00AF2682">
          <w:pPr>
            <w:pStyle w:val="10"/>
            <w:tabs>
              <w:tab w:val="left" w:pos="440"/>
              <w:tab w:val="right" w:leader="dot" w:pos="9350"/>
            </w:tabs>
            <w:rPr>
              <w:rFonts w:eastAsiaTheme="minorEastAsia"/>
              <w:noProof/>
              <w:kern w:val="2"/>
              <w:sz w:val="20"/>
              <w:lang w:eastAsia="ko-KR"/>
            </w:rPr>
          </w:pPr>
          <w:hyperlink w:anchor="_Toc470944226" w:history="1">
            <w:r w:rsidR="0006023B" w:rsidRPr="00465382">
              <w:rPr>
                <w:rStyle w:val="a3"/>
                <w:noProof/>
              </w:rPr>
              <w:t>8</w:t>
            </w:r>
            <w:r w:rsidR="0006023B">
              <w:rPr>
                <w:rFonts w:eastAsiaTheme="minorEastAsia"/>
                <w:noProof/>
                <w:kern w:val="2"/>
                <w:sz w:val="20"/>
                <w:lang w:eastAsia="ko-KR"/>
              </w:rPr>
              <w:tab/>
            </w:r>
            <w:r w:rsidR="0006023B" w:rsidRPr="00465382">
              <w:rPr>
                <w:rStyle w:val="a3"/>
                <w:noProof/>
              </w:rPr>
              <w:t>Plans for Disseminating and Communicating Study Results</w:t>
            </w:r>
            <w:r w:rsidR="0006023B">
              <w:rPr>
                <w:noProof/>
                <w:webHidden/>
              </w:rPr>
              <w:tab/>
            </w:r>
            <w:r w:rsidR="0006023B">
              <w:rPr>
                <w:noProof/>
                <w:webHidden/>
              </w:rPr>
              <w:fldChar w:fldCharType="begin"/>
            </w:r>
            <w:r w:rsidR="0006023B">
              <w:rPr>
                <w:noProof/>
                <w:webHidden/>
              </w:rPr>
              <w:instrText xml:space="preserve"> PAGEREF _Toc470944226 \h </w:instrText>
            </w:r>
            <w:r w:rsidR="0006023B">
              <w:rPr>
                <w:noProof/>
                <w:webHidden/>
              </w:rPr>
            </w:r>
            <w:r w:rsidR="0006023B">
              <w:rPr>
                <w:noProof/>
                <w:webHidden/>
              </w:rPr>
              <w:fldChar w:fldCharType="separate"/>
            </w:r>
            <w:r w:rsidR="0006023B">
              <w:rPr>
                <w:noProof/>
                <w:webHidden/>
              </w:rPr>
              <w:t>14</w:t>
            </w:r>
            <w:r w:rsidR="0006023B">
              <w:rPr>
                <w:noProof/>
                <w:webHidden/>
              </w:rPr>
              <w:fldChar w:fldCharType="end"/>
            </w:r>
          </w:hyperlink>
        </w:p>
        <w:p w14:paraId="20A947C8" w14:textId="3A0FA8E4" w:rsidR="0006023B" w:rsidRDefault="00AF2682">
          <w:pPr>
            <w:pStyle w:val="10"/>
            <w:tabs>
              <w:tab w:val="left" w:pos="440"/>
              <w:tab w:val="right" w:leader="dot" w:pos="9350"/>
            </w:tabs>
            <w:rPr>
              <w:rFonts w:eastAsiaTheme="minorEastAsia"/>
              <w:noProof/>
              <w:kern w:val="2"/>
              <w:sz w:val="20"/>
              <w:lang w:eastAsia="ko-KR"/>
            </w:rPr>
          </w:pPr>
          <w:hyperlink w:anchor="_Toc470944227" w:history="1">
            <w:r w:rsidR="0006023B" w:rsidRPr="00465382">
              <w:rPr>
                <w:rStyle w:val="a3"/>
                <w:noProof/>
              </w:rPr>
              <w:t>9</w:t>
            </w:r>
            <w:r w:rsidR="0006023B">
              <w:rPr>
                <w:rFonts w:eastAsiaTheme="minorEastAsia"/>
                <w:noProof/>
                <w:kern w:val="2"/>
                <w:sz w:val="20"/>
                <w:lang w:eastAsia="ko-KR"/>
              </w:rPr>
              <w:tab/>
            </w:r>
            <w:r w:rsidR="0006023B" w:rsidRPr="00465382">
              <w:rPr>
                <w:rStyle w:val="a3"/>
                <w:noProof/>
              </w:rPr>
              <w:t>References</w:t>
            </w:r>
            <w:r w:rsidR="0006023B">
              <w:rPr>
                <w:noProof/>
                <w:webHidden/>
              </w:rPr>
              <w:tab/>
            </w:r>
            <w:r w:rsidR="0006023B">
              <w:rPr>
                <w:noProof/>
                <w:webHidden/>
              </w:rPr>
              <w:fldChar w:fldCharType="begin"/>
            </w:r>
            <w:r w:rsidR="0006023B">
              <w:rPr>
                <w:noProof/>
                <w:webHidden/>
              </w:rPr>
              <w:instrText xml:space="preserve"> PAGEREF _Toc470944227 \h </w:instrText>
            </w:r>
            <w:r w:rsidR="0006023B">
              <w:rPr>
                <w:noProof/>
                <w:webHidden/>
              </w:rPr>
            </w:r>
            <w:r w:rsidR="0006023B">
              <w:rPr>
                <w:noProof/>
                <w:webHidden/>
              </w:rPr>
              <w:fldChar w:fldCharType="separate"/>
            </w:r>
            <w:r w:rsidR="0006023B">
              <w:rPr>
                <w:noProof/>
                <w:webHidden/>
              </w:rPr>
              <w:t>14</w:t>
            </w:r>
            <w:r w:rsidR="0006023B">
              <w:rPr>
                <w:noProof/>
                <w:webHidden/>
              </w:rPr>
              <w:fldChar w:fldCharType="end"/>
            </w:r>
          </w:hyperlink>
        </w:p>
        <w:p w14:paraId="18F70191" w14:textId="6211D6A0" w:rsidR="000F0CE6" w:rsidRDefault="000F0CE6">
          <w:r>
            <w:rPr>
              <w:b/>
              <w:bCs/>
              <w:noProof/>
            </w:rPr>
            <w:fldChar w:fldCharType="end"/>
          </w:r>
        </w:p>
      </w:sdtContent>
    </w:sdt>
    <w:p w14:paraId="5703D44B" w14:textId="77777777" w:rsidR="000159BB" w:rsidRDefault="00AE518E" w:rsidP="000159BB">
      <w:pPr>
        <w:pStyle w:val="1"/>
      </w:pPr>
      <w:bookmarkStart w:id="0" w:name="_Toc470944203"/>
      <w:bookmarkStart w:id="1" w:name="_Toc405127685"/>
      <w:r>
        <w:t>List of abbreviations</w:t>
      </w:r>
      <w:bookmarkEnd w:id="0"/>
    </w:p>
    <w:p w14:paraId="48F41910" w14:textId="4F6A7B00" w:rsidR="00E511A6" w:rsidRDefault="003E153B" w:rsidP="00E61242">
      <w:pPr>
        <w:pStyle w:val="ab"/>
      </w:pPr>
      <w:r>
        <w:t>CVD</w:t>
      </w:r>
      <w:r w:rsidR="00E511A6">
        <w:tab/>
      </w:r>
      <w:r w:rsidR="00E511A6">
        <w:tab/>
      </w:r>
      <w:r>
        <w:t>Cardiovascular disease</w:t>
      </w:r>
    </w:p>
    <w:p w14:paraId="273406D6" w14:textId="5E5C425E" w:rsidR="007F34FD" w:rsidRDefault="003E153B" w:rsidP="00E61242">
      <w:pPr>
        <w:pStyle w:val="ab"/>
      </w:pPr>
      <w:r>
        <w:t>SCD</w:t>
      </w:r>
      <w:r w:rsidR="007F34FD">
        <w:rPr>
          <w:lang w:eastAsia="ko-KR"/>
        </w:rPr>
        <w:tab/>
      </w:r>
      <w:r w:rsidR="00E61242">
        <w:tab/>
      </w:r>
      <w:r>
        <w:t xml:space="preserve">Sudden Cardiac Death </w:t>
      </w:r>
    </w:p>
    <w:p w14:paraId="741C6C9D" w14:textId="1F7DA464" w:rsidR="007F34FD" w:rsidRDefault="003E153B" w:rsidP="00E61242">
      <w:pPr>
        <w:pStyle w:val="ab"/>
      </w:pPr>
      <w:r>
        <w:rPr>
          <w:rFonts w:ascii="Calibri" w:hAnsi="Calibri" w:cs="Calibri"/>
          <w:color w:val="000000"/>
        </w:rPr>
        <w:t>CARES</w:t>
      </w:r>
      <w:r w:rsidR="007F34FD">
        <w:tab/>
      </w:r>
      <w:r w:rsidR="007F34FD">
        <w:tab/>
      </w:r>
      <w:r>
        <w:rPr>
          <w:rFonts w:ascii="Calibri" w:hAnsi="Calibri" w:cs="Calibri"/>
          <w:color w:val="000000"/>
        </w:rPr>
        <w:t>Cardiovascular Safety of Febuxostat and Allopurinol in Patients with Gout and Cardiovascular Morbidities</w:t>
      </w:r>
    </w:p>
    <w:p w14:paraId="0020B217" w14:textId="27FA2CA6" w:rsidR="007F34FD" w:rsidRPr="00E61242" w:rsidRDefault="007F34FD" w:rsidP="00E61242">
      <w:pPr>
        <w:pStyle w:val="ab"/>
      </w:pPr>
    </w:p>
    <w:p w14:paraId="054CD3C7" w14:textId="2A5E3EBD" w:rsidR="00FF791A" w:rsidRDefault="000159BB" w:rsidP="000159BB">
      <w:pPr>
        <w:pStyle w:val="1"/>
      </w:pPr>
      <w:bookmarkStart w:id="2" w:name="_Toc470944204"/>
      <w:r>
        <w:t>Abstract</w:t>
      </w:r>
      <w:bookmarkEnd w:id="2"/>
    </w:p>
    <w:p w14:paraId="748F8628" w14:textId="35F53635" w:rsidR="00FF791A" w:rsidRDefault="005E354C" w:rsidP="003E153B">
      <w:pPr>
        <w:pBdr>
          <w:top w:val="nil"/>
          <w:left w:val="nil"/>
          <w:bottom w:val="nil"/>
          <w:right w:val="nil"/>
          <w:between w:val="nil"/>
        </w:pBdr>
        <w:spacing w:after="120"/>
        <w:jc w:val="both"/>
        <w:rPr>
          <w:rFonts w:ascii="Calibri" w:hAnsi="Calibri" w:cs="Calibri"/>
          <w:color w:val="000000"/>
        </w:rPr>
      </w:pPr>
      <w:r w:rsidRPr="005E354C">
        <w:rPr>
          <w:rFonts w:ascii="Calibri" w:hAnsi="Calibri" w:cs="Calibri"/>
          <w:color w:val="000000"/>
        </w:rPr>
        <w:t xml:space="preserve">A previous prospective randomized study demonstrated that febuxostat was associated with increased cardiovascular mortality compared to allopurinol in patients with concomitant major cardiovascular disease (CVD). </w:t>
      </w:r>
      <w:r w:rsidR="003E153B">
        <w:rPr>
          <w:rFonts w:ascii="Calibri" w:hAnsi="Calibri" w:cs="Calibri"/>
          <w:color w:val="000000"/>
        </w:rPr>
        <w:t xml:space="preserve">This difference in cardiovascular mortality was mainly driven by sudden cardiac death. </w:t>
      </w:r>
      <w:r w:rsidRPr="005E354C">
        <w:rPr>
          <w:rFonts w:ascii="Calibri" w:hAnsi="Calibri" w:cs="Calibri"/>
          <w:color w:val="000000"/>
        </w:rPr>
        <w:t xml:space="preserve">Still, there is scarce evidence for </w:t>
      </w:r>
      <w:r w:rsidR="003E153B">
        <w:rPr>
          <w:rFonts w:ascii="Calibri" w:hAnsi="Calibri" w:cs="Calibri"/>
          <w:color w:val="000000"/>
        </w:rPr>
        <w:t xml:space="preserve">risk of sudden cardiac death between febuxostat and allopurinol in real-world practice. </w:t>
      </w:r>
      <w:r w:rsidRPr="005E354C">
        <w:rPr>
          <w:rFonts w:ascii="Calibri" w:hAnsi="Calibri" w:cs="Calibri"/>
          <w:color w:val="000000"/>
        </w:rPr>
        <w:t xml:space="preserve">We conduct observational study </w:t>
      </w:r>
      <w:r w:rsidR="00043224">
        <w:rPr>
          <w:rFonts w:ascii="Calibri" w:hAnsi="Calibri" w:cs="Calibri"/>
          <w:color w:val="000000"/>
        </w:rPr>
        <w:t>investigating</w:t>
      </w:r>
      <w:r w:rsidR="003E153B">
        <w:rPr>
          <w:rFonts w:ascii="Calibri" w:hAnsi="Calibri" w:cs="Calibri"/>
          <w:color w:val="000000"/>
        </w:rPr>
        <w:t xml:space="preserve"> </w:t>
      </w:r>
      <w:r w:rsidR="00030572">
        <w:rPr>
          <w:rFonts w:ascii="Calibri" w:hAnsi="Calibri" w:cs="Calibri"/>
          <w:color w:val="000000"/>
        </w:rPr>
        <w:t>sudden cardiac death</w:t>
      </w:r>
      <w:r w:rsidRPr="005E354C">
        <w:rPr>
          <w:rFonts w:ascii="Calibri" w:hAnsi="Calibri" w:cs="Calibri"/>
          <w:color w:val="000000"/>
        </w:rPr>
        <w:t xml:space="preserve"> risk of febuxostat and allopurinol in patients with gout.</w:t>
      </w:r>
      <w:r w:rsidR="00043224">
        <w:rPr>
          <w:rFonts w:ascii="Calibri" w:hAnsi="Calibri" w:cs="Calibri"/>
          <w:color w:val="000000"/>
        </w:rPr>
        <w:t xml:space="preserve"> Furthermore, we compare the risk of acute myocardial infarction, stroke, heart failure, gout flare, and drug hypersensitivity between febuxostat and allopurinol.</w:t>
      </w:r>
    </w:p>
    <w:p w14:paraId="417301D5" w14:textId="0017F1B8" w:rsidR="004C74C9" w:rsidRDefault="004C74C9" w:rsidP="003E153B">
      <w:pPr>
        <w:pBdr>
          <w:top w:val="nil"/>
          <w:left w:val="nil"/>
          <w:bottom w:val="nil"/>
          <w:right w:val="nil"/>
          <w:between w:val="nil"/>
        </w:pBdr>
        <w:spacing w:after="120"/>
        <w:jc w:val="both"/>
        <w:rPr>
          <w:rFonts w:ascii="Calibri" w:hAnsi="Calibri" w:cs="Calibri"/>
          <w:color w:val="000000"/>
        </w:rPr>
      </w:pPr>
    </w:p>
    <w:p w14:paraId="5B905244" w14:textId="13A5B088" w:rsidR="004C74C9" w:rsidRDefault="004C74C9" w:rsidP="004C74C9">
      <w:pPr>
        <w:pStyle w:val="1"/>
      </w:pPr>
      <w:r>
        <w:t>Amendments and Updates</w:t>
      </w:r>
    </w:p>
    <w:tbl>
      <w:tblPr>
        <w:tblStyle w:val="aa"/>
        <w:tblW w:w="9463" w:type="dxa"/>
        <w:tblLook w:val="04A0" w:firstRow="1" w:lastRow="0" w:firstColumn="1" w:lastColumn="0" w:noHBand="0" w:noVBand="1"/>
      </w:tblPr>
      <w:tblGrid>
        <w:gridCol w:w="615"/>
        <w:gridCol w:w="2074"/>
        <w:gridCol w:w="1709"/>
        <w:gridCol w:w="5065"/>
      </w:tblGrid>
      <w:tr w:rsidR="004C74C9" w14:paraId="79BB9851" w14:textId="77777777" w:rsidTr="004C74C9">
        <w:trPr>
          <w:trHeight w:val="292"/>
        </w:trPr>
        <w:tc>
          <w:tcPr>
            <w:tcW w:w="615" w:type="dxa"/>
          </w:tcPr>
          <w:p w14:paraId="153832B5" w14:textId="77777777" w:rsidR="004C74C9" w:rsidRDefault="004C74C9" w:rsidP="00AF2682">
            <w:r>
              <w:t>0.1</w:t>
            </w:r>
          </w:p>
        </w:tc>
        <w:tc>
          <w:tcPr>
            <w:tcW w:w="2074" w:type="dxa"/>
          </w:tcPr>
          <w:p w14:paraId="27FE1090" w14:textId="6642C98E" w:rsidR="004C74C9" w:rsidRDefault="004C74C9" w:rsidP="00AF2682">
            <w:r>
              <w:t>26 September 2018</w:t>
            </w:r>
          </w:p>
        </w:tc>
        <w:tc>
          <w:tcPr>
            <w:tcW w:w="1709" w:type="dxa"/>
          </w:tcPr>
          <w:p w14:paraId="58CE3C3D" w14:textId="40BFE9FC" w:rsidR="004C74C9" w:rsidRDefault="004C74C9" w:rsidP="00AF2682">
            <w:r>
              <w:t>SC You</w:t>
            </w:r>
          </w:p>
        </w:tc>
        <w:tc>
          <w:tcPr>
            <w:tcW w:w="5065" w:type="dxa"/>
          </w:tcPr>
          <w:p w14:paraId="7AE9E322" w14:textId="77777777" w:rsidR="004C74C9" w:rsidRDefault="004C74C9" w:rsidP="00AF2682">
            <w:r>
              <w:t>Initial draft</w:t>
            </w:r>
          </w:p>
        </w:tc>
      </w:tr>
    </w:tbl>
    <w:p w14:paraId="31A0DE43" w14:textId="77777777" w:rsidR="004C74C9" w:rsidRPr="002E5446" w:rsidRDefault="004C74C9" w:rsidP="003E153B">
      <w:pPr>
        <w:pBdr>
          <w:top w:val="nil"/>
          <w:left w:val="nil"/>
          <w:bottom w:val="nil"/>
          <w:right w:val="nil"/>
          <w:between w:val="nil"/>
        </w:pBdr>
        <w:spacing w:after="120"/>
        <w:jc w:val="both"/>
        <w:rPr>
          <w:rFonts w:ascii="Calibri" w:hAnsi="Calibri" w:cs="Calibri"/>
          <w:color w:val="000000"/>
        </w:rPr>
      </w:pPr>
    </w:p>
    <w:p w14:paraId="2C043740" w14:textId="77777777" w:rsidR="00EE73B8" w:rsidRDefault="003F2A9A" w:rsidP="00C84B89">
      <w:pPr>
        <w:pStyle w:val="1"/>
      </w:pPr>
      <w:bookmarkStart w:id="3" w:name="_Toc470944205"/>
      <w:r>
        <w:t>Rationale and B</w:t>
      </w:r>
      <w:r w:rsidR="00EE73B8">
        <w:t>ackground</w:t>
      </w:r>
      <w:bookmarkEnd w:id="1"/>
      <w:bookmarkEnd w:id="3"/>
    </w:p>
    <w:p w14:paraId="2F82247A" w14:textId="55384D92" w:rsidR="002E5446" w:rsidRDefault="002E5446" w:rsidP="002E5446">
      <w:pPr>
        <w:pBdr>
          <w:top w:val="nil"/>
          <w:left w:val="nil"/>
          <w:bottom w:val="nil"/>
          <w:right w:val="nil"/>
          <w:between w:val="nil"/>
        </w:pBdr>
        <w:spacing w:after="120"/>
        <w:jc w:val="both"/>
        <w:rPr>
          <w:rFonts w:ascii="Calibri" w:hAnsi="Calibri" w:cs="Calibri"/>
          <w:color w:val="000000"/>
        </w:rPr>
      </w:pPr>
      <w:r>
        <w:rPr>
          <w:rFonts w:ascii="Calibri" w:hAnsi="Calibri" w:cs="Calibri"/>
          <w:color w:val="000000"/>
        </w:rPr>
        <w:t>Febuxostat is widely used urate-lowering agent because it is more effective than allopurinol to lower serum urate in patients with gout.</w:t>
      </w:r>
      <w:r>
        <w:rPr>
          <w:rFonts w:ascii="Calibri" w:hAnsi="Calibri" w:cs="Calibri"/>
          <w:color w:val="000000"/>
        </w:rPr>
        <w:fldChar w:fldCharType="begin"/>
      </w:r>
      <w:r>
        <w:rPr>
          <w:rFonts w:ascii="Calibri" w:hAnsi="Calibri" w:cs="Calibri"/>
          <w:color w:val="000000"/>
        </w:rPr>
        <w:instrText xml:space="preserve"> ADDIN ZOTERO_ITEM CSL_CITATION {"citationID":"UcJdxHUS","properties":{"formattedCitation":"\\super 1\\nosupersub{}","plainCitation":"1","noteIndex":0},"citationItems":[{"id":6397,"uris":["http://zotero.org/users/1354749/items/WFEVRBH6"],"uri":["http://zotero.org/users/1354749/items/WFEVRBH6"],"itemData":{"id":6397,"type":"article-journal","title":"Febuxostat Compared with Allopurinol in Patients with Hyperuricemia and Gout","container-title":"New England Journal of Medicine","page":"2450-2461","volume":"353","issue":"23","source":"Taylor and Francis+NEJM","abstract":"In this randomized trial of patients with elevated uric acid levels and gout, febuxostat, a new nonpurine selective inhibitor of xanthine oxidase, was compared with allopurinol. The incidence of gout flares was similar in patients treated with allopurinol and febuxostat. Both doses of febuxostat (80 and 120 mg) were more effective than 300 mg of allopurinol in lowering uric acid levels.","DOI":"10.1056/NEJMoa050373","ISSN":"0028-4793","note":"PMID: 16339094","author":[{"family":"Becker","given":"Michael A."},{"family":"Schumacher","given":"H. Ralph"},{"family":"Wortmann","given":"Robert L."},{"family":"MacDonald","given":"Patricia A."},{"family":"Eustace","given":"Denise"},{"family":"Palo","given":"William A."},{"family":"Streit","given":"Janet"},{"family":"Joseph-Ridge","given":"Nancy"}],"issued":{"date-parts":[["2005",12,8]]}}}],"schema":"https://github.com/citation-style-language/schema/raw/master/csl-citation.json"} </w:instrText>
      </w:r>
      <w:r>
        <w:rPr>
          <w:rFonts w:ascii="Calibri" w:hAnsi="Calibri" w:cs="Calibri"/>
          <w:color w:val="000000"/>
        </w:rPr>
        <w:fldChar w:fldCharType="separate"/>
      </w:r>
      <w:r w:rsidRPr="003765C8">
        <w:rPr>
          <w:rFonts w:ascii="Calibri" w:hAnsi="Calibri" w:cs="Calibri"/>
          <w:szCs w:val="24"/>
          <w:vertAlign w:val="superscript"/>
        </w:rPr>
        <w:t>1</w:t>
      </w:r>
      <w:r>
        <w:rPr>
          <w:rFonts w:ascii="Calibri" w:hAnsi="Calibri" w:cs="Calibri"/>
          <w:color w:val="000000"/>
        </w:rPr>
        <w:fldChar w:fldCharType="end"/>
      </w:r>
      <w:r>
        <w:rPr>
          <w:rFonts w:ascii="Calibri" w:hAnsi="Calibri" w:cs="Calibri"/>
          <w:color w:val="000000"/>
        </w:rPr>
        <w:t xml:space="preserve"> Furthermore, febuxostat can be used without dosage adjustment in chronic kidney disease. The Cardiovascular Safety of Febuxostat and Allopurinol in Patients with Gout and Cardiovascular Morbidities (CARES) group was a prospective multicenter, double-blind randomized clinical trial, which assessed the cardiovascular risk of febuxostat compared with allopurinol in patients with gout and a history of </w:t>
      </w:r>
      <w:r w:rsidR="003E153B">
        <w:rPr>
          <w:rFonts w:ascii="Calibri" w:hAnsi="Calibri" w:cs="Calibri"/>
          <w:color w:val="000000"/>
        </w:rPr>
        <w:t>CVD</w:t>
      </w:r>
      <w:r>
        <w:rPr>
          <w:rFonts w:ascii="Calibri" w:hAnsi="Calibri" w:cs="Calibri"/>
          <w:color w:val="000000"/>
        </w:rPr>
        <w:t>. This study concluded that febuxostat was associated with significantly higher overall and cardiovascular mortality compared to allopurinol</w:t>
      </w:r>
      <w:r w:rsidR="005E354C">
        <w:rPr>
          <w:rFonts w:ascii="Calibri" w:hAnsi="Calibri" w:cs="Calibri"/>
          <w:color w:val="000000"/>
        </w:rPr>
        <w:t xml:space="preserve">, mostly driven by </w:t>
      </w:r>
      <w:r w:rsidR="00030572">
        <w:rPr>
          <w:rFonts w:ascii="Calibri" w:hAnsi="Calibri" w:cs="Calibri"/>
          <w:color w:val="000000"/>
        </w:rPr>
        <w:t>sudden cardiac death</w:t>
      </w:r>
      <w:r>
        <w:rPr>
          <w:rFonts w:ascii="Calibri" w:hAnsi="Calibri" w:cs="Calibri"/>
          <w:color w:val="000000"/>
        </w:rPr>
        <w:t>.</w:t>
      </w:r>
      <w:r>
        <w:rPr>
          <w:rFonts w:ascii="Calibri" w:hAnsi="Calibri" w:cs="Calibri"/>
          <w:color w:val="000000"/>
        </w:rPr>
        <w:fldChar w:fldCharType="begin"/>
      </w:r>
      <w:r>
        <w:rPr>
          <w:rFonts w:ascii="Calibri" w:hAnsi="Calibri" w:cs="Calibri"/>
          <w:color w:val="000000"/>
        </w:rPr>
        <w:instrText xml:space="preserve"> ADDIN ZOTERO_ITEM CSL_CITATION {"citationID":"XkRTbQxR","properties":{"formattedCitation":"\\super 2\\nosupersub{}","plainCitation":"2","noteIndex":0},"citationItems":[{"id":5768,"uris":["http://zotero.org/users/1354749/items/BDLMAWHW"],"uri":["http://zotero.org/users/1354749/items/BDLMAWHW"],"itemData":{"id":5768,"type":"article-journal","title":"Cardiovascular Safety of Febuxostat or Allopurinol in Patients with Gout","container-title":"New England Journal of Medicine","page":"null","volume":"0","issue":"0","source":"Taylor and Francis+NEJM","abstract":"Cardiovascular Safety of Febuxostat Patients with gout and cardiovascular disease were assigned to receive febuxostat or allopurinol. At 32 months, there was no significant between-group difference in a composite cardiovascular end point, but all-cause and cardiovascular mortality were higher with febuxostat.","DOI":"10.1056/NEJMoa1710895","ISSN":"0028-4793","note":"PMID: 29527974","author":[{"family":"White","given":"William B."},{"family":"Saag","given":"Kenneth G."},{"family":"Becker","given":"Michael A."},{"family":"Borer","given":"Jeffrey S."},{"family":"Gorelick","given":"Philip B."},{"family":"Whelton","given":"Andrew"},{"family":"Hunt","given":"Barbara"},{"family":"Castillo","given":"Majin"},{"family":"Gunawardhana","given":"Lhanoo"}],"issued":{"date-parts":[["2018",3,12]]}}}],"schema":"https://github.com/citation-style-language/schema/raw/master/csl-citation.json"} </w:instrText>
      </w:r>
      <w:r>
        <w:rPr>
          <w:rFonts w:ascii="Calibri" w:hAnsi="Calibri" w:cs="Calibri"/>
          <w:color w:val="000000"/>
        </w:rPr>
        <w:fldChar w:fldCharType="separate"/>
      </w:r>
      <w:r w:rsidRPr="000D4CB5">
        <w:rPr>
          <w:rFonts w:ascii="Calibri" w:hAnsi="Calibri" w:cs="Calibri"/>
          <w:szCs w:val="24"/>
          <w:vertAlign w:val="superscript"/>
        </w:rPr>
        <w:t>2</w:t>
      </w:r>
      <w:r>
        <w:rPr>
          <w:rFonts w:ascii="Calibri" w:hAnsi="Calibri" w:cs="Calibri"/>
          <w:color w:val="000000"/>
        </w:rPr>
        <w:fldChar w:fldCharType="end"/>
      </w:r>
      <w:r>
        <w:rPr>
          <w:rFonts w:ascii="Calibri" w:hAnsi="Calibri" w:cs="Calibri"/>
          <w:color w:val="000000"/>
        </w:rPr>
        <w:t xml:space="preserve"> </w:t>
      </w:r>
      <w:r w:rsidR="003E153B">
        <w:rPr>
          <w:rFonts w:ascii="Calibri" w:hAnsi="Calibri" w:cs="Calibri"/>
          <w:color w:val="000000"/>
        </w:rPr>
        <w:t xml:space="preserve">. </w:t>
      </w:r>
      <w:r w:rsidR="003E153B" w:rsidRPr="005E354C">
        <w:rPr>
          <w:rFonts w:ascii="Calibri" w:hAnsi="Calibri" w:cs="Calibri"/>
          <w:color w:val="000000"/>
        </w:rPr>
        <w:t xml:space="preserve">Still, there is scarce evidence for </w:t>
      </w:r>
      <w:r w:rsidR="003E153B">
        <w:rPr>
          <w:rFonts w:ascii="Calibri" w:hAnsi="Calibri" w:cs="Calibri"/>
          <w:color w:val="000000"/>
        </w:rPr>
        <w:t>risk of sudden cardiac death between febuxostat and allopurinol in real-world practice.</w:t>
      </w:r>
    </w:p>
    <w:p w14:paraId="596883E2" w14:textId="77777777" w:rsidR="00C84B89" w:rsidRDefault="0009249C" w:rsidP="0007323D">
      <w:pPr>
        <w:pStyle w:val="1"/>
      </w:pPr>
      <w:bookmarkStart w:id="4" w:name="_Toc470944206"/>
      <w:r>
        <w:t>Research Questions and Objectives</w:t>
      </w:r>
      <w:bookmarkEnd w:id="4"/>
    </w:p>
    <w:p w14:paraId="19985B9B" w14:textId="77777777" w:rsidR="00354C2C" w:rsidRDefault="00354C2C" w:rsidP="00354C2C">
      <w:pPr>
        <w:pStyle w:val="2"/>
      </w:pPr>
      <w:bookmarkStart w:id="5" w:name="_Toc470944207"/>
      <w:r>
        <w:t>Research Question</w:t>
      </w:r>
      <w:r w:rsidR="0009249C">
        <w:t>s</w:t>
      </w:r>
      <w:bookmarkEnd w:id="5"/>
    </w:p>
    <w:p w14:paraId="45F9A4A9" w14:textId="4DC11BC1" w:rsidR="0068145E" w:rsidRDefault="008D3D46" w:rsidP="00A201D8">
      <w:pPr>
        <w:rPr>
          <w:rFonts w:ascii="Calibri" w:hAnsi="Calibri" w:cs="Calibri"/>
          <w:lang w:eastAsia="ko-KR"/>
        </w:rPr>
      </w:pPr>
      <w:r>
        <w:rPr>
          <w:rFonts w:ascii="Calibri" w:hAnsi="Calibri" w:cs="Calibri" w:hint="eastAsia"/>
          <w:lang w:eastAsia="ko-KR"/>
        </w:rPr>
        <w:t>P</w:t>
      </w:r>
      <w:r>
        <w:rPr>
          <w:rFonts w:ascii="Calibri" w:hAnsi="Calibri" w:cs="Calibri"/>
          <w:lang w:eastAsia="ko-KR"/>
        </w:rPr>
        <w:t>rimary research questions</w:t>
      </w:r>
    </w:p>
    <w:p w14:paraId="10D3073A" w14:textId="55A79779" w:rsidR="008D3D46" w:rsidRPr="008D3D46" w:rsidRDefault="008D3D46" w:rsidP="008D3D46">
      <w:pPr>
        <w:pStyle w:val="a8"/>
        <w:numPr>
          <w:ilvl w:val="0"/>
          <w:numId w:val="16"/>
        </w:numPr>
        <w:rPr>
          <w:rFonts w:ascii="Calibri" w:hAnsi="Calibri" w:cs="Calibri" w:hint="eastAsia"/>
          <w:lang w:eastAsia="ko-KR"/>
        </w:rPr>
      </w:pPr>
      <w:r w:rsidRPr="008D3D46">
        <w:rPr>
          <w:rFonts w:ascii="Calibri" w:hAnsi="Calibri" w:cs="Calibri"/>
          <w:lang w:eastAsia="ko-KR"/>
        </w:rPr>
        <w:t>Is febuxostat associated with increased risk of sudden cardiac death</w:t>
      </w:r>
      <w:r>
        <w:rPr>
          <w:rFonts w:ascii="Calibri" w:hAnsi="Calibri" w:cs="Calibri"/>
          <w:lang w:eastAsia="ko-KR"/>
        </w:rPr>
        <w:t xml:space="preserve"> compared to febuxostat in real-world practice? What is the </w:t>
      </w:r>
      <w:r w:rsidR="0049270D">
        <w:rPr>
          <w:rFonts w:ascii="Calibri" w:hAnsi="Calibri" w:cs="Calibri"/>
          <w:lang w:eastAsia="ko-KR"/>
        </w:rPr>
        <w:t>event</w:t>
      </w:r>
      <w:r>
        <w:rPr>
          <w:rFonts w:ascii="Calibri" w:hAnsi="Calibri" w:cs="Calibri"/>
          <w:lang w:eastAsia="ko-KR"/>
        </w:rPr>
        <w:t xml:space="preserve"> </w:t>
      </w:r>
      <w:r w:rsidR="0049270D">
        <w:rPr>
          <w:rFonts w:ascii="Calibri" w:hAnsi="Calibri" w:cs="Calibri"/>
          <w:lang w:eastAsia="ko-KR"/>
        </w:rPr>
        <w:t xml:space="preserve">rate </w:t>
      </w:r>
      <w:r>
        <w:rPr>
          <w:rFonts w:ascii="Calibri" w:hAnsi="Calibri" w:cs="Calibri"/>
          <w:lang w:eastAsia="ko-KR"/>
        </w:rPr>
        <w:t>difference?</w:t>
      </w:r>
    </w:p>
    <w:p w14:paraId="22CD96B7" w14:textId="05ADD64C" w:rsidR="008D3D46" w:rsidRDefault="008D3D46" w:rsidP="008D3D46">
      <w:pPr>
        <w:rPr>
          <w:rFonts w:ascii="Calibri" w:hAnsi="Calibri" w:cs="Calibri"/>
          <w:lang w:eastAsia="ko-KR"/>
        </w:rPr>
      </w:pPr>
      <w:r>
        <w:rPr>
          <w:rFonts w:ascii="Calibri" w:hAnsi="Calibri" w:cs="Calibri" w:hint="eastAsia"/>
          <w:lang w:eastAsia="ko-KR"/>
        </w:rPr>
        <w:t>S</w:t>
      </w:r>
      <w:r>
        <w:rPr>
          <w:rFonts w:ascii="Calibri" w:hAnsi="Calibri" w:cs="Calibri"/>
          <w:lang w:eastAsia="ko-KR"/>
        </w:rPr>
        <w:t>econdary objectives:</w:t>
      </w:r>
    </w:p>
    <w:p w14:paraId="49922A39" w14:textId="2C3B0809" w:rsidR="008D3D46" w:rsidRDefault="008D3D46" w:rsidP="008D3D46">
      <w:pPr>
        <w:pStyle w:val="a8"/>
        <w:numPr>
          <w:ilvl w:val="0"/>
          <w:numId w:val="16"/>
        </w:numPr>
        <w:rPr>
          <w:rFonts w:ascii="Calibri" w:hAnsi="Calibri" w:cs="Calibri"/>
          <w:lang w:eastAsia="ko-KR"/>
        </w:rPr>
      </w:pPr>
      <w:r w:rsidRPr="008D3D46">
        <w:rPr>
          <w:rFonts w:ascii="Calibri" w:hAnsi="Calibri" w:cs="Calibri"/>
          <w:lang w:eastAsia="ko-KR"/>
        </w:rPr>
        <w:t>Is</w:t>
      </w:r>
      <w:r>
        <w:rPr>
          <w:rFonts w:ascii="Calibri" w:hAnsi="Calibri" w:cs="Calibri"/>
          <w:lang w:eastAsia="ko-KR"/>
        </w:rPr>
        <w:t xml:space="preserve"> </w:t>
      </w:r>
      <w:r w:rsidRPr="008D3D46">
        <w:rPr>
          <w:rFonts w:ascii="Calibri" w:hAnsi="Calibri" w:cs="Calibri"/>
          <w:lang w:eastAsia="ko-KR"/>
        </w:rPr>
        <w:t xml:space="preserve">febuxostat associated with increased risk of </w:t>
      </w:r>
      <w:r>
        <w:rPr>
          <w:rFonts w:ascii="Calibri" w:hAnsi="Calibri" w:cs="Calibri"/>
          <w:lang w:eastAsia="ko-KR"/>
        </w:rPr>
        <w:t xml:space="preserve">cardiovascular disease compared to febuxostat in real-world practice? </w:t>
      </w:r>
      <w:r w:rsidR="0049270D">
        <w:rPr>
          <w:rFonts w:ascii="Calibri" w:hAnsi="Calibri" w:cs="Calibri"/>
          <w:lang w:eastAsia="ko-KR"/>
        </w:rPr>
        <w:t>What is the event rate difference?</w:t>
      </w:r>
    </w:p>
    <w:p w14:paraId="787542FD" w14:textId="513DDC28" w:rsidR="008D3D46" w:rsidRPr="008D3D46" w:rsidRDefault="008D3D46" w:rsidP="008D3D46">
      <w:pPr>
        <w:pStyle w:val="a8"/>
        <w:numPr>
          <w:ilvl w:val="0"/>
          <w:numId w:val="16"/>
        </w:numPr>
        <w:rPr>
          <w:rFonts w:ascii="Calibri" w:hAnsi="Calibri" w:cs="Calibri" w:hint="eastAsia"/>
          <w:lang w:eastAsia="ko-KR"/>
        </w:rPr>
      </w:pPr>
      <w:r w:rsidRPr="008D3D46">
        <w:rPr>
          <w:rFonts w:ascii="Calibri" w:hAnsi="Calibri" w:cs="Calibri"/>
          <w:lang w:eastAsia="ko-KR"/>
        </w:rPr>
        <w:lastRenderedPageBreak/>
        <w:t>Is</w:t>
      </w:r>
      <w:r>
        <w:rPr>
          <w:rFonts w:ascii="Calibri" w:hAnsi="Calibri" w:cs="Calibri"/>
          <w:lang w:eastAsia="ko-KR"/>
        </w:rPr>
        <w:t xml:space="preserve"> </w:t>
      </w:r>
      <w:r w:rsidRPr="008D3D46">
        <w:rPr>
          <w:rFonts w:ascii="Calibri" w:hAnsi="Calibri" w:cs="Calibri"/>
          <w:lang w:eastAsia="ko-KR"/>
        </w:rPr>
        <w:t xml:space="preserve">febuxostat associated with increased risk of </w:t>
      </w:r>
      <w:r>
        <w:rPr>
          <w:rFonts w:ascii="Calibri" w:hAnsi="Calibri" w:cs="Calibri"/>
          <w:lang w:eastAsia="ko-KR"/>
        </w:rPr>
        <w:t xml:space="preserve">gout flare compared to febuxostat in real-world practice? </w:t>
      </w:r>
      <w:r w:rsidR="0049270D">
        <w:rPr>
          <w:rFonts w:ascii="Calibri" w:hAnsi="Calibri" w:cs="Calibri"/>
          <w:lang w:eastAsia="ko-KR"/>
        </w:rPr>
        <w:t>What is the event rate difference?</w:t>
      </w:r>
    </w:p>
    <w:p w14:paraId="29892FC1" w14:textId="65B76CE9" w:rsidR="00CF681F" w:rsidRDefault="008D3D46" w:rsidP="00AF2682">
      <w:pPr>
        <w:pStyle w:val="a8"/>
        <w:numPr>
          <w:ilvl w:val="0"/>
          <w:numId w:val="16"/>
        </w:numPr>
        <w:rPr>
          <w:rFonts w:ascii="Calibri" w:hAnsi="Calibri" w:cs="Calibri"/>
        </w:rPr>
      </w:pPr>
      <w:r w:rsidRPr="0049270D">
        <w:rPr>
          <w:rFonts w:ascii="Calibri" w:hAnsi="Calibri" w:cs="Calibri"/>
          <w:lang w:eastAsia="ko-KR"/>
        </w:rPr>
        <w:t xml:space="preserve">Is febuxostat associated with lower risk of drug hypersensitivity compared to febuxostat in real-world practice? </w:t>
      </w:r>
      <w:r w:rsidR="0049270D">
        <w:rPr>
          <w:rFonts w:ascii="Calibri" w:hAnsi="Calibri" w:cs="Calibri"/>
          <w:lang w:eastAsia="ko-KR"/>
        </w:rPr>
        <w:t>What is the event rate difference?</w:t>
      </w:r>
    </w:p>
    <w:p w14:paraId="48DA1BC2" w14:textId="77777777" w:rsidR="0049270D" w:rsidRPr="0049270D" w:rsidRDefault="0049270D" w:rsidP="0049270D">
      <w:pPr>
        <w:pStyle w:val="a8"/>
        <w:ind w:left="760"/>
        <w:rPr>
          <w:rFonts w:ascii="Calibri" w:hAnsi="Calibri" w:cs="Calibri"/>
        </w:rPr>
      </w:pPr>
    </w:p>
    <w:p w14:paraId="3341FDCD" w14:textId="577A0E0E" w:rsidR="0009249C" w:rsidRDefault="0009249C" w:rsidP="0009249C">
      <w:pPr>
        <w:pStyle w:val="2"/>
      </w:pPr>
      <w:bookmarkStart w:id="6" w:name="_Toc470944208"/>
      <w:r>
        <w:t>Objectives</w:t>
      </w:r>
      <w:bookmarkEnd w:id="6"/>
    </w:p>
    <w:p w14:paraId="7CE32721" w14:textId="08529ACA" w:rsidR="00F05D4D" w:rsidRDefault="00F05D4D" w:rsidP="008D3D46">
      <w:pPr>
        <w:rPr>
          <w:rFonts w:ascii="Calibri" w:hAnsi="Calibri" w:cs="Calibri"/>
        </w:rPr>
      </w:pPr>
      <w:r w:rsidRPr="0083135A">
        <w:rPr>
          <w:rFonts w:ascii="Calibri" w:hAnsi="Calibri" w:cs="Calibri"/>
        </w:rPr>
        <w:t xml:space="preserve">The goal of this protocols is conducting comparative effectiveness research to establish evidences for </w:t>
      </w:r>
      <w:r w:rsidR="008D3D46">
        <w:rPr>
          <w:rFonts w:ascii="Calibri" w:hAnsi="Calibri" w:cs="Calibri"/>
        </w:rPr>
        <w:t>benefits and harms of febuxostat and allopurinol.</w:t>
      </w:r>
    </w:p>
    <w:p w14:paraId="6408F186" w14:textId="77777777" w:rsidR="008D3D46" w:rsidRDefault="008D3D46" w:rsidP="008D3D46">
      <w:pPr>
        <w:rPr>
          <w:rFonts w:ascii="Calibri" w:hAnsi="Calibri" w:cs="Calibri"/>
        </w:rPr>
      </w:pPr>
    </w:p>
    <w:p w14:paraId="2C0AA123" w14:textId="0874EA71" w:rsidR="008D3D46" w:rsidRDefault="008D3D46" w:rsidP="008D3D46">
      <w:pPr>
        <w:rPr>
          <w:rFonts w:ascii="Calibri" w:hAnsi="Calibri" w:cs="Calibri"/>
          <w:lang w:eastAsia="ko-KR"/>
        </w:rPr>
      </w:pPr>
      <w:r w:rsidRPr="00706740">
        <w:rPr>
          <w:rFonts w:ascii="Calibri" w:hAnsi="Calibri" w:cs="Calibri" w:hint="eastAsia"/>
          <w:b/>
          <w:lang w:eastAsia="ko-KR"/>
        </w:rPr>
        <w:t>P</w:t>
      </w:r>
      <w:r w:rsidRPr="00706740">
        <w:rPr>
          <w:rFonts w:ascii="Calibri" w:hAnsi="Calibri" w:cs="Calibri"/>
          <w:b/>
          <w:lang w:eastAsia="ko-KR"/>
        </w:rPr>
        <w:t>rimary objective</w:t>
      </w:r>
      <w:r>
        <w:rPr>
          <w:rFonts w:ascii="Calibri" w:hAnsi="Calibri" w:cs="Calibri"/>
          <w:lang w:eastAsia="ko-KR"/>
        </w:rPr>
        <w:t>:</w:t>
      </w:r>
    </w:p>
    <w:p w14:paraId="66B2BE5E" w14:textId="4281AEA8" w:rsidR="008D3D46" w:rsidRDefault="008D3D46" w:rsidP="008D3D46">
      <w:pPr>
        <w:rPr>
          <w:rFonts w:ascii="Calibri" w:hAnsi="Calibri" w:cs="Calibri"/>
          <w:lang w:eastAsia="ko-KR"/>
        </w:rPr>
      </w:pPr>
      <w:r>
        <w:rPr>
          <w:rFonts w:ascii="Calibri" w:hAnsi="Calibri" w:cs="Calibri"/>
          <w:lang w:eastAsia="ko-KR"/>
        </w:rPr>
        <w:tab/>
        <w:t xml:space="preserve">-Assess the adjusted hazard ratio </w:t>
      </w:r>
      <w:r w:rsidR="0049270D">
        <w:rPr>
          <w:rFonts w:ascii="Calibri" w:hAnsi="Calibri" w:cs="Calibri"/>
          <w:lang w:eastAsia="ko-KR"/>
        </w:rPr>
        <w:t xml:space="preserve">and event rate difference </w:t>
      </w:r>
      <w:r>
        <w:rPr>
          <w:rFonts w:ascii="Calibri" w:hAnsi="Calibri" w:cs="Calibri"/>
          <w:lang w:eastAsia="ko-KR"/>
        </w:rPr>
        <w:t>for use of febuxostat vs allopurinol on risk of sudden cardiac death</w:t>
      </w:r>
    </w:p>
    <w:p w14:paraId="58E6319A" w14:textId="59F433D2" w:rsidR="008D3D46" w:rsidRDefault="008D3D46" w:rsidP="008D3D46">
      <w:pPr>
        <w:rPr>
          <w:rFonts w:ascii="Calibri" w:hAnsi="Calibri" w:cs="Calibri"/>
          <w:lang w:eastAsia="ko-KR"/>
        </w:rPr>
      </w:pPr>
      <w:r w:rsidRPr="00706740">
        <w:rPr>
          <w:rFonts w:ascii="Calibri" w:hAnsi="Calibri" w:cs="Calibri"/>
          <w:b/>
          <w:lang w:eastAsia="ko-KR"/>
        </w:rPr>
        <w:t>Secondary objectives</w:t>
      </w:r>
      <w:r>
        <w:rPr>
          <w:rFonts w:ascii="Calibri" w:hAnsi="Calibri" w:cs="Calibri"/>
          <w:lang w:eastAsia="ko-KR"/>
        </w:rPr>
        <w:t>:</w:t>
      </w:r>
    </w:p>
    <w:p w14:paraId="407EBB5A" w14:textId="36F5545B" w:rsidR="008D3D46" w:rsidRDefault="0049270D" w:rsidP="008D3D46">
      <w:pPr>
        <w:rPr>
          <w:rFonts w:ascii="Calibri" w:hAnsi="Calibri" w:cs="Calibri"/>
          <w:lang w:eastAsia="ko-KR"/>
        </w:rPr>
      </w:pPr>
      <w:r>
        <w:rPr>
          <w:rFonts w:ascii="Calibri" w:hAnsi="Calibri" w:cs="Calibri"/>
          <w:lang w:eastAsia="ko-KR"/>
        </w:rPr>
        <w:tab/>
        <w:t>-Assess the adjusted hazard ratio and event rate difference for use of febuxostat vs allopurinol on risk of cardiovascular disease</w:t>
      </w:r>
    </w:p>
    <w:p w14:paraId="7CB20517" w14:textId="703A5991" w:rsidR="0049270D" w:rsidRDefault="0049270D" w:rsidP="008D3D46">
      <w:pPr>
        <w:rPr>
          <w:rFonts w:ascii="Calibri" w:hAnsi="Calibri" w:cs="Calibri"/>
          <w:lang w:eastAsia="ko-KR"/>
        </w:rPr>
      </w:pPr>
      <w:r>
        <w:rPr>
          <w:rFonts w:ascii="Calibri" w:hAnsi="Calibri" w:cs="Calibri"/>
          <w:lang w:eastAsia="ko-KR"/>
        </w:rPr>
        <w:tab/>
        <w:t>-Assess the adjusted hazard ratio and event rate difference for use of febuxostat vs allopurinol on risk of gout flare</w:t>
      </w:r>
    </w:p>
    <w:p w14:paraId="098AF2BC" w14:textId="6D3ED1A2" w:rsidR="0049270D" w:rsidRPr="008D3D46" w:rsidRDefault="0049270D" w:rsidP="008D3D46">
      <w:pPr>
        <w:rPr>
          <w:rFonts w:ascii="Calibri" w:hAnsi="Calibri" w:cs="Calibri" w:hint="eastAsia"/>
          <w:lang w:eastAsia="ko-KR"/>
        </w:rPr>
      </w:pPr>
      <w:r>
        <w:rPr>
          <w:rFonts w:ascii="Calibri" w:hAnsi="Calibri" w:cs="Calibri"/>
          <w:lang w:eastAsia="ko-KR"/>
        </w:rPr>
        <w:tab/>
        <w:t>-Assess the adjusted hazard ratio and event rate difference for use of febuxostat vs allopurinol on risk of drug hypersensitivity</w:t>
      </w:r>
    </w:p>
    <w:p w14:paraId="15B4E385" w14:textId="77777777" w:rsidR="00354C2C" w:rsidRDefault="00354C2C" w:rsidP="00354C2C">
      <w:pPr>
        <w:pStyle w:val="1"/>
      </w:pPr>
      <w:bookmarkStart w:id="7" w:name="_Toc470944209"/>
      <w:r>
        <w:t>Research me</w:t>
      </w:r>
      <w:r w:rsidR="00106CBC">
        <w:t>t</w:t>
      </w:r>
      <w:r>
        <w:t>hods</w:t>
      </w:r>
      <w:bookmarkEnd w:id="7"/>
    </w:p>
    <w:p w14:paraId="57891139" w14:textId="77777777" w:rsidR="00354C2C" w:rsidRDefault="00647841" w:rsidP="00647841">
      <w:pPr>
        <w:pStyle w:val="2"/>
      </w:pPr>
      <w:bookmarkStart w:id="8" w:name="_Toc470944210"/>
      <w:r>
        <w:t xml:space="preserve">Study </w:t>
      </w:r>
      <w:r w:rsidR="00EF05FD">
        <w:t>D</w:t>
      </w:r>
      <w:r>
        <w:t>esign</w:t>
      </w:r>
      <w:bookmarkEnd w:id="8"/>
    </w:p>
    <w:p w14:paraId="4066A27B" w14:textId="77777777" w:rsidR="00FC47D9" w:rsidRPr="00FC47D9" w:rsidRDefault="00FC47D9" w:rsidP="00FC47D9">
      <w:pPr>
        <w:pStyle w:val="3"/>
      </w:pPr>
      <w:bookmarkStart w:id="9" w:name="_Toc470944211"/>
      <w:r>
        <w:t>Overview</w:t>
      </w:r>
      <w:bookmarkEnd w:id="9"/>
    </w:p>
    <w:p w14:paraId="08CAC265" w14:textId="65905077" w:rsidR="00396739" w:rsidRDefault="001D2E89" w:rsidP="00396739">
      <w:r w:rsidRPr="00CF681F">
        <w:t>This study will be a retrospective, observational cohort study</w:t>
      </w:r>
      <w:r w:rsidR="00F341F8" w:rsidRPr="00CF681F">
        <w:t xml:space="preserve">. </w:t>
      </w:r>
      <w:r w:rsidR="00396739">
        <w:t xml:space="preserve">By ‘retrospective’ we mean the study will use data already collected at the start of the study. By ‘observational’ we mean no intervention will take place </w:t>
      </w:r>
      <w:proofErr w:type="gramStart"/>
      <w:r w:rsidR="00396739">
        <w:t>in the course of</w:t>
      </w:r>
      <w:proofErr w:type="gramEnd"/>
      <w:r w:rsidR="00396739">
        <w:t xml:space="preserve"> this study. By ‘cohort study’ we mean two cohorts, a treatment and comparator cohort, will be followed from index date (start of first exposure) to some end date, and assessed for the occurrence of the outcomes of interest.  </w:t>
      </w:r>
    </w:p>
    <w:p w14:paraId="7F81E532" w14:textId="1654CBEB" w:rsidR="00396739" w:rsidRDefault="00396739" w:rsidP="00396739">
      <w:r>
        <w:t xml:space="preserve">The treatment cohort will be users of </w:t>
      </w:r>
      <w:r>
        <w:t>febuxostat</w:t>
      </w:r>
      <w:r>
        <w:t xml:space="preserve">. The comparator cohort will be new users of </w:t>
      </w:r>
      <w:r>
        <w:t>allopurinol</w:t>
      </w:r>
      <w:r>
        <w:t xml:space="preserve">. For both groups we restrict to people with </w:t>
      </w:r>
      <w:r>
        <w:t>gout</w:t>
      </w:r>
      <w:r>
        <w:t xml:space="preserve">, one of the main indications for the drugs of interest. The </w:t>
      </w:r>
      <w:r>
        <w:t xml:space="preserve">primary </w:t>
      </w:r>
      <w:r>
        <w:t xml:space="preserve">outcome of is </w:t>
      </w:r>
      <w:r>
        <w:t>sudden cardiac death</w:t>
      </w:r>
      <w:r>
        <w:t xml:space="preserve">. Proportional hazard models will be used to assess the hazard ratios between the two exposure cohorts. </w:t>
      </w:r>
    </w:p>
    <w:p w14:paraId="01A27295" w14:textId="064E70F5" w:rsidR="00176A9A" w:rsidRPr="00CF681F" w:rsidRDefault="00396739" w:rsidP="005766BB">
      <w:r>
        <w:lastRenderedPageBreak/>
        <w:t xml:space="preserve">Adjustment for baseline confounders will be done using propensity scores. First, a propensity model will be fitted and used to create propensity scores (PS). These PS will be used to match the treatment and comparator cohorts, and the proportional hazards outcome models will be conditioned on the matched sets of </w:t>
      </w:r>
      <w:proofErr w:type="gramStart"/>
      <w:r>
        <w:t>strata</w:t>
      </w:r>
      <w:proofErr w:type="gramEnd"/>
      <w:r>
        <w:t xml:space="preserve"> respectively.</w:t>
      </w:r>
    </w:p>
    <w:p w14:paraId="32A29479" w14:textId="77777777" w:rsidR="00FC47D9" w:rsidRDefault="00FA320A" w:rsidP="00961DED">
      <w:pPr>
        <w:pStyle w:val="3"/>
      </w:pPr>
      <w:bookmarkStart w:id="10" w:name="_Toc470944212"/>
      <w:r>
        <w:t xml:space="preserve">Study </w:t>
      </w:r>
      <w:r w:rsidR="00300ED7">
        <w:t>population</w:t>
      </w:r>
      <w:bookmarkEnd w:id="10"/>
    </w:p>
    <w:p w14:paraId="51E3E3DB" w14:textId="4B6BA99E" w:rsidR="00C34318" w:rsidRDefault="00C34318" w:rsidP="00C34318">
      <w:r>
        <w:t xml:space="preserve">All subjects in the database will be included who meet the following criteria: (note: the index date is the start of the first exposure to </w:t>
      </w:r>
      <w:r>
        <w:t>febuxostat</w:t>
      </w:r>
      <w:r>
        <w:t xml:space="preserve"> or </w:t>
      </w:r>
      <w:r>
        <w:t>allopurinol</w:t>
      </w:r>
      <w:r>
        <w:t>)</w:t>
      </w:r>
    </w:p>
    <w:p w14:paraId="2EA92CD0" w14:textId="5D144B90" w:rsidR="00C34318" w:rsidRDefault="00C34318" w:rsidP="00C34318">
      <w:pPr>
        <w:pStyle w:val="a8"/>
        <w:numPr>
          <w:ilvl w:val="0"/>
          <w:numId w:val="9"/>
        </w:numPr>
      </w:pPr>
      <w:r>
        <w:t xml:space="preserve">Exposure to </w:t>
      </w:r>
      <w:r>
        <w:t>febuxostat</w:t>
      </w:r>
      <w:r>
        <w:t xml:space="preserve"> or </w:t>
      </w:r>
      <w:r>
        <w:t>allopurinol</w:t>
      </w:r>
      <w:r w:rsidR="00A65697">
        <w:t xml:space="preserve"> more than 30 days</w:t>
      </w:r>
    </w:p>
    <w:p w14:paraId="2B2902C0" w14:textId="1D7F8A77" w:rsidR="00C34318" w:rsidRDefault="00C34318" w:rsidP="00C34318">
      <w:pPr>
        <w:pStyle w:val="a8"/>
        <w:numPr>
          <w:ilvl w:val="0"/>
          <w:numId w:val="9"/>
        </w:numPr>
      </w:pPr>
      <w:r>
        <w:t xml:space="preserve">At least </w:t>
      </w:r>
      <w:r w:rsidR="00A65697">
        <w:t>365</w:t>
      </w:r>
      <w:r>
        <w:t xml:space="preserve"> days of observation time prior to the index date</w:t>
      </w:r>
    </w:p>
    <w:p w14:paraId="5F5B5BC3" w14:textId="774AC032" w:rsidR="00C34318" w:rsidRDefault="00C34318" w:rsidP="00C34318">
      <w:pPr>
        <w:pStyle w:val="a8"/>
        <w:numPr>
          <w:ilvl w:val="0"/>
          <w:numId w:val="9"/>
        </w:numPr>
      </w:pPr>
      <w:r>
        <w:t xml:space="preserve">A diagnose of </w:t>
      </w:r>
      <w:r w:rsidR="00A65697">
        <w:t>gout</w:t>
      </w:r>
      <w:r>
        <w:t xml:space="preserve"> disorder on </w:t>
      </w:r>
      <w:r w:rsidR="00A65697">
        <w:t>within 30 months prior to the</w:t>
      </w:r>
      <w:r>
        <w:t xml:space="preserve"> index date</w:t>
      </w:r>
    </w:p>
    <w:p w14:paraId="17271D16" w14:textId="58A3AE2C" w:rsidR="00A65697" w:rsidRDefault="00A65697" w:rsidP="00A65697">
      <w:pPr>
        <w:pStyle w:val="a8"/>
        <w:numPr>
          <w:ilvl w:val="0"/>
          <w:numId w:val="9"/>
        </w:numPr>
      </w:pPr>
      <w:r>
        <w:t xml:space="preserve">No diagnosis of the </w:t>
      </w:r>
      <w:r>
        <w:t xml:space="preserve">myeloproliferative disorder or primary malignant neoplasm of bone marrow </w:t>
      </w:r>
      <w:r>
        <w:t>preceding the index date</w:t>
      </w:r>
    </w:p>
    <w:p w14:paraId="1A5DBD08" w14:textId="49438324" w:rsidR="00A65697" w:rsidRDefault="00A65697" w:rsidP="00A65697">
      <w:pPr>
        <w:pStyle w:val="a8"/>
        <w:numPr>
          <w:ilvl w:val="0"/>
          <w:numId w:val="9"/>
        </w:numPr>
      </w:pPr>
      <w:r>
        <w:rPr>
          <w:rFonts w:hint="eastAsia"/>
          <w:lang w:eastAsia="ko-KR"/>
        </w:rPr>
        <w:t>N</w:t>
      </w:r>
      <w:r>
        <w:rPr>
          <w:lang w:eastAsia="ko-KR"/>
        </w:rPr>
        <w:t>o diagnosis of the xanthinuria preceding the index date</w:t>
      </w:r>
    </w:p>
    <w:p w14:paraId="3E0AD9F7" w14:textId="4DA1230F" w:rsidR="00A711D8" w:rsidRDefault="00A711D8" w:rsidP="00A65697">
      <w:pPr>
        <w:pStyle w:val="a8"/>
        <w:numPr>
          <w:ilvl w:val="0"/>
          <w:numId w:val="9"/>
        </w:numPr>
      </w:pPr>
      <w:r>
        <w:rPr>
          <w:lang w:eastAsia="ko-KR"/>
        </w:rPr>
        <w:t>Without other uricosuric drug within preceding 1 year</w:t>
      </w:r>
    </w:p>
    <w:p w14:paraId="4D96C075" w14:textId="77777777" w:rsidR="00BE5778" w:rsidRDefault="00BE5778" w:rsidP="00BE5778"/>
    <w:p w14:paraId="62014562" w14:textId="77777777" w:rsidR="00300ED7" w:rsidRPr="00300ED7" w:rsidRDefault="00300ED7" w:rsidP="00300ED7">
      <w:pPr>
        <w:pStyle w:val="3"/>
      </w:pPr>
      <w:bookmarkStart w:id="11" w:name="_Toc470944213"/>
      <w:r>
        <w:t>Additional analysis details</w:t>
      </w:r>
      <w:bookmarkEnd w:id="11"/>
    </w:p>
    <w:p w14:paraId="65CFABF9" w14:textId="77777777" w:rsidR="0071403A" w:rsidRPr="00431DA7" w:rsidRDefault="00A9089F" w:rsidP="0071403A">
      <w:r w:rsidRPr="00431DA7">
        <w:t>The propensity model will be fitted using a regularized logistic regression</w:t>
      </w:r>
      <w:r w:rsidR="001075FA" w:rsidRPr="00431DA7">
        <w:t xml:space="preserve"> with a </w:t>
      </w:r>
      <w:proofErr w:type="spellStart"/>
      <w:r w:rsidR="001075FA" w:rsidRPr="00431DA7">
        <w:t>LaPlace</w:t>
      </w:r>
      <w:proofErr w:type="spellEnd"/>
      <w:r w:rsidR="001075FA" w:rsidRPr="00431DA7">
        <w:t xml:space="preserve"> prior</w:t>
      </w:r>
      <w:r w:rsidRPr="00431DA7">
        <w:t xml:space="preserve">. The </w:t>
      </w:r>
      <w:r w:rsidR="00F610C6" w:rsidRPr="00431DA7">
        <w:t xml:space="preserve">regularization </w:t>
      </w:r>
      <w:r w:rsidRPr="00431DA7">
        <w:t xml:space="preserve">hyperparameter will be </w:t>
      </w:r>
      <w:r w:rsidR="001075FA" w:rsidRPr="00431DA7">
        <w:t xml:space="preserve">selected </w:t>
      </w:r>
      <w:r w:rsidR="001A4A28" w:rsidRPr="00431DA7">
        <w:t xml:space="preserve">by optimizing the likelihood in a </w:t>
      </w:r>
      <w:r w:rsidR="001075FA" w:rsidRPr="00431DA7">
        <w:t xml:space="preserve">10-fold cross-validation. </w:t>
      </w:r>
    </w:p>
    <w:p w14:paraId="210C257E" w14:textId="6A5C75D7" w:rsidR="0049270D" w:rsidRDefault="00BE73A5" w:rsidP="0049270D">
      <w:r w:rsidRPr="00431DA7">
        <w:t>Variable-ratio propensity score matching will be performed using greedy matching</w:t>
      </w:r>
      <w:r w:rsidR="00431DA7" w:rsidRPr="00431DA7">
        <w:fldChar w:fldCharType="begin"/>
      </w:r>
      <w:r w:rsidR="00364646">
        <w:instrText xml:space="preserve"> ADDIN ZOTERO_ITEM CSL_CITATION {"citationID":"2gp532hg9r","properties":{"formattedCitation":"\\super 3\\nosupersub{}","plainCitation":"3","noteIndex":0},"citationItems":[{"id":1663,"uris":["http://zotero.org/users/1354749/items/F4BF5IV2"],"uri":["http://zotero.org/users/1354749/items/F4BF5IV2"],"itemData":{"id":1663,"type":"article-journal","title":"One-to-many propensity score matching in cohort studies","container-title":"Pharmacoepidemiology and Drug Safety","page":"69-80","volume":"21","source":"Wiley Online Library","abstract":"Background\n\nAmong the large number of cohort studies that employ propensity score matching, most match patients 1:1. Increasing the matching ratio is thought to improve precision but may come with a trade-off with respect to bias.\n\nObjective\n\nTo evaluate several methods of propensity score matching in cohort studies through simulation and empirical analyses.\n\nMethods\n\nWe simulated cohorts of 20 000 patients with exposure prevalence of 10%–50%. We simulated five dichotomous and five continuous confounders. We estimated propensity scores and matched using digit-based greedy (“greedy”), pairwise nearest neighbor within a caliper (“nearest neighbor”), and a nearest neighbor approach that sought to balance the scores of the comparison patient above and below that of the treated patient (“balanced nearest neighbor”). We matched at both fixed and variable matching ratios and also evaluated sequential and parallel schemes for the order of formation of 1:n match groups. We then applied this same approach to two cohorts of patients drawn from administrative claims data.\n\nResults\n\nIncreasing the match ratio beyond 1:1 generally resulted in somewhat higher bias. It also resulted in lower variance with variable ratio matching but higher variance with fixed. The parallel approach generally resulted in higher mean squared error but lower bias than the sequential approach. Variable ratio, parallel, balanced nearest neighbor matching generally yielded the lowest bias and mean squared error.\n\nConclusions\n\n1:n matching can be used to increase precision in cohort studies. We recommend a variable ratio, parallel, balanced 1:n, nearest neighbor approach that increases precision over 1:1 matching at a small cost in bias. Copyright © 2012 John Wiley &amp; Sons, Ltd.","DOI":"10.1002/pds.3263","ISSN":"1099-1557","journalAbbreviation":"Pharmacoepidemiol Drug Saf","language":"en","author":[{"family":"Rassen","given":"Jeremy A."},{"family":"Shelat","given":"Abhi A."},{"family":"Myers","given":"Jessica"},{"family":"Glynn","given":"Robert J."},{"family":"Rothman","given":"Kenneth J."},{"family":"Schneeweiss","given":"Sebastian"}],"issued":{"date-parts":[["2012",5,1]]}}}],"schema":"https://github.com/citation-style-language/schema/raw/master/csl-citation.json"} </w:instrText>
      </w:r>
      <w:r w:rsidR="00431DA7" w:rsidRPr="00431DA7">
        <w:fldChar w:fldCharType="separate"/>
      </w:r>
      <w:r w:rsidR="00364646" w:rsidRPr="00364646">
        <w:rPr>
          <w:rFonts w:ascii="Calibri" w:hAnsi="Calibri" w:cs="Calibri"/>
          <w:szCs w:val="24"/>
          <w:vertAlign w:val="superscript"/>
        </w:rPr>
        <w:t>3</w:t>
      </w:r>
      <w:r w:rsidR="00431DA7" w:rsidRPr="00431DA7">
        <w:fldChar w:fldCharType="end"/>
      </w:r>
      <w:r w:rsidR="009D4796" w:rsidRPr="00431DA7">
        <w:t>.</w:t>
      </w:r>
      <w:r w:rsidR="00EF3BDA" w:rsidRPr="00431DA7">
        <w:t xml:space="preserve"> A caliper of 0.25 </w:t>
      </w:r>
      <w:r w:rsidR="007F6A8B" w:rsidRPr="00431DA7">
        <w:t>times the standard deviation of the propensity score distribution</w:t>
      </w:r>
      <w:r w:rsidR="00912EC1" w:rsidRPr="00431DA7">
        <w:t xml:space="preserve"> will be used</w:t>
      </w:r>
      <w:r w:rsidR="007F6A8B" w:rsidRPr="00431DA7">
        <w:t>.</w:t>
      </w:r>
      <w:r w:rsidR="0049270D">
        <w:t xml:space="preserve"> The outcome model will be fitted using a Cox regression conditioned on the matched sets, with only the treatment variable as predictor.</w:t>
      </w:r>
    </w:p>
    <w:p w14:paraId="46860703" w14:textId="6A070965" w:rsidR="001075FA" w:rsidRPr="0071403A" w:rsidRDefault="001075FA" w:rsidP="0071403A"/>
    <w:p w14:paraId="1EC7D755" w14:textId="77777777" w:rsidR="00A431E4" w:rsidRPr="00A431E4" w:rsidRDefault="00CD4EAF" w:rsidP="00A431E4">
      <w:pPr>
        <w:pStyle w:val="3"/>
      </w:pPr>
      <w:bookmarkStart w:id="12" w:name="_Toc470944214"/>
      <w:r>
        <w:t>A</w:t>
      </w:r>
      <w:r w:rsidR="00A431E4">
        <w:t>nalysis variations</w:t>
      </w:r>
      <w:bookmarkEnd w:id="12"/>
    </w:p>
    <w:p w14:paraId="3FDD4EF1" w14:textId="77777777" w:rsidR="0049270D" w:rsidRDefault="0049270D" w:rsidP="0049270D">
      <w:r>
        <w:t>The following variations of the analysis will be performed:</w:t>
      </w:r>
    </w:p>
    <w:p w14:paraId="282A5496" w14:textId="77777777" w:rsidR="0049270D" w:rsidRDefault="0049270D" w:rsidP="0049270D">
      <w:r>
        <w:t xml:space="preserve">Primary analysis: </w:t>
      </w:r>
    </w:p>
    <w:p w14:paraId="7AFBBA95" w14:textId="77777777" w:rsidR="0049270D" w:rsidRDefault="0049270D" w:rsidP="0049270D">
      <w:pPr>
        <w:pStyle w:val="a8"/>
        <w:numPr>
          <w:ilvl w:val="0"/>
          <w:numId w:val="7"/>
        </w:numPr>
      </w:pPr>
      <w:r>
        <w:t>Using a PS model to match treated and comparator. The outcome model will be condition on the matched sets.</w:t>
      </w:r>
    </w:p>
    <w:p w14:paraId="2631D9E5" w14:textId="77777777" w:rsidR="0049270D" w:rsidRDefault="0049270D" w:rsidP="0049270D">
      <w:r>
        <w:t xml:space="preserve">Secondary analyses: </w:t>
      </w:r>
    </w:p>
    <w:p w14:paraId="6180F218" w14:textId="77777777" w:rsidR="0049270D" w:rsidRDefault="0049270D" w:rsidP="0049270D">
      <w:pPr>
        <w:pStyle w:val="a8"/>
        <w:numPr>
          <w:ilvl w:val="0"/>
          <w:numId w:val="7"/>
        </w:numPr>
      </w:pPr>
      <w:r>
        <w:t>No PS model, a simple outcome model with only the treatment as predictor.</w:t>
      </w:r>
    </w:p>
    <w:p w14:paraId="2AD45CA2" w14:textId="77777777" w:rsidR="0049270D" w:rsidRDefault="0049270D" w:rsidP="0049270D">
      <w:pPr>
        <w:pStyle w:val="a8"/>
        <w:numPr>
          <w:ilvl w:val="0"/>
          <w:numId w:val="7"/>
        </w:numPr>
      </w:pPr>
      <w:r>
        <w:t xml:space="preserve">Using a PS model and perform 1-on-1 matching. The outcome model will be condition on the matched </w:t>
      </w:r>
      <w:proofErr w:type="gramStart"/>
      <w:r>
        <w:t>sets, but</w:t>
      </w:r>
      <w:proofErr w:type="gramEnd"/>
      <w:r>
        <w:t xml:space="preserve"> will only contain the treatment as predictor. This is included to allow plotting of the Kaplan-Meier curve, which is not possible when using variable ratio matching.</w:t>
      </w:r>
    </w:p>
    <w:p w14:paraId="2FF28B7E" w14:textId="77777777" w:rsidR="0049270D" w:rsidRPr="0071403A" w:rsidRDefault="0049270D" w:rsidP="0049270D">
      <w:pPr>
        <w:pStyle w:val="a8"/>
        <w:numPr>
          <w:ilvl w:val="0"/>
          <w:numId w:val="7"/>
        </w:numPr>
      </w:pPr>
      <w:r>
        <w:lastRenderedPageBreak/>
        <w:t xml:space="preserve">Variable ratio matching on the PS. The outcome model will include all covariates that were also included in the propensity </w:t>
      </w:r>
      <w:proofErr w:type="gramStart"/>
      <w:r>
        <w:t>model, and</w:t>
      </w:r>
      <w:proofErr w:type="gramEnd"/>
      <w:r>
        <w:t xml:space="preserve"> will be fitted using a L</w:t>
      </w:r>
      <w:r w:rsidRPr="00F54451">
        <w:rPr>
          <w:vertAlign w:val="subscript"/>
        </w:rPr>
        <w:t xml:space="preserve">1 </w:t>
      </w:r>
      <w:r>
        <w:t>regularized conditional Cox regression with prior. The regularization hyperparameter will be selected be selected by optimizing the likelihood in a 10-fold cross-validation. No regularization will be applied to the coefficient corresponding to the treatment variable (i.e. those representing the hazard ratio of interest).</w:t>
      </w:r>
    </w:p>
    <w:p w14:paraId="4D3E0DF6" w14:textId="146D67DF" w:rsidR="00E36432" w:rsidRDefault="0049270D" w:rsidP="00E36432">
      <w:pPr>
        <w:pStyle w:val="a8"/>
        <w:numPr>
          <w:ilvl w:val="0"/>
          <w:numId w:val="7"/>
        </w:numPr>
      </w:pPr>
      <w:r>
        <w:t>All analyses will be repeated using an intent-to-treat risk window definition, which starts on treatment initiation, and ends when observation ends.</w:t>
      </w:r>
    </w:p>
    <w:p w14:paraId="4B9361CA" w14:textId="33CE0819" w:rsidR="0049270D" w:rsidRDefault="003654C3" w:rsidP="003654C3">
      <w:pPr>
        <w:pStyle w:val="a8"/>
        <w:numPr>
          <w:ilvl w:val="0"/>
          <w:numId w:val="7"/>
        </w:numPr>
      </w:pPr>
      <w:r>
        <w:t xml:space="preserve">All analyses will be repeated using </w:t>
      </w:r>
      <w:r>
        <w:t>subpopulation, who had more than 3 years of drug continuation</w:t>
      </w:r>
    </w:p>
    <w:p w14:paraId="0219644D" w14:textId="77777777" w:rsidR="003654C3" w:rsidRDefault="003654C3" w:rsidP="003654C3"/>
    <w:p w14:paraId="4F1AC610" w14:textId="77777777" w:rsidR="00647841" w:rsidRDefault="00647841" w:rsidP="00647841">
      <w:pPr>
        <w:pStyle w:val="2"/>
      </w:pPr>
      <w:bookmarkStart w:id="13" w:name="_Toc470944215"/>
      <w:r>
        <w:t>Variables</w:t>
      </w:r>
      <w:bookmarkEnd w:id="13"/>
    </w:p>
    <w:p w14:paraId="512D355E" w14:textId="77777777" w:rsidR="00647841" w:rsidRDefault="00647841" w:rsidP="00647841">
      <w:pPr>
        <w:pStyle w:val="3"/>
      </w:pPr>
      <w:bookmarkStart w:id="14" w:name="_Toc470944216"/>
      <w:r>
        <w:t>Exposures</w:t>
      </w:r>
      <w:bookmarkEnd w:id="14"/>
    </w:p>
    <w:p w14:paraId="4E654405" w14:textId="052E5891" w:rsidR="00EA5E71" w:rsidRDefault="0049270D" w:rsidP="00EA5E71">
      <w:pPr>
        <w:pStyle w:val="4"/>
        <w:numPr>
          <w:ilvl w:val="0"/>
          <w:numId w:val="0"/>
        </w:numPr>
      </w:pPr>
      <w:r>
        <w:t>Febuxostat</w:t>
      </w:r>
    </w:p>
    <w:p w14:paraId="27B5C520" w14:textId="77777777" w:rsidR="00921905" w:rsidRPr="00921905" w:rsidRDefault="00921905" w:rsidP="00921905">
      <w:pPr>
        <w:shd w:val="clear" w:color="auto" w:fill="FFFFFF"/>
        <w:spacing w:after="45" w:line="240" w:lineRule="auto"/>
        <w:rPr>
          <w:rFonts w:ascii="Segoe UI" w:eastAsia="Gulim" w:hAnsi="Segoe UI" w:cs="Segoe UI"/>
          <w:color w:val="000000"/>
          <w:sz w:val="21"/>
          <w:szCs w:val="21"/>
          <w:lang w:eastAsia="ko-KR"/>
        </w:rPr>
      </w:pPr>
      <w:r w:rsidRPr="00921905">
        <w:rPr>
          <w:rFonts w:ascii="Segoe UI" w:eastAsia="Gulim" w:hAnsi="Segoe UI" w:cs="Segoe UI"/>
          <w:color w:val="000000"/>
          <w:sz w:val="21"/>
          <w:szCs w:val="21"/>
          <w:lang w:eastAsia="ko-KR"/>
        </w:rPr>
        <w:t>Initial Event Cohort</w:t>
      </w:r>
    </w:p>
    <w:p w14:paraId="0358180C" w14:textId="77777777" w:rsidR="00921905" w:rsidRPr="00921905" w:rsidRDefault="00921905" w:rsidP="00921905">
      <w:pPr>
        <w:spacing w:after="0" w:line="240" w:lineRule="auto"/>
        <w:rPr>
          <w:rFonts w:ascii="Gulim" w:eastAsia="Gulim" w:hAnsi="Gulim" w:cs="Gulim"/>
          <w:sz w:val="24"/>
          <w:szCs w:val="24"/>
          <w:lang w:eastAsia="ko-KR"/>
        </w:rPr>
      </w:pPr>
      <w:r w:rsidRPr="00921905">
        <w:rPr>
          <w:rFonts w:ascii="Segoe UI" w:eastAsia="Gulim" w:hAnsi="Segoe UI" w:cs="Segoe UI"/>
          <w:color w:val="333333"/>
          <w:sz w:val="18"/>
          <w:szCs w:val="18"/>
          <w:shd w:val="clear" w:color="auto" w:fill="FFFFFF"/>
          <w:lang w:eastAsia="ko-KR"/>
        </w:rPr>
        <w:t>People having any of the following: </w:t>
      </w:r>
      <w:r w:rsidRPr="00921905">
        <w:rPr>
          <w:rFonts w:ascii="Segoe UI" w:eastAsia="Gulim" w:hAnsi="Segoe UI" w:cs="Segoe UI"/>
          <w:color w:val="333333"/>
          <w:sz w:val="18"/>
          <w:szCs w:val="18"/>
          <w:lang w:eastAsia="ko-KR"/>
        </w:rPr>
        <w:br/>
      </w:r>
    </w:p>
    <w:p w14:paraId="659F3968" w14:textId="77777777" w:rsidR="00921905" w:rsidRPr="00921905" w:rsidRDefault="00921905" w:rsidP="00921905">
      <w:pPr>
        <w:numPr>
          <w:ilvl w:val="0"/>
          <w:numId w:val="30"/>
        </w:numPr>
        <w:shd w:val="clear" w:color="auto" w:fill="FFFFFF"/>
        <w:spacing w:before="100" w:beforeAutospacing="1" w:after="100" w:afterAutospacing="1" w:line="240" w:lineRule="auto"/>
        <w:rPr>
          <w:rFonts w:ascii="Segoe UI" w:eastAsia="Gulim" w:hAnsi="Segoe UI" w:cs="Segoe UI"/>
          <w:color w:val="333333"/>
          <w:sz w:val="18"/>
          <w:szCs w:val="18"/>
          <w:lang w:eastAsia="ko-KR"/>
        </w:rPr>
      </w:pPr>
      <w:r w:rsidRPr="00921905">
        <w:rPr>
          <w:rFonts w:ascii="Segoe UI" w:eastAsia="Gulim" w:hAnsi="Segoe UI" w:cs="Segoe UI"/>
          <w:color w:val="333333"/>
          <w:sz w:val="18"/>
          <w:szCs w:val="18"/>
          <w:lang w:eastAsia="ko-KR"/>
        </w:rPr>
        <w:t>a drug era of febuxostat</w:t>
      </w:r>
      <w:r w:rsidRPr="00921905">
        <w:rPr>
          <w:rFonts w:ascii="Segoe UI" w:eastAsia="Gulim" w:hAnsi="Segoe UI" w:cs="Segoe UI"/>
          <w:color w:val="333333"/>
          <w:sz w:val="18"/>
          <w:szCs w:val="18"/>
          <w:vertAlign w:val="superscript"/>
          <w:lang w:eastAsia="ko-KR"/>
        </w:rPr>
        <w:t>8</w:t>
      </w:r>
    </w:p>
    <w:p w14:paraId="286A3BB3" w14:textId="77777777" w:rsidR="00921905" w:rsidRPr="00921905" w:rsidRDefault="00921905" w:rsidP="00921905">
      <w:pPr>
        <w:numPr>
          <w:ilvl w:val="1"/>
          <w:numId w:val="30"/>
        </w:numPr>
        <w:shd w:val="clear" w:color="auto" w:fill="FFFFFF"/>
        <w:spacing w:before="100" w:beforeAutospacing="1" w:after="100" w:afterAutospacing="1" w:line="240" w:lineRule="auto"/>
        <w:rPr>
          <w:rFonts w:ascii="Segoe UI" w:eastAsia="Gulim" w:hAnsi="Segoe UI" w:cs="Segoe UI"/>
          <w:color w:val="333333"/>
          <w:sz w:val="18"/>
          <w:szCs w:val="18"/>
          <w:lang w:eastAsia="ko-KR"/>
        </w:rPr>
      </w:pPr>
      <w:r w:rsidRPr="00921905">
        <w:rPr>
          <w:rFonts w:ascii="Segoe UI" w:eastAsia="Gulim" w:hAnsi="Segoe UI" w:cs="Segoe UI"/>
          <w:color w:val="333333"/>
          <w:sz w:val="18"/>
          <w:szCs w:val="18"/>
          <w:lang w:eastAsia="ko-KR"/>
        </w:rPr>
        <w:t>with era length &gt; 30</w:t>
      </w:r>
    </w:p>
    <w:p w14:paraId="0E81119B" w14:textId="77777777" w:rsidR="00921905" w:rsidRPr="00921905" w:rsidRDefault="00921905" w:rsidP="00921905">
      <w:pPr>
        <w:shd w:val="clear" w:color="auto" w:fill="FFFFFF"/>
        <w:spacing w:after="0" w:line="240" w:lineRule="auto"/>
        <w:rPr>
          <w:rFonts w:ascii="Segoe UI" w:eastAsia="Gulim" w:hAnsi="Segoe UI" w:cs="Segoe UI"/>
          <w:color w:val="333333"/>
          <w:sz w:val="18"/>
          <w:szCs w:val="18"/>
          <w:lang w:eastAsia="ko-KR"/>
        </w:rPr>
      </w:pPr>
      <w:r w:rsidRPr="00921905">
        <w:rPr>
          <w:rFonts w:ascii="Segoe UI" w:eastAsia="Gulim" w:hAnsi="Segoe UI" w:cs="Segoe UI"/>
          <w:color w:val="333333"/>
          <w:sz w:val="18"/>
          <w:szCs w:val="18"/>
          <w:lang w:eastAsia="ko-KR"/>
        </w:rPr>
        <w:t>with continuous observation of at least 365 days prior and 0 days after event index date, and limit initial events to: </w:t>
      </w:r>
      <w:r w:rsidRPr="00921905">
        <w:rPr>
          <w:rFonts w:ascii="Segoe UI" w:eastAsia="Gulim" w:hAnsi="Segoe UI" w:cs="Segoe UI"/>
          <w:b/>
          <w:bCs/>
          <w:color w:val="333333"/>
          <w:sz w:val="18"/>
          <w:szCs w:val="18"/>
          <w:lang w:eastAsia="ko-KR"/>
        </w:rPr>
        <w:t>earliest event per person.</w:t>
      </w:r>
    </w:p>
    <w:p w14:paraId="088D170B" w14:textId="77777777" w:rsidR="00921905" w:rsidRPr="00921905" w:rsidRDefault="00921905" w:rsidP="00921905">
      <w:pPr>
        <w:spacing w:after="0" w:line="240" w:lineRule="auto"/>
        <w:rPr>
          <w:rFonts w:ascii="Gulim" w:eastAsia="Gulim" w:hAnsi="Gulim" w:cs="Gulim"/>
          <w:sz w:val="24"/>
          <w:szCs w:val="24"/>
          <w:lang w:eastAsia="ko-KR"/>
        </w:rPr>
      </w:pPr>
    </w:p>
    <w:p w14:paraId="27B9A929" w14:textId="77777777" w:rsidR="00921905" w:rsidRPr="00921905" w:rsidRDefault="00921905" w:rsidP="00921905">
      <w:pPr>
        <w:shd w:val="clear" w:color="auto" w:fill="FFFFFF"/>
        <w:spacing w:after="45" w:line="240" w:lineRule="auto"/>
        <w:rPr>
          <w:rFonts w:ascii="Segoe UI" w:eastAsia="Gulim" w:hAnsi="Segoe UI" w:cs="Segoe UI"/>
          <w:color w:val="000000"/>
          <w:sz w:val="21"/>
          <w:szCs w:val="21"/>
          <w:lang w:eastAsia="ko-KR"/>
        </w:rPr>
      </w:pPr>
      <w:r w:rsidRPr="00921905">
        <w:rPr>
          <w:rFonts w:ascii="Segoe UI" w:eastAsia="Gulim" w:hAnsi="Segoe UI" w:cs="Segoe UI"/>
          <w:color w:val="000000"/>
          <w:sz w:val="21"/>
          <w:szCs w:val="21"/>
          <w:lang w:eastAsia="ko-KR"/>
        </w:rPr>
        <w:t>Inclusion Rules</w:t>
      </w:r>
    </w:p>
    <w:p w14:paraId="189B4B29" w14:textId="77777777" w:rsidR="00921905" w:rsidRPr="00921905" w:rsidRDefault="00921905" w:rsidP="00921905">
      <w:pPr>
        <w:shd w:val="clear" w:color="auto" w:fill="FFFFFF"/>
        <w:spacing w:after="0" w:line="240" w:lineRule="auto"/>
        <w:rPr>
          <w:rFonts w:ascii="Segoe UI" w:eastAsia="Gulim" w:hAnsi="Segoe UI" w:cs="Segoe UI"/>
          <w:color w:val="333333"/>
          <w:sz w:val="18"/>
          <w:szCs w:val="18"/>
          <w:lang w:eastAsia="ko-KR"/>
        </w:rPr>
      </w:pPr>
      <w:r w:rsidRPr="00921905">
        <w:rPr>
          <w:rFonts w:ascii="Segoe UI" w:eastAsia="Gulim" w:hAnsi="Segoe UI" w:cs="Segoe UI"/>
          <w:color w:val="333333"/>
          <w:sz w:val="18"/>
          <w:szCs w:val="18"/>
          <w:lang w:eastAsia="ko-KR"/>
        </w:rPr>
        <w:t>Inclusion Criteria #1: has prior gout within 3 months</w:t>
      </w:r>
    </w:p>
    <w:p w14:paraId="189F1F64" w14:textId="77777777" w:rsidR="00921905" w:rsidRPr="00921905" w:rsidRDefault="00921905" w:rsidP="00921905">
      <w:pPr>
        <w:shd w:val="clear" w:color="auto" w:fill="FFFFFF"/>
        <w:spacing w:after="0" w:line="240" w:lineRule="auto"/>
        <w:rPr>
          <w:rFonts w:ascii="Segoe UI" w:eastAsia="Gulim" w:hAnsi="Segoe UI" w:cs="Segoe UI"/>
          <w:color w:val="333333"/>
          <w:sz w:val="18"/>
          <w:szCs w:val="18"/>
          <w:lang w:eastAsia="ko-KR"/>
        </w:rPr>
      </w:pPr>
      <w:r w:rsidRPr="00921905">
        <w:rPr>
          <w:rFonts w:ascii="Segoe UI" w:eastAsia="Gulim" w:hAnsi="Segoe UI" w:cs="Segoe UI"/>
          <w:color w:val="333333"/>
          <w:sz w:val="18"/>
          <w:szCs w:val="18"/>
          <w:lang w:eastAsia="ko-KR"/>
        </w:rPr>
        <w:t>Having </w:t>
      </w:r>
      <w:proofErr w:type="gramStart"/>
      <w:r w:rsidRPr="00921905">
        <w:rPr>
          <w:rFonts w:ascii="Segoe UI" w:eastAsia="Gulim" w:hAnsi="Segoe UI" w:cs="Segoe UI"/>
          <w:color w:val="333333"/>
          <w:sz w:val="18"/>
          <w:szCs w:val="18"/>
          <w:lang w:eastAsia="ko-KR"/>
        </w:rPr>
        <w:t>all of</w:t>
      </w:r>
      <w:proofErr w:type="gramEnd"/>
      <w:r w:rsidRPr="00921905">
        <w:rPr>
          <w:rFonts w:ascii="Segoe UI" w:eastAsia="Gulim" w:hAnsi="Segoe UI" w:cs="Segoe UI"/>
          <w:color w:val="333333"/>
          <w:sz w:val="18"/>
          <w:szCs w:val="18"/>
          <w:lang w:eastAsia="ko-KR"/>
        </w:rPr>
        <w:t xml:space="preserve"> the following criteria:</w:t>
      </w:r>
    </w:p>
    <w:p w14:paraId="2B83FB59" w14:textId="77777777" w:rsidR="00921905" w:rsidRPr="00921905" w:rsidRDefault="00921905" w:rsidP="00921905">
      <w:pPr>
        <w:numPr>
          <w:ilvl w:val="0"/>
          <w:numId w:val="31"/>
        </w:numPr>
        <w:shd w:val="clear" w:color="auto" w:fill="FFFFFF"/>
        <w:spacing w:before="100" w:beforeAutospacing="1" w:after="100" w:afterAutospacing="1" w:line="240" w:lineRule="auto"/>
        <w:rPr>
          <w:rFonts w:ascii="Segoe UI" w:eastAsia="Gulim" w:hAnsi="Segoe UI" w:cs="Segoe UI"/>
          <w:color w:val="333333"/>
          <w:sz w:val="18"/>
          <w:szCs w:val="18"/>
          <w:lang w:eastAsia="ko-KR"/>
        </w:rPr>
      </w:pPr>
      <w:r w:rsidRPr="00921905">
        <w:rPr>
          <w:rFonts w:ascii="Segoe UI" w:eastAsia="Gulim" w:hAnsi="Segoe UI" w:cs="Segoe UI"/>
          <w:color w:val="333333"/>
          <w:sz w:val="18"/>
          <w:szCs w:val="18"/>
          <w:lang w:eastAsia="ko-KR"/>
        </w:rPr>
        <w:t>at least 1 </w:t>
      </w:r>
      <w:proofErr w:type="gramStart"/>
      <w:r w:rsidRPr="00921905">
        <w:rPr>
          <w:rFonts w:ascii="Segoe UI" w:eastAsia="Gulim" w:hAnsi="Segoe UI" w:cs="Segoe UI"/>
          <w:color w:val="333333"/>
          <w:sz w:val="18"/>
          <w:szCs w:val="18"/>
          <w:lang w:eastAsia="ko-KR"/>
        </w:rPr>
        <w:t>occurrences</w:t>
      </w:r>
      <w:proofErr w:type="gramEnd"/>
      <w:r w:rsidRPr="00921905">
        <w:rPr>
          <w:rFonts w:ascii="Segoe UI" w:eastAsia="Gulim" w:hAnsi="Segoe UI" w:cs="Segoe UI"/>
          <w:color w:val="333333"/>
          <w:sz w:val="18"/>
          <w:szCs w:val="18"/>
          <w:lang w:eastAsia="ko-KR"/>
        </w:rPr>
        <w:t> of a condition occurrence of Gout</w:t>
      </w:r>
      <w:r w:rsidRPr="00921905">
        <w:rPr>
          <w:rFonts w:ascii="Segoe UI" w:eastAsia="Gulim" w:hAnsi="Segoe UI" w:cs="Segoe UI"/>
          <w:color w:val="333333"/>
          <w:sz w:val="18"/>
          <w:szCs w:val="18"/>
          <w:vertAlign w:val="superscript"/>
          <w:lang w:eastAsia="ko-KR"/>
        </w:rPr>
        <w:t>9</w:t>
      </w:r>
    </w:p>
    <w:p w14:paraId="014E4BC5" w14:textId="77777777" w:rsidR="00921905" w:rsidRPr="00921905" w:rsidRDefault="00921905" w:rsidP="00921905">
      <w:pPr>
        <w:shd w:val="clear" w:color="auto" w:fill="FFFFFF"/>
        <w:spacing w:beforeAutospacing="1" w:after="0" w:afterAutospacing="1" w:line="240" w:lineRule="auto"/>
        <w:ind w:left="720"/>
        <w:rPr>
          <w:rFonts w:ascii="Segoe UI" w:eastAsia="Gulim" w:hAnsi="Segoe UI" w:cs="Segoe UI"/>
          <w:color w:val="333333"/>
          <w:sz w:val="18"/>
          <w:szCs w:val="18"/>
          <w:lang w:eastAsia="ko-KR"/>
        </w:rPr>
      </w:pPr>
      <w:r w:rsidRPr="00921905">
        <w:rPr>
          <w:rFonts w:ascii="Segoe UI" w:eastAsia="Gulim" w:hAnsi="Segoe UI" w:cs="Segoe UI"/>
          <w:color w:val="333333"/>
          <w:sz w:val="18"/>
          <w:szCs w:val="18"/>
          <w:lang w:eastAsia="ko-KR"/>
        </w:rPr>
        <w:t>starting between 90 days Before and 0 days After event index date</w:t>
      </w:r>
    </w:p>
    <w:p w14:paraId="33BD6E27" w14:textId="77777777" w:rsidR="00921905" w:rsidRPr="00921905" w:rsidRDefault="00921905" w:rsidP="00921905">
      <w:pPr>
        <w:shd w:val="clear" w:color="auto" w:fill="FFFFFF"/>
        <w:spacing w:after="0" w:line="240" w:lineRule="auto"/>
        <w:rPr>
          <w:rFonts w:ascii="Segoe UI" w:eastAsia="Gulim" w:hAnsi="Segoe UI" w:cs="Segoe UI"/>
          <w:color w:val="333333"/>
          <w:sz w:val="18"/>
          <w:szCs w:val="18"/>
          <w:lang w:eastAsia="ko-KR"/>
        </w:rPr>
      </w:pPr>
      <w:r w:rsidRPr="00921905">
        <w:rPr>
          <w:rFonts w:ascii="Segoe UI" w:eastAsia="Gulim" w:hAnsi="Segoe UI" w:cs="Segoe UI"/>
          <w:color w:val="333333"/>
          <w:sz w:val="18"/>
          <w:szCs w:val="18"/>
          <w:lang w:eastAsia="ko-KR"/>
        </w:rPr>
        <w:t>Inclusion Criteria #2: No myeloproliferative disorder or Primary malignant neoplasm of bone marrow</w:t>
      </w:r>
    </w:p>
    <w:p w14:paraId="0537A0BE" w14:textId="77777777" w:rsidR="00921905" w:rsidRPr="00921905" w:rsidRDefault="00921905" w:rsidP="00921905">
      <w:pPr>
        <w:shd w:val="clear" w:color="auto" w:fill="FFFFFF"/>
        <w:spacing w:after="0" w:line="240" w:lineRule="auto"/>
        <w:rPr>
          <w:rFonts w:ascii="Segoe UI" w:eastAsia="Gulim" w:hAnsi="Segoe UI" w:cs="Segoe UI"/>
          <w:color w:val="333333"/>
          <w:sz w:val="18"/>
          <w:szCs w:val="18"/>
          <w:lang w:eastAsia="ko-KR"/>
        </w:rPr>
      </w:pPr>
      <w:r w:rsidRPr="00921905">
        <w:rPr>
          <w:rFonts w:ascii="Segoe UI" w:eastAsia="Gulim" w:hAnsi="Segoe UI" w:cs="Segoe UI"/>
          <w:color w:val="333333"/>
          <w:sz w:val="18"/>
          <w:szCs w:val="18"/>
          <w:lang w:eastAsia="ko-KR"/>
        </w:rPr>
        <w:t>Having </w:t>
      </w:r>
      <w:proofErr w:type="gramStart"/>
      <w:r w:rsidRPr="00921905">
        <w:rPr>
          <w:rFonts w:ascii="Segoe UI" w:eastAsia="Gulim" w:hAnsi="Segoe UI" w:cs="Segoe UI"/>
          <w:color w:val="333333"/>
          <w:sz w:val="18"/>
          <w:szCs w:val="18"/>
          <w:lang w:eastAsia="ko-KR"/>
        </w:rPr>
        <w:t>all of</w:t>
      </w:r>
      <w:proofErr w:type="gramEnd"/>
      <w:r w:rsidRPr="00921905">
        <w:rPr>
          <w:rFonts w:ascii="Segoe UI" w:eastAsia="Gulim" w:hAnsi="Segoe UI" w:cs="Segoe UI"/>
          <w:color w:val="333333"/>
          <w:sz w:val="18"/>
          <w:szCs w:val="18"/>
          <w:lang w:eastAsia="ko-KR"/>
        </w:rPr>
        <w:t xml:space="preserve"> the following criteria:</w:t>
      </w:r>
    </w:p>
    <w:p w14:paraId="421E5E72" w14:textId="77777777" w:rsidR="00921905" w:rsidRPr="00921905" w:rsidRDefault="00921905" w:rsidP="00921905">
      <w:pPr>
        <w:numPr>
          <w:ilvl w:val="0"/>
          <w:numId w:val="32"/>
        </w:numPr>
        <w:shd w:val="clear" w:color="auto" w:fill="FFFFFF"/>
        <w:spacing w:before="100" w:beforeAutospacing="1" w:after="100" w:afterAutospacing="1" w:line="240" w:lineRule="auto"/>
        <w:rPr>
          <w:rFonts w:ascii="Segoe UI" w:eastAsia="Gulim" w:hAnsi="Segoe UI" w:cs="Segoe UI"/>
          <w:color w:val="333333"/>
          <w:sz w:val="18"/>
          <w:szCs w:val="18"/>
          <w:lang w:eastAsia="ko-KR"/>
        </w:rPr>
      </w:pPr>
      <w:r w:rsidRPr="00921905">
        <w:rPr>
          <w:rFonts w:ascii="Segoe UI" w:eastAsia="Gulim" w:hAnsi="Segoe UI" w:cs="Segoe UI"/>
          <w:color w:val="333333"/>
          <w:sz w:val="18"/>
          <w:szCs w:val="18"/>
          <w:lang w:eastAsia="ko-KR"/>
        </w:rPr>
        <w:t>at most 0 occurrences of a condition occurrence of myeloproliferative disorder</w:t>
      </w:r>
      <w:r w:rsidRPr="00921905">
        <w:rPr>
          <w:rFonts w:ascii="Segoe UI" w:eastAsia="Gulim" w:hAnsi="Segoe UI" w:cs="Segoe UI"/>
          <w:color w:val="333333"/>
          <w:sz w:val="18"/>
          <w:szCs w:val="18"/>
          <w:vertAlign w:val="superscript"/>
          <w:lang w:eastAsia="ko-KR"/>
        </w:rPr>
        <w:t>12</w:t>
      </w:r>
    </w:p>
    <w:p w14:paraId="221A0D33" w14:textId="77777777" w:rsidR="00921905" w:rsidRPr="00921905" w:rsidRDefault="00921905" w:rsidP="00921905">
      <w:pPr>
        <w:shd w:val="clear" w:color="auto" w:fill="FFFFFF"/>
        <w:spacing w:beforeAutospacing="1" w:after="0" w:afterAutospacing="1" w:line="240" w:lineRule="auto"/>
        <w:ind w:left="720"/>
        <w:rPr>
          <w:rFonts w:ascii="Segoe UI" w:eastAsia="Gulim" w:hAnsi="Segoe UI" w:cs="Segoe UI"/>
          <w:color w:val="333333"/>
          <w:sz w:val="18"/>
          <w:szCs w:val="18"/>
          <w:lang w:eastAsia="ko-KR"/>
        </w:rPr>
      </w:pPr>
      <w:r w:rsidRPr="00921905">
        <w:rPr>
          <w:rFonts w:ascii="Segoe UI" w:eastAsia="Gulim" w:hAnsi="Segoe UI" w:cs="Segoe UI"/>
          <w:color w:val="333333"/>
          <w:sz w:val="18"/>
          <w:szCs w:val="18"/>
          <w:lang w:eastAsia="ko-KR"/>
        </w:rPr>
        <w:t>starting between all days Before and 0 days After event index date</w:t>
      </w:r>
    </w:p>
    <w:p w14:paraId="5C792E26" w14:textId="77777777" w:rsidR="00921905" w:rsidRPr="00921905" w:rsidRDefault="00921905" w:rsidP="00921905">
      <w:pPr>
        <w:shd w:val="clear" w:color="auto" w:fill="FFFFFF"/>
        <w:spacing w:after="0" w:line="240" w:lineRule="auto"/>
        <w:rPr>
          <w:rFonts w:ascii="Segoe UI" w:eastAsia="Gulim" w:hAnsi="Segoe UI" w:cs="Segoe UI"/>
          <w:color w:val="333333"/>
          <w:sz w:val="18"/>
          <w:szCs w:val="18"/>
          <w:lang w:eastAsia="ko-KR"/>
        </w:rPr>
      </w:pPr>
      <w:r w:rsidRPr="00921905">
        <w:rPr>
          <w:rFonts w:ascii="Segoe UI" w:eastAsia="Gulim" w:hAnsi="Segoe UI" w:cs="Segoe UI"/>
          <w:color w:val="333333"/>
          <w:sz w:val="18"/>
          <w:szCs w:val="18"/>
          <w:lang w:eastAsia="ko-KR"/>
        </w:rPr>
        <w:t>Inclusion Criteria #3: No previous xanthinuria</w:t>
      </w:r>
    </w:p>
    <w:p w14:paraId="2FEC52BB" w14:textId="77777777" w:rsidR="00921905" w:rsidRPr="00921905" w:rsidRDefault="00921905" w:rsidP="00921905">
      <w:pPr>
        <w:shd w:val="clear" w:color="auto" w:fill="FFFFFF"/>
        <w:spacing w:after="0" w:line="240" w:lineRule="auto"/>
        <w:rPr>
          <w:rFonts w:ascii="Segoe UI" w:eastAsia="Gulim" w:hAnsi="Segoe UI" w:cs="Segoe UI"/>
          <w:color w:val="333333"/>
          <w:sz w:val="18"/>
          <w:szCs w:val="18"/>
          <w:lang w:eastAsia="ko-KR"/>
        </w:rPr>
      </w:pPr>
      <w:r w:rsidRPr="00921905">
        <w:rPr>
          <w:rFonts w:ascii="Segoe UI" w:eastAsia="Gulim" w:hAnsi="Segoe UI" w:cs="Segoe UI"/>
          <w:color w:val="333333"/>
          <w:sz w:val="18"/>
          <w:szCs w:val="18"/>
          <w:lang w:eastAsia="ko-KR"/>
        </w:rPr>
        <w:t>Having </w:t>
      </w:r>
      <w:proofErr w:type="gramStart"/>
      <w:r w:rsidRPr="00921905">
        <w:rPr>
          <w:rFonts w:ascii="Segoe UI" w:eastAsia="Gulim" w:hAnsi="Segoe UI" w:cs="Segoe UI"/>
          <w:color w:val="333333"/>
          <w:sz w:val="18"/>
          <w:szCs w:val="18"/>
          <w:lang w:eastAsia="ko-KR"/>
        </w:rPr>
        <w:t>all of</w:t>
      </w:r>
      <w:proofErr w:type="gramEnd"/>
      <w:r w:rsidRPr="00921905">
        <w:rPr>
          <w:rFonts w:ascii="Segoe UI" w:eastAsia="Gulim" w:hAnsi="Segoe UI" w:cs="Segoe UI"/>
          <w:color w:val="333333"/>
          <w:sz w:val="18"/>
          <w:szCs w:val="18"/>
          <w:lang w:eastAsia="ko-KR"/>
        </w:rPr>
        <w:t xml:space="preserve"> the following criteria:</w:t>
      </w:r>
    </w:p>
    <w:p w14:paraId="182E8B21" w14:textId="77777777" w:rsidR="00921905" w:rsidRPr="00921905" w:rsidRDefault="00921905" w:rsidP="00921905">
      <w:pPr>
        <w:numPr>
          <w:ilvl w:val="0"/>
          <w:numId w:val="33"/>
        </w:numPr>
        <w:shd w:val="clear" w:color="auto" w:fill="FFFFFF"/>
        <w:spacing w:before="100" w:beforeAutospacing="1" w:after="100" w:afterAutospacing="1" w:line="240" w:lineRule="auto"/>
        <w:rPr>
          <w:rFonts w:ascii="Segoe UI" w:eastAsia="Gulim" w:hAnsi="Segoe UI" w:cs="Segoe UI"/>
          <w:color w:val="333333"/>
          <w:sz w:val="18"/>
          <w:szCs w:val="18"/>
          <w:lang w:eastAsia="ko-KR"/>
        </w:rPr>
      </w:pPr>
      <w:r w:rsidRPr="00921905">
        <w:rPr>
          <w:rFonts w:ascii="Segoe UI" w:eastAsia="Gulim" w:hAnsi="Segoe UI" w:cs="Segoe UI"/>
          <w:color w:val="333333"/>
          <w:sz w:val="18"/>
          <w:szCs w:val="18"/>
          <w:lang w:eastAsia="ko-KR"/>
        </w:rPr>
        <w:t>at most 0 occurrences of a condition occurrence of Xanthiuria</w:t>
      </w:r>
      <w:r w:rsidRPr="00921905">
        <w:rPr>
          <w:rFonts w:ascii="Segoe UI" w:eastAsia="Gulim" w:hAnsi="Segoe UI" w:cs="Segoe UI"/>
          <w:color w:val="333333"/>
          <w:sz w:val="18"/>
          <w:szCs w:val="18"/>
          <w:vertAlign w:val="superscript"/>
          <w:lang w:eastAsia="ko-KR"/>
        </w:rPr>
        <w:t>22</w:t>
      </w:r>
    </w:p>
    <w:p w14:paraId="4C9C377F" w14:textId="77777777" w:rsidR="00921905" w:rsidRPr="00921905" w:rsidRDefault="00921905" w:rsidP="00921905">
      <w:pPr>
        <w:shd w:val="clear" w:color="auto" w:fill="FFFFFF"/>
        <w:spacing w:beforeAutospacing="1" w:after="0" w:afterAutospacing="1" w:line="240" w:lineRule="auto"/>
        <w:ind w:left="720"/>
        <w:rPr>
          <w:rFonts w:ascii="Segoe UI" w:eastAsia="Gulim" w:hAnsi="Segoe UI" w:cs="Segoe UI"/>
          <w:color w:val="333333"/>
          <w:sz w:val="18"/>
          <w:szCs w:val="18"/>
          <w:lang w:eastAsia="ko-KR"/>
        </w:rPr>
      </w:pPr>
      <w:r w:rsidRPr="00921905">
        <w:rPr>
          <w:rFonts w:ascii="Segoe UI" w:eastAsia="Gulim" w:hAnsi="Segoe UI" w:cs="Segoe UI"/>
          <w:color w:val="333333"/>
          <w:sz w:val="18"/>
          <w:szCs w:val="18"/>
          <w:lang w:eastAsia="ko-KR"/>
        </w:rPr>
        <w:lastRenderedPageBreak/>
        <w:t>starting between all days Before and 0 days After event index date</w:t>
      </w:r>
    </w:p>
    <w:p w14:paraId="2009DA0E" w14:textId="77777777" w:rsidR="00921905" w:rsidRPr="00921905" w:rsidRDefault="00921905" w:rsidP="00921905">
      <w:pPr>
        <w:shd w:val="clear" w:color="auto" w:fill="FFFFFF"/>
        <w:spacing w:after="0" w:line="240" w:lineRule="auto"/>
        <w:rPr>
          <w:rFonts w:ascii="Segoe UI" w:eastAsia="Gulim" w:hAnsi="Segoe UI" w:cs="Segoe UI"/>
          <w:color w:val="333333"/>
          <w:sz w:val="18"/>
          <w:szCs w:val="18"/>
          <w:lang w:eastAsia="ko-KR"/>
        </w:rPr>
      </w:pPr>
      <w:r w:rsidRPr="00921905">
        <w:rPr>
          <w:rFonts w:ascii="Segoe UI" w:eastAsia="Gulim" w:hAnsi="Segoe UI" w:cs="Segoe UI"/>
          <w:color w:val="333333"/>
          <w:sz w:val="18"/>
          <w:szCs w:val="18"/>
          <w:lang w:eastAsia="ko-KR"/>
        </w:rPr>
        <w:t>Inclusion Criteria #4: Without previous allopurinol or probenecid within 1 year</w:t>
      </w:r>
    </w:p>
    <w:p w14:paraId="34FF1989" w14:textId="77777777" w:rsidR="00921905" w:rsidRPr="00921905" w:rsidRDefault="00921905" w:rsidP="00921905">
      <w:pPr>
        <w:shd w:val="clear" w:color="auto" w:fill="FFFFFF"/>
        <w:spacing w:after="0" w:line="240" w:lineRule="auto"/>
        <w:rPr>
          <w:rFonts w:ascii="Segoe UI" w:eastAsia="Gulim" w:hAnsi="Segoe UI" w:cs="Segoe UI"/>
          <w:color w:val="333333"/>
          <w:sz w:val="18"/>
          <w:szCs w:val="18"/>
          <w:lang w:eastAsia="ko-KR"/>
        </w:rPr>
      </w:pPr>
      <w:r w:rsidRPr="00921905">
        <w:rPr>
          <w:rFonts w:ascii="Segoe UI" w:eastAsia="Gulim" w:hAnsi="Segoe UI" w:cs="Segoe UI"/>
          <w:color w:val="333333"/>
          <w:sz w:val="18"/>
          <w:szCs w:val="18"/>
          <w:lang w:eastAsia="ko-KR"/>
        </w:rPr>
        <w:t>Having </w:t>
      </w:r>
      <w:proofErr w:type="gramStart"/>
      <w:r w:rsidRPr="00921905">
        <w:rPr>
          <w:rFonts w:ascii="Segoe UI" w:eastAsia="Gulim" w:hAnsi="Segoe UI" w:cs="Segoe UI"/>
          <w:color w:val="333333"/>
          <w:sz w:val="18"/>
          <w:szCs w:val="18"/>
          <w:lang w:eastAsia="ko-KR"/>
        </w:rPr>
        <w:t>all of</w:t>
      </w:r>
      <w:proofErr w:type="gramEnd"/>
      <w:r w:rsidRPr="00921905">
        <w:rPr>
          <w:rFonts w:ascii="Segoe UI" w:eastAsia="Gulim" w:hAnsi="Segoe UI" w:cs="Segoe UI"/>
          <w:color w:val="333333"/>
          <w:sz w:val="18"/>
          <w:szCs w:val="18"/>
          <w:lang w:eastAsia="ko-KR"/>
        </w:rPr>
        <w:t xml:space="preserve"> the following criteria:</w:t>
      </w:r>
    </w:p>
    <w:p w14:paraId="39837D6E" w14:textId="77777777" w:rsidR="00921905" w:rsidRPr="00921905" w:rsidRDefault="00921905" w:rsidP="00921905">
      <w:pPr>
        <w:numPr>
          <w:ilvl w:val="0"/>
          <w:numId w:val="34"/>
        </w:numPr>
        <w:shd w:val="clear" w:color="auto" w:fill="FFFFFF"/>
        <w:spacing w:before="100" w:beforeAutospacing="1" w:after="100" w:afterAutospacing="1" w:line="240" w:lineRule="auto"/>
        <w:rPr>
          <w:rFonts w:ascii="Segoe UI" w:eastAsia="Gulim" w:hAnsi="Segoe UI" w:cs="Segoe UI"/>
          <w:color w:val="333333"/>
          <w:sz w:val="18"/>
          <w:szCs w:val="18"/>
          <w:lang w:eastAsia="ko-KR"/>
        </w:rPr>
      </w:pPr>
      <w:r w:rsidRPr="00921905">
        <w:rPr>
          <w:rFonts w:ascii="Segoe UI" w:eastAsia="Gulim" w:hAnsi="Segoe UI" w:cs="Segoe UI"/>
          <w:color w:val="333333"/>
          <w:sz w:val="18"/>
          <w:szCs w:val="18"/>
          <w:lang w:eastAsia="ko-KR"/>
        </w:rPr>
        <w:t>at most 0 occurrences of a drug exposure of Allopurinol and probenecid</w:t>
      </w:r>
      <w:r w:rsidRPr="00921905">
        <w:rPr>
          <w:rFonts w:ascii="Segoe UI" w:eastAsia="Gulim" w:hAnsi="Segoe UI" w:cs="Segoe UI"/>
          <w:color w:val="333333"/>
          <w:sz w:val="18"/>
          <w:szCs w:val="18"/>
          <w:vertAlign w:val="superscript"/>
          <w:lang w:eastAsia="ko-KR"/>
        </w:rPr>
        <w:t>3</w:t>
      </w:r>
    </w:p>
    <w:p w14:paraId="046FA494" w14:textId="77777777" w:rsidR="00921905" w:rsidRPr="00921905" w:rsidRDefault="00921905" w:rsidP="00921905">
      <w:pPr>
        <w:shd w:val="clear" w:color="auto" w:fill="FFFFFF"/>
        <w:spacing w:beforeAutospacing="1" w:after="0" w:afterAutospacing="1" w:line="240" w:lineRule="auto"/>
        <w:ind w:left="720"/>
        <w:rPr>
          <w:rFonts w:ascii="Segoe UI" w:eastAsia="Gulim" w:hAnsi="Segoe UI" w:cs="Segoe UI"/>
          <w:color w:val="333333"/>
          <w:sz w:val="18"/>
          <w:szCs w:val="18"/>
          <w:lang w:eastAsia="ko-KR"/>
        </w:rPr>
      </w:pPr>
      <w:r w:rsidRPr="00921905">
        <w:rPr>
          <w:rFonts w:ascii="Segoe UI" w:eastAsia="Gulim" w:hAnsi="Segoe UI" w:cs="Segoe UI"/>
          <w:color w:val="333333"/>
          <w:sz w:val="18"/>
          <w:szCs w:val="18"/>
          <w:lang w:eastAsia="ko-KR"/>
        </w:rPr>
        <w:t>starting between 365 days Before and 0 days After event index date</w:t>
      </w:r>
    </w:p>
    <w:p w14:paraId="4A097D69" w14:textId="77777777" w:rsidR="00921905" w:rsidRPr="00921905" w:rsidRDefault="00921905" w:rsidP="00921905">
      <w:pPr>
        <w:shd w:val="clear" w:color="auto" w:fill="FFFFFF"/>
        <w:spacing w:after="0" w:line="240" w:lineRule="auto"/>
        <w:rPr>
          <w:rFonts w:ascii="Segoe UI" w:eastAsia="Gulim" w:hAnsi="Segoe UI" w:cs="Segoe UI"/>
          <w:color w:val="333333"/>
          <w:sz w:val="18"/>
          <w:szCs w:val="18"/>
          <w:lang w:eastAsia="ko-KR"/>
        </w:rPr>
      </w:pPr>
      <w:r w:rsidRPr="00921905">
        <w:rPr>
          <w:rFonts w:ascii="Segoe UI" w:eastAsia="Gulim" w:hAnsi="Segoe UI" w:cs="Segoe UI"/>
          <w:color w:val="333333"/>
          <w:sz w:val="18"/>
          <w:szCs w:val="18"/>
          <w:lang w:eastAsia="ko-KR"/>
        </w:rPr>
        <w:t xml:space="preserve">Limit qualifying cohort </w:t>
      </w:r>
      <w:proofErr w:type="gramStart"/>
      <w:r w:rsidRPr="00921905">
        <w:rPr>
          <w:rFonts w:ascii="Segoe UI" w:eastAsia="Gulim" w:hAnsi="Segoe UI" w:cs="Segoe UI"/>
          <w:color w:val="333333"/>
          <w:sz w:val="18"/>
          <w:szCs w:val="18"/>
          <w:lang w:eastAsia="ko-KR"/>
        </w:rPr>
        <w:t>to:</w:t>
      </w:r>
      <w:proofErr w:type="gramEnd"/>
      <w:r w:rsidRPr="00921905">
        <w:rPr>
          <w:rFonts w:ascii="Segoe UI" w:eastAsia="Gulim" w:hAnsi="Segoe UI" w:cs="Segoe UI"/>
          <w:color w:val="333333"/>
          <w:sz w:val="18"/>
          <w:szCs w:val="18"/>
          <w:lang w:eastAsia="ko-KR"/>
        </w:rPr>
        <w:t> </w:t>
      </w:r>
      <w:r w:rsidRPr="00921905">
        <w:rPr>
          <w:rFonts w:ascii="Segoe UI" w:eastAsia="Gulim" w:hAnsi="Segoe UI" w:cs="Segoe UI"/>
          <w:b/>
          <w:bCs/>
          <w:color w:val="333333"/>
          <w:sz w:val="18"/>
          <w:szCs w:val="18"/>
          <w:lang w:eastAsia="ko-KR"/>
        </w:rPr>
        <w:t>earliest event per person.</w:t>
      </w:r>
    </w:p>
    <w:p w14:paraId="691CEF19" w14:textId="77777777" w:rsidR="00921905" w:rsidRPr="00921905" w:rsidRDefault="00921905" w:rsidP="00921905">
      <w:pPr>
        <w:spacing w:after="45" w:line="240" w:lineRule="auto"/>
        <w:rPr>
          <w:rFonts w:ascii="Gulim" w:eastAsia="Gulim" w:hAnsi="Gulim" w:cs="Gulim"/>
          <w:color w:val="000000"/>
          <w:sz w:val="18"/>
          <w:szCs w:val="18"/>
          <w:lang w:eastAsia="ko-KR"/>
        </w:rPr>
      </w:pPr>
      <w:r w:rsidRPr="00921905">
        <w:rPr>
          <w:rFonts w:ascii="Gulim" w:eastAsia="Gulim" w:hAnsi="Gulim" w:cs="Gulim"/>
          <w:color w:val="000000"/>
          <w:sz w:val="18"/>
          <w:szCs w:val="18"/>
          <w:lang w:eastAsia="ko-KR"/>
        </w:rPr>
        <w:t>End Date Strategy</w:t>
      </w:r>
    </w:p>
    <w:p w14:paraId="160D76A4" w14:textId="77777777" w:rsidR="00921905" w:rsidRPr="00921905" w:rsidRDefault="00921905" w:rsidP="00921905">
      <w:pPr>
        <w:spacing w:after="45" w:line="240" w:lineRule="auto"/>
        <w:rPr>
          <w:rFonts w:ascii="Gulim" w:eastAsia="Gulim" w:hAnsi="Gulim" w:cs="Gulim"/>
          <w:color w:val="000000"/>
          <w:sz w:val="18"/>
          <w:szCs w:val="18"/>
          <w:lang w:eastAsia="ko-KR"/>
        </w:rPr>
      </w:pPr>
      <w:r w:rsidRPr="00921905">
        <w:rPr>
          <w:rFonts w:ascii="Gulim" w:eastAsia="Gulim" w:hAnsi="Gulim" w:cs="Gulim"/>
          <w:color w:val="000000"/>
          <w:sz w:val="18"/>
          <w:szCs w:val="18"/>
          <w:lang w:eastAsia="ko-KR"/>
        </w:rPr>
        <w:t>Custom Drug Era Exit Criteria</w:t>
      </w:r>
    </w:p>
    <w:p w14:paraId="1D8D1BEA" w14:textId="77777777" w:rsidR="00921905" w:rsidRPr="00921905" w:rsidRDefault="00921905" w:rsidP="00921905">
      <w:pPr>
        <w:spacing w:after="0" w:line="240" w:lineRule="auto"/>
        <w:rPr>
          <w:rFonts w:ascii="Gulim" w:eastAsia="Gulim" w:hAnsi="Gulim" w:cs="Gulim"/>
          <w:sz w:val="18"/>
          <w:szCs w:val="18"/>
          <w:lang w:eastAsia="ko-KR"/>
        </w:rPr>
      </w:pPr>
      <w:r w:rsidRPr="00921905">
        <w:rPr>
          <w:rFonts w:ascii="Gulim" w:eastAsia="Gulim" w:hAnsi="Gulim" w:cs="Gulim"/>
          <w:sz w:val="18"/>
          <w:szCs w:val="18"/>
          <w:lang w:eastAsia="ko-KR"/>
        </w:rPr>
        <w:t>This strategy creates a drug era from the codes found in the specified concept set. If the index event is found within an era, the cohort end date will use the era's end date. Otherwise, it will use the observation period end date that contains the index event.</w:t>
      </w:r>
    </w:p>
    <w:p w14:paraId="4974AB89" w14:textId="77777777" w:rsidR="00921905" w:rsidRPr="00921905" w:rsidRDefault="00921905" w:rsidP="00921905">
      <w:pPr>
        <w:spacing w:after="0" w:line="240" w:lineRule="auto"/>
        <w:rPr>
          <w:rFonts w:ascii="Gulim" w:eastAsia="Gulim" w:hAnsi="Gulim" w:cs="Gulim"/>
          <w:sz w:val="18"/>
          <w:szCs w:val="18"/>
          <w:lang w:eastAsia="ko-KR"/>
        </w:rPr>
      </w:pPr>
      <w:r w:rsidRPr="00921905">
        <w:rPr>
          <w:rFonts w:ascii="Gulim" w:eastAsia="Gulim" w:hAnsi="Gulim" w:cs="Gulim"/>
          <w:sz w:val="18"/>
          <w:szCs w:val="18"/>
          <w:lang w:eastAsia="ko-KR"/>
        </w:rPr>
        <w:t>Use the era end date of febuxostat</w:t>
      </w:r>
      <w:r w:rsidRPr="00921905">
        <w:rPr>
          <w:rFonts w:ascii="Gulim" w:eastAsia="Gulim" w:hAnsi="Gulim" w:cs="Gulim"/>
          <w:sz w:val="18"/>
          <w:szCs w:val="18"/>
          <w:vertAlign w:val="superscript"/>
          <w:lang w:eastAsia="ko-KR"/>
        </w:rPr>
        <w:t>8</w:t>
      </w:r>
    </w:p>
    <w:p w14:paraId="1BE58435" w14:textId="77777777" w:rsidR="00921905" w:rsidRPr="00921905" w:rsidRDefault="00921905" w:rsidP="00921905">
      <w:pPr>
        <w:numPr>
          <w:ilvl w:val="0"/>
          <w:numId w:val="35"/>
        </w:numPr>
        <w:spacing w:before="100" w:beforeAutospacing="1" w:after="100" w:afterAutospacing="1" w:line="240" w:lineRule="auto"/>
        <w:rPr>
          <w:rFonts w:ascii="Gulim" w:eastAsia="Gulim" w:hAnsi="Gulim" w:cs="Gulim"/>
          <w:sz w:val="18"/>
          <w:szCs w:val="18"/>
          <w:lang w:eastAsia="ko-KR"/>
        </w:rPr>
      </w:pPr>
      <w:r w:rsidRPr="00921905">
        <w:rPr>
          <w:rFonts w:ascii="Gulim" w:eastAsia="Gulim" w:hAnsi="Gulim" w:cs="Gulim"/>
          <w:sz w:val="18"/>
          <w:szCs w:val="18"/>
          <w:lang w:eastAsia="ko-KR"/>
        </w:rPr>
        <w:t>allowing 30 days between exposures</w:t>
      </w:r>
    </w:p>
    <w:p w14:paraId="4F0DAC23" w14:textId="77777777" w:rsidR="00921905" w:rsidRPr="00921905" w:rsidRDefault="00921905" w:rsidP="00921905">
      <w:pPr>
        <w:numPr>
          <w:ilvl w:val="0"/>
          <w:numId w:val="35"/>
        </w:numPr>
        <w:spacing w:before="100" w:beforeAutospacing="1" w:after="100" w:afterAutospacing="1" w:line="240" w:lineRule="auto"/>
        <w:rPr>
          <w:rFonts w:ascii="Gulim" w:eastAsia="Gulim" w:hAnsi="Gulim" w:cs="Gulim"/>
          <w:sz w:val="18"/>
          <w:szCs w:val="18"/>
          <w:lang w:eastAsia="ko-KR"/>
        </w:rPr>
      </w:pPr>
      <w:r w:rsidRPr="00921905">
        <w:rPr>
          <w:rFonts w:ascii="Gulim" w:eastAsia="Gulim" w:hAnsi="Gulim" w:cs="Gulim"/>
          <w:sz w:val="18"/>
          <w:szCs w:val="18"/>
          <w:lang w:eastAsia="ko-KR"/>
        </w:rPr>
        <w:t>adding 0 days after exposure end</w:t>
      </w:r>
    </w:p>
    <w:p w14:paraId="5A918E1C" w14:textId="77777777" w:rsidR="00921905" w:rsidRPr="00921905" w:rsidRDefault="00921905" w:rsidP="00921905">
      <w:pPr>
        <w:shd w:val="clear" w:color="auto" w:fill="FFFFFF"/>
        <w:spacing w:after="45" w:line="240" w:lineRule="auto"/>
        <w:rPr>
          <w:rFonts w:ascii="Segoe UI" w:eastAsia="Gulim" w:hAnsi="Segoe UI" w:cs="Segoe UI"/>
          <w:color w:val="000000"/>
          <w:sz w:val="21"/>
          <w:szCs w:val="21"/>
          <w:lang w:eastAsia="ko-KR"/>
        </w:rPr>
      </w:pPr>
      <w:r w:rsidRPr="00921905">
        <w:rPr>
          <w:rFonts w:ascii="Segoe UI" w:eastAsia="Gulim" w:hAnsi="Segoe UI" w:cs="Segoe UI"/>
          <w:color w:val="000000"/>
          <w:sz w:val="21"/>
          <w:szCs w:val="21"/>
          <w:lang w:eastAsia="ko-KR"/>
        </w:rPr>
        <w:t>Censoring Events:</w:t>
      </w:r>
    </w:p>
    <w:p w14:paraId="1D05A862" w14:textId="77777777" w:rsidR="00921905" w:rsidRPr="00921905" w:rsidRDefault="00921905" w:rsidP="00921905">
      <w:pPr>
        <w:spacing w:after="0" w:line="240" w:lineRule="auto"/>
        <w:rPr>
          <w:rFonts w:ascii="Gulim" w:eastAsia="Gulim" w:hAnsi="Gulim" w:cs="Gulim"/>
          <w:sz w:val="24"/>
          <w:szCs w:val="24"/>
          <w:lang w:eastAsia="ko-KR"/>
        </w:rPr>
      </w:pPr>
      <w:r w:rsidRPr="00921905">
        <w:rPr>
          <w:rFonts w:ascii="Segoe UI" w:eastAsia="Gulim" w:hAnsi="Segoe UI" w:cs="Segoe UI"/>
          <w:color w:val="333333"/>
          <w:sz w:val="18"/>
          <w:szCs w:val="18"/>
          <w:shd w:val="clear" w:color="auto" w:fill="FFFFFF"/>
          <w:lang w:eastAsia="ko-KR"/>
        </w:rPr>
        <w:t>Exit Cohort based on the following: </w:t>
      </w:r>
      <w:r w:rsidRPr="00921905">
        <w:rPr>
          <w:rFonts w:ascii="Segoe UI" w:eastAsia="Gulim" w:hAnsi="Segoe UI" w:cs="Segoe UI"/>
          <w:color w:val="333333"/>
          <w:sz w:val="18"/>
          <w:szCs w:val="18"/>
          <w:lang w:eastAsia="ko-KR"/>
        </w:rPr>
        <w:br/>
      </w:r>
    </w:p>
    <w:p w14:paraId="7D1973C4" w14:textId="77777777" w:rsidR="00921905" w:rsidRPr="00921905" w:rsidRDefault="00921905" w:rsidP="00921905">
      <w:pPr>
        <w:numPr>
          <w:ilvl w:val="0"/>
          <w:numId w:val="36"/>
        </w:numPr>
        <w:shd w:val="clear" w:color="auto" w:fill="FFFFFF"/>
        <w:spacing w:before="100" w:beforeAutospacing="1" w:after="100" w:afterAutospacing="1" w:line="240" w:lineRule="auto"/>
        <w:rPr>
          <w:rFonts w:ascii="Segoe UI" w:eastAsia="Gulim" w:hAnsi="Segoe UI" w:cs="Segoe UI"/>
          <w:color w:val="333333"/>
          <w:sz w:val="18"/>
          <w:szCs w:val="18"/>
          <w:lang w:eastAsia="ko-KR"/>
        </w:rPr>
      </w:pPr>
      <w:r w:rsidRPr="00921905">
        <w:rPr>
          <w:rFonts w:ascii="Segoe UI" w:eastAsia="Gulim" w:hAnsi="Segoe UI" w:cs="Segoe UI"/>
          <w:color w:val="333333"/>
          <w:sz w:val="18"/>
          <w:szCs w:val="18"/>
          <w:lang w:eastAsia="ko-KR"/>
        </w:rPr>
        <w:t>a drug exposure of Allopurinol</w:t>
      </w:r>
      <w:r w:rsidRPr="00921905">
        <w:rPr>
          <w:rFonts w:ascii="Segoe UI" w:eastAsia="Gulim" w:hAnsi="Segoe UI" w:cs="Segoe UI"/>
          <w:color w:val="333333"/>
          <w:sz w:val="18"/>
          <w:szCs w:val="18"/>
          <w:vertAlign w:val="superscript"/>
          <w:lang w:eastAsia="ko-KR"/>
        </w:rPr>
        <w:t>2</w:t>
      </w:r>
    </w:p>
    <w:p w14:paraId="547B20EF" w14:textId="77777777" w:rsidR="00921905" w:rsidRPr="00921905" w:rsidRDefault="00921905" w:rsidP="00921905">
      <w:pPr>
        <w:shd w:val="clear" w:color="auto" w:fill="FFFFFF"/>
        <w:spacing w:after="45" w:line="240" w:lineRule="auto"/>
        <w:rPr>
          <w:rFonts w:ascii="Segoe UI" w:eastAsia="Gulim" w:hAnsi="Segoe UI" w:cs="Segoe UI"/>
          <w:color w:val="000000"/>
          <w:sz w:val="21"/>
          <w:szCs w:val="21"/>
          <w:lang w:eastAsia="ko-KR"/>
        </w:rPr>
      </w:pPr>
      <w:r w:rsidRPr="00921905">
        <w:rPr>
          <w:rFonts w:ascii="Segoe UI" w:eastAsia="Gulim" w:hAnsi="Segoe UI" w:cs="Segoe UI"/>
          <w:color w:val="000000"/>
          <w:sz w:val="21"/>
          <w:szCs w:val="21"/>
          <w:lang w:eastAsia="ko-KR"/>
        </w:rPr>
        <w:t>Cohort Collapse Strategy:</w:t>
      </w:r>
    </w:p>
    <w:p w14:paraId="7192C670" w14:textId="12AB5F0C" w:rsidR="0049270D" w:rsidRDefault="00921905" w:rsidP="00921905">
      <w:r w:rsidRPr="00921905">
        <w:rPr>
          <w:rFonts w:ascii="Segoe UI" w:eastAsia="Gulim" w:hAnsi="Segoe UI" w:cs="Segoe UI"/>
          <w:color w:val="333333"/>
          <w:sz w:val="18"/>
          <w:szCs w:val="18"/>
          <w:shd w:val="clear" w:color="auto" w:fill="FFFFFF"/>
          <w:lang w:eastAsia="ko-KR"/>
        </w:rPr>
        <w:t>Collapse cohort by era with a gap size of 0 days. </w:t>
      </w:r>
    </w:p>
    <w:p w14:paraId="0204A633" w14:textId="74DCCFD7" w:rsidR="0049270D" w:rsidRDefault="0049270D" w:rsidP="0049270D">
      <w:pPr>
        <w:pStyle w:val="4"/>
        <w:numPr>
          <w:ilvl w:val="0"/>
          <w:numId w:val="0"/>
        </w:numPr>
      </w:pPr>
      <w:r>
        <w:t>Allopurinol</w:t>
      </w:r>
    </w:p>
    <w:p w14:paraId="3C0481C8" w14:textId="101446FF" w:rsidR="0049270D" w:rsidRDefault="0049270D" w:rsidP="00EA5E71"/>
    <w:p w14:paraId="54E53CE8" w14:textId="77777777" w:rsidR="00921905" w:rsidRPr="00921905" w:rsidRDefault="00921905" w:rsidP="00921905">
      <w:pPr>
        <w:shd w:val="clear" w:color="auto" w:fill="FFFFFF"/>
        <w:spacing w:after="45" w:line="240" w:lineRule="auto"/>
        <w:rPr>
          <w:rFonts w:ascii="Segoe UI" w:eastAsia="Gulim" w:hAnsi="Segoe UI" w:cs="Segoe UI"/>
          <w:color w:val="000000"/>
          <w:sz w:val="21"/>
          <w:szCs w:val="21"/>
          <w:lang w:eastAsia="ko-KR"/>
        </w:rPr>
      </w:pPr>
      <w:r w:rsidRPr="00921905">
        <w:rPr>
          <w:rFonts w:ascii="Segoe UI" w:eastAsia="Gulim" w:hAnsi="Segoe UI" w:cs="Segoe UI"/>
          <w:color w:val="000000"/>
          <w:sz w:val="21"/>
          <w:szCs w:val="21"/>
          <w:lang w:eastAsia="ko-KR"/>
        </w:rPr>
        <w:t>Initial Event Cohort</w:t>
      </w:r>
    </w:p>
    <w:p w14:paraId="795E6087" w14:textId="77777777" w:rsidR="00921905" w:rsidRPr="00921905" w:rsidRDefault="00921905" w:rsidP="00921905">
      <w:pPr>
        <w:spacing w:after="0" w:line="240" w:lineRule="auto"/>
        <w:rPr>
          <w:rFonts w:ascii="Gulim" w:eastAsia="Gulim" w:hAnsi="Gulim" w:cs="Gulim"/>
          <w:sz w:val="24"/>
          <w:szCs w:val="24"/>
          <w:lang w:eastAsia="ko-KR"/>
        </w:rPr>
      </w:pPr>
      <w:r w:rsidRPr="00921905">
        <w:rPr>
          <w:rFonts w:ascii="Segoe UI" w:eastAsia="Gulim" w:hAnsi="Segoe UI" w:cs="Segoe UI"/>
          <w:color w:val="333333"/>
          <w:sz w:val="18"/>
          <w:szCs w:val="18"/>
          <w:shd w:val="clear" w:color="auto" w:fill="FFFFFF"/>
          <w:lang w:eastAsia="ko-KR"/>
        </w:rPr>
        <w:t>People having any of the following: </w:t>
      </w:r>
      <w:r w:rsidRPr="00921905">
        <w:rPr>
          <w:rFonts w:ascii="Segoe UI" w:eastAsia="Gulim" w:hAnsi="Segoe UI" w:cs="Segoe UI"/>
          <w:color w:val="333333"/>
          <w:sz w:val="18"/>
          <w:szCs w:val="18"/>
          <w:lang w:eastAsia="ko-KR"/>
        </w:rPr>
        <w:br/>
      </w:r>
    </w:p>
    <w:p w14:paraId="34AA097D" w14:textId="77777777" w:rsidR="00921905" w:rsidRPr="00921905" w:rsidRDefault="00921905" w:rsidP="00921905">
      <w:pPr>
        <w:numPr>
          <w:ilvl w:val="0"/>
          <w:numId w:val="23"/>
        </w:numPr>
        <w:shd w:val="clear" w:color="auto" w:fill="FFFFFF"/>
        <w:spacing w:before="100" w:beforeAutospacing="1" w:after="100" w:afterAutospacing="1" w:line="240" w:lineRule="auto"/>
        <w:rPr>
          <w:rFonts w:ascii="Segoe UI" w:eastAsia="Gulim" w:hAnsi="Segoe UI" w:cs="Segoe UI"/>
          <w:color w:val="333333"/>
          <w:sz w:val="18"/>
          <w:szCs w:val="18"/>
          <w:lang w:eastAsia="ko-KR"/>
        </w:rPr>
      </w:pPr>
      <w:r w:rsidRPr="00921905">
        <w:rPr>
          <w:rFonts w:ascii="Segoe UI" w:eastAsia="Gulim" w:hAnsi="Segoe UI" w:cs="Segoe UI"/>
          <w:color w:val="333333"/>
          <w:sz w:val="18"/>
          <w:szCs w:val="18"/>
          <w:lang w:eastAsia="ko-KR"/>
        </w:rPr>
        <w:t>a drug era of Allopurinol</w:t>
      </w:r>
      <w:r w:rsidRPr="00921905">
        <w:rPr>
          <w:rFonts w:ascii="Segoe UI" w:eastAsia="Gulim" w:hAnsi="Segoe UI" w:cs="Segoe UI"/>
          <w:color w:val="333333"/>
          <w:sz w:val="18"/>
          <w:szCs w:val="18"/>
          <w:vertAlign w:val="superscript"/>
          <w:lang w:eastAsia="ko-KR"/>
        </w:rPr>
        <w:t>2</w:t>
      </w:r>
    </w:p>
    <w:p w14:paraId="7A3AD05B" w14:textId="77777777" w:rsidR="00921905" w:rsidRPr="00921905" w:rsidRDefault="00921905" w:rsidP="00921905">
      <w:pPr>
        <w:numPr>
          <w:ilvl w:val="1"/>
          <w:numId w:val="23"/>
        </w:numPr>
        <w:shd w:val="clear" w:color="auto" w:fill="FFFFFF"/>
        <w:spacing w:before="100" w:beforeAutospacing="1" w:after="100" w:afterAutospacing="1" w:line="240" w:lineRule="auto"/>
        <w:rPr>
          <w:rFonts w:ascii="Segoe UI" w:eastAsia="Gulim" w:hAnsi="Segoe UI" w:cs="Segoe UI"/>
          <w:color w:val="333333"/>
          <w:sz w:val="18"/>
          <w:szCs w:val="18"/>
          <w:lang w:eastAsia="ko-KR"/>
        </w:rPr>
      </w:pPr>
      <w:r w:rsidRPr="00921905">
        <w:rPr>
          <w:rFonts w:ascii="Segoe UI" w:eastAsia="Gulim" w:hAnsi="Segoe UI" w:cs="Segoe UI"/>
          <w:color w:val="333333"/>
          <w:sz w:val="18"/>
          <w:szCs w:val="18"/>
          <w:lang w:eastAsia="ko-KR"/>
        </w:rPr>
        <w:t>with era length &gt; 30</w:t>
      </w:r>
    </w:p>
    <w:p w14:paraId="3D582BFE" w14:textId="77777777" w:rsidR="00921905" w:rsidRPr="00921905" w:rsidRDefault="00921905" w:rsidP="00921905">
      <w:pPr>
        <w:shd w:val="clear" w:color="auto" w:fill="FFFFFF"/>
        <w:spacing w:after="0" w:line="240" w:lineRule="auto"/>
        <w:rPr>
          <w:rFonts w:ascii="Segoe UI" w:eastAsia="Gulim" w:hAnsi="Segoe UI" w:cs="Segoe UI"/>
          <w:color w:val="333333"/>
          <w:sz w:val="18"/>
          <w:szCs w:val="18"/>
          <w:lang w:eastAsia="ko-KR"/>
        </w:rPr>
      </w:pPr>
      <w:r w:rsidRPr="00921905">
        <w:rPr>
          <w:rFonts w:ascii="Segoe UI" w:eastAsia="Gulim" w:hAnsi="Segoe UI" w:cs="Segoe UI"/>
          <w:color w:val="333333"/>
          <w:sz w:val="18"/>
          <w:szCs w:val="18"/>
          <w:lang w:eastAsia="ko-KR"/>
        </w:rPr>
        <w:t>with continuous observation of at least 365 days prior and 0 days after event index date, and limit initial events to: </w:t>
      </w:r>
      <w:r w:rsidRPr="00921905">
        <w:rPr>
          <w:rFonts w:ascii="Segoe UI" w:eastAsia="Gulim" w:hAnsi="Segoe UI" w:cs="Segoe UI"/>
          <w:b/>
          <w:bCs/>
          <w:color w:val="333333"/>
          <w:sz w:val="18"/>
          <w:szCs w:val="18"/>
          <w:lang w:eastAsia="ko-KR"/>
        </w:rPr>
        <w:t>earliest event per person.</w:t>
      </w:r>
    </w:p>
    <w:p w14:paraId="7A9C8FB4" w14:textId="77777777" w:rsidR="00921905" w:rsidRPr="00921905" w:rsidRDefault="00921905" w:rsidP="00921905">
      <w:pPr>
        <w:spacing w:after="0" w:line="240" w:lineRule="auto"/>
        <w:rPr>
          <w:rFonts w:ascii="Gulim" w:eastAsia="Gulim" w:hAnsi="Gulim" w:cs="Gulim"/>
          <w:sz w:val="24"/>
          <w:szCs w:val="24"/>
          <w:lang w:eastAsia="ko-KR"/>
        </w:rPr>
      </w:pPr>
    </w:p>
    <w:p w14:paraId="6341E3D3" w14:textId="77777777" w:rsidR="00921905" w:rsidRPr="00921905" w:rsidRDefault="00921905" w:rsidP="00921905">
      <w:pPr>
        <w:shd w:val="clear" w:color="auto" w:fill="FFFFFF"/>
        <w:spacing w:after="45" w:line="240" w:lineRule="auto"/>
        <w:rPr>
          <w:rFonts w:ascii="Segoe UI" w:eastAsia="Gulim" w:hAnsi="Segoe UI" w:cs="Segoe UI"/>
          <w:color w:val="000000"/>
          <w:sz w:val="21"/>
          <w:szCs w:val="21"/>
          <w:lang w:eastAsia="ko-KR"/>
        </w:rPr>
      </w:pPr>
      <w:r w:rsidRPr="00921905">
        <w:rPr>
          <w:rFonts w:ascii="Segoe UI" w:eastAsia="Gulim" w:hAnsi="Segoe UI" w:cs="Segoe UI"/>
          <w:color w:val="000000"/>
          <w:sz w:val="21"/>
          <w:szCs w:val="21"/>
          <w:lang w:eastAsia="ko-KR"/>
        </w:rPr>
        <w:t>Inclusion Rules</w:t>
      </w:r>
    </w:p>
    <w:p w14:paraId="71CE042B" w14:textId="77777777" w:rsidR="00921905" w:rsidRPr="00921905" w:rsidRDefault="00921905" w:rsidP="00921905">
      <w:pPr>
        <w:shd w:val="clear" w:color="auto" w:fill="FFFFFF"/>
        <w:spacing w:after="0" w:line="240" w:lineRule="auto"/>
        <w:rPr>
          <w:rFonts w:ascii="Segoe UI" w:eastAsia="Gulim" w:hAnsi="Segoe UI" w:cs="Segoe UI"/>
          <w:color w:val="333333"/>
          <w:sz w:val="18"/>
          <w:szCs w:val="18"/>
          <w:lang w:eastAsia="ko-KR"/>
        </w:rPr>
      </w:pPr>
      <w:r w:rsidRPr="00921905">
        <w:rPr>
          <w:rFonts w:ascii="Segoe UI" w:eastAsia="Gulim" w:hAnsi="Segoe UI" w:cs="Segoe UI"/>
          <w:color w:val="333333"/>
          <w:sz w:val="18"/>
          <w:szCs w:val="18"/>
          <w:lang w:eastAsia="ko-KR"/>
        </w:rPr>
        <w:t>Inclusion Criteria #1: has prior gout within 3 months</w:t>
      </w:r>
    </w:p>
    <w:p w14:paraId="0782E2C1" w14:textId="77777777" w:rsidR="00921905" w:rsidRPr="00921905" w:rsidRDefault="00921905" w:rsidP="00921905">
      <w:pPr>
        <w:shd w:val="clear" w:color="auto" w:fill="FFFFFF"/>
        <w:spacing w:after="0" w:line="240" w:lineRule="auto"/>
        <w:rPr>
          <w:rFonts w:ascii="Segoe UI" w:eastAsia="Gulim" w:hAnsi="Segoe UI" w:cs="Segoe UI"/>
          <w:color w:val="333333"/>
          <w:sz w:val="18"/>
          <w:szCs w:val="18"/>
          <w:lang w:eastAsia="ko-KR"/>
        </w:rPr>
      </w:pPr>
      <w:r w:rsidRPr="00921905">
        <w:rPr>
          <w:rFonts w:ascii="Segoe UI" w:eastAsia="Gulim" w:hAnsi="Segoe UI" w:cs="Segoe UI"/>
          <w:color w:val="333333"/>
          <w:sz w:val="18"/>
          <w:szCs w:val="18"/>
          <w:lang w:eastAsia="ko-KR"/>
        </w:rPr>
        <w:t>Having </w:t>
      </w:r>
      <w:proofErr w:type="gramStart"/>
      <w:r w:rsidRPr="00921905">
        <w:rPr>
          <w:rFonts w:ascii="Segoe UI" w:eastAsia="Gulim" w:hAnsi="Segoe UI" w:cs="Segoe UI"/>
          <w:color w:val="333333"/>
          <w:sz w:val="18"/>
          <w:szCs w:val="18"/>
          <w:lang w:eastAsia="ko-KR"/>
        </w:rPr>
        <w:t>all of</w:t>
      </w:r>
      <w:proofErr w:type="gramEnd"/>
      <w:r w:rsidRPr="00921905">
        <w:rPr>
          <w:rFonts w:ascii="Segoe UI" w:eastAsia="Gulim" w:hAnsi="Segoe UI" w:cs="Segoe UI"/>
          <w:color w:val="333333"/>
          <w:sz w:val="18"/>
          <w:szCs w:val="18"/>
          <w:lang w:eastAsia="ko-KR"/>
        </w:rPr>
        <w:t xml:space="preserve"> the following criteria:</w:t>
      </w:r>
    </w:p>
    <w:p w14:paraId="4341C6C7" w14:textId="77777777" w:rsidR="00921905" w:rsidRPr="00921905" w:rsidRDefault="00921905" w:rsidP="00921905">
      <w:pPr>
        <w:numPr>
          <w:ilvl w:val="0"/>
          <w:numId w:val="24"/>
        </w:numPr>
        <w:shd w:val="clear" w:color="auto" w:fill="FFFFFF"/>
        <w:spacing w:before="100" w:beforeAutospacing="1" w:after="100" w:afterAutospacing="1" w:line="240" w:lineRule="auto"/>
        <w:rPr>
          <w:rFonts w:ascii="Segoe UI" w:eastAsia="Gulim" w:hAnsi="Segoe UI" w:cs="Segoe UI"/>
          <w:color w:val="333333"/>
          <w:sz w:val="18"/>
          <w:szCs w:val="18"/>
          <w:lang w:eastAsia="ko-KR"/>
        </w:rPr>
      </w:pPr>
      <w:r w:rsidRPr="00921905">
        <w:rPr>
          <w:rFonts w:ascii="Segoe UI" w:eastAsia="Gulim" w:hAnsi="Segoe UI" w:cs="Segoe UI"/>
          <w:color w:val="333333"/>
          <w:sz w:val="18"/>
          <w:szCs w:val="18"/>
          <w:lang w:eastAsia="ko-KR"/>
        </w:rPr>
        <w:t>at least 1 </w:t>
      </w:r>
      <w:proofErr w:type="gramStart"/>
      <w:r w:rsidRPr="00921905">
        <w:rPr>
          <w:rFonts w:ascii="Segoe UI" w:eastAsia="Gulim" w:hAnsi="Segoe UI" w:cs="Segoe UI"/>
          <w:color w:val="333333"/>
          <w:sz w:val="18"/>
          <w:szCs w:val="18"/>
          <w:lang w:eastAsia="ko-KR"/>
        </w:rPr>
        <w:t>occurrences</w:t>
      </w:r>
      <w:proofErr w:type="gramEnd"/>
      <w:r w:rsidRPr="00921905">
        <w:rPr>
          <w:rFonts w:ascii="Segoe UI" w:eastAsia="Gulim" w:hAnsi="Segoe UI" w:cs="Segoe UI"/>
          <w:color w:val="333333"/>
          <w:sz w:val="18"/>
          <w:szCs w:val="18"/>
          <w:lang w:eastAsia="ko-KR"/>
        </w:rPr>
        <w:t> of a condition occurrence of Gout</w:t>
      </w:r>
      <w:r w:rsidRPr="00921905">
        <w:rPr>
          <w:rFonts w:ascii="Segoe UI" w:eastAsia="Gulim" w:hAnsi="Segoe UI" w:cs="Segoe UI"/>
          <w:color w:val="333333"/>
          <w:sz w:val="18"/>
          <w:szCs w:val="18"/>
          <w:vertAlign w:val="superscript"/>
          <w:lang w:eastAsia="ko-KR"/>
        </w:rPr>
        <w:t>9</w:t>
      </w:r>
    </w:p>
    <w:p w14:paraId="4D7390C4" w14:textId="77777777" w:rsidR="00921905" w:rsidRPr="00921905" w:rsidRDefault="00921905" w:rsidP="00921905">
      <w:pPr>
        <w:shd w:val="clear" w:color="auto" w:fill="FFFFFF"/>
        <w:spacing w:beforeAutospacing="1" w:after="0" w:afterAutospacing="1" w:line="240" w:lineRule="auto"/>
        <w:ind w:left="720"/>
        <w:rPr>
          <w:rFonts w:ascii="Segoe UI" w:eastAsia="Gulim" w:hAnsi="Segoe UI" w:cs="Segoe UI"/>
          <w:color w:val="333333"/>
          <w:sz w:val="18"/>
          <w:szCs w:val="18"/>
          <w:lang w:eastAsia="ko-KR"/>
        </w:rPr>
      </w:pPr>
      <w:r w:rsidRPr="00921905">
        <w:rPr>
          <w:rFonts w:ascii="Segoe UI" w:eastAsia="Gulim" w:hAnsi="Segoe UI" w:cs="Segoe UI"/>
          <w:color w:val="333333"/>
          <w:sz w:val="18"/>
          <w:szCs w:val="18"/>
          <w:lang w:eastAsia="ko-KR"/>
        </w:rPr>
        <w:lastRenderedPageBreak/>
        <w:t>starting between 90 days Before and 0 days After event index date</w:t>
      </w:r>
    </w:p>
    <w:p w14:paraId="65858C30" w14:textId="77777777" w:rsidR="00921905" w:rsidRPr="00921905" w:rsidRDefault="00921905" w:rsidP="00921905">
      <w:pPr>
        <w:shd w:val="clear" w:color="auto" w:fill="FFFFFF"/>
        <w:spacing w:after="0" w:line="240" w:lineRule="auto"/>
        <w:rPr>
          <w:rFonts w:ascii="Segoe UI" w:eastAsia="Gulim" w:hAnsi="Segoe UI" w:cs="Segoe UI"/>
          <w:color w:val="333333"/>
          <w:sz w:val="18"/>
          <w:szCs w:val="18"/>
          <w:lang w:eastAsia="ko-KR"/>
        </w:rPr>
      </w:pPr>
      <w:r w:rsidRPr="00921905">
        <w:rPr>
          <w:rFonts w:ascii="Segoe UI" w:eastAsia="Gulim" w:hAnsi="Segoe UI" w:cs="Segoe UI"/>
          <w:color w:val="333333"/>
          <w:sz w:val="18"/>
          <w:szCs w:val="18"/>
          <w:lang w:eastAsia="ko-KR"/>
        </w:rPr>
        <w:t>Inclusion Criteria #2: No myeloproliferative disorder or Primary malignant neoplasm of bone marrow</w:t>
      </w:r>
    </w:p>
    <w:p w14:paraId="4F5FF73C" w14:textId="77777777" w:rsidR="00921905" w:rsidRPr="00921905" w:rsidRDefault="00921905" w:rsidP="00921905">
      <w:pPr>
        <w:shd w:val="clear" w:color="auto" w:fill="FFFFFF"/>
        <w:spacing w:after="0" w:line="240" w:lineRule="auto"/>
        <w:rPr>
          <w:rFonts w:ascii="Segoe UI" w:eastAsia="Gulim" w:hAnsi="Segoe UI" w:cs="Segoe UI"/>
          <w:color w:val="333333"/>
          <w:sz w:val="18"/>
          <w:szCs w:val="18"/>
          <w:lang w:eastAsia="ko-KR"/>
        </w:rPr>
      </w:pPr>
      <w:r w:rsidRPr="00921905">
        <w:rPr>
          <w:rFonts w:ascii="Segoe UI" w:eastAsia="Gulim" w:hAnsi="Segoe UI" w:cs="Segoe UI"/>
          <w:color w:val="333333"/>
          <w:sz w:val="18"/>
          <w:szCs w:val="18"/>
          <w:lang w:eastAsia="ko-KR"/>
        </w:rPr>
        <w:t>Having </w:t>
      </w:r>
      <w:proofErr w:type="gramStart"/>
      <w:r w:rsidRPr="00921905">
        <w:rPr>
          <w:rFonts w:ascii="Segoe UI" w:eastAsia="Gulim" w:hAnsi="Segoe UI" w:cs="Segoe UI"/>
          <w:color w:val="333333"/>
          <w:sz w:val="18"/>
          <w:szCs w:val="18"/>
          <w:lang w:eastAsia="ko-KR"/>
        </w:rPr>
        <w:t>all of</w:t>
      </w:r>
      <w:proofErr w:type="gramEnd"/>
      <w:r w:rsidRPr="00921905">
        <w:rPr>
          <w:rFonts w:ascii="Segoe UI" w:eastAsia="Gulim" w:hAnsi="Segoe UI" w:cs="Segoe UI"/>
          <w:color w:val="333333"/>
          <w:sz w:val="18"/>
          <w:szCs w:val="18"/>
          <w:lang w:eastAsia="ko-KR"/>
        </w:rPr>
        <w:t xml:space="preserve"> the following criteria:</w:t>
      </w:r>
    </w:p>
    <w:p w14:paraId="2F9CA4EB" w14:textId="77777777" w:rsidR="00921905" w:rsidRPr="00921905" w:rsidRDefault="00921905" w:rsidP="00921905">
      <w:pPr>
        <w:numPr>
          <w:ilvl w:val="0"/>
          <w:numId w:val="25"/>
        </w:numPr>
        <w:shd w:val="clear" w:color="auto" w:fill="FFFFFF"/>
        <w:spacing w:before="100" w:beforeAutospacing="1" w:after="100" w:afterAutospacing="1" w:line="240" w:lineRule="auto"/>
        <w:rPr>
          <w:rFonts w:ascii="Segoe UI" w:eastAsia="Gulim" w:hAnsi="Segoe UI" w:cs="Segoe UI"/>
          <w:color w:val="333333"/>
          <w:sz w:val="18"/>
          <w:szCs w:val="18"/>
          <w:lang w:eastAsia="ko-KR"/>
        </w:rPr>
      </w:pPr>
      <w:r w:rsidRPr="00921905">
        <w:rPr>
          <w:rFonts w:ascii="Segoe UI" w:eastAsia="Gulim" w:hAnsi="Segoe UI" w:cs="Segoe UI"/>
          <w:color w:val="333333"/>
          <w:sz w:val="18"/>
          <w:szCs w:val="18"/>
          <w:lang w:eastAsia="ko-KR"/>
        </w:rPr>
        <w:t>at most 0 occurrences of a condition occurrence of myeloproliferative disorder</w:t>
      </w:r>
      <w:r w:rsidRPr="00921905">
        <w:rPr>
          <w:rFonts w:ascii="Segoe UI" w:eastAsia="Gulim" w:hAnsi="Segoe UI" w:cs="Segoe UI"/>
          <w:color w:val="333333"/>
          <w:sz w:val="18"/>
          <w:szCs w:val="18"/>
          <w:vertAlign w:val="superscript"/>
          <w:lang w:eastAsia="ko-KR"/>
        </w:rPr>
        <w:t>12</w:t>
      </w:r>
    </w:p>
    <w:p w14:paraId="276FA955" w14:textId="77777777" w:rsidR="00921905" w:rsidRPr="00921905" w:rsidRDefault="00921905" w:rsidP="00921905">
      <w:pPr>
        <w:shd w:val="clear" w:color="auto" w:fill="FFFFFF"/>
        <w:spacing w:beforeAutospacing="1" w:after="0" w:afterAutospacing="1" w:line="240" w:lineRule="auto"/>
        <w:ind w:left="720"/>
        <w:rPr>
          <w:rFonts w:ascii="Segoe UI" w:eastAsia="Gulim" w:hAnsi="Segoe UI" w:cs="Segoe UI"/>
          <w:color w:val="333333"/>
          <w:sz w:val="18"/>
          <w:szCs w:val="18"/>
          <w:lang w:eastAsia="ko-KR"/>
        </w:rPr>
      </w:pPr>
      <w:r w:rsidRPr="00921905">
        <w:rPr>
          <w:rFonts w:ascii="Segoe UI" w:eastAsia="Gulim" w:hAnsi="Segoe UI" w:cs="Segoe UI"/>
          <w:color w:val="333333"/>
          <w:sz w:val="18"/>
          <w:szCs w:val="18"/>
          <w:lang w:eastAsia="ko-KR"/>
        </w:rPr>
        <w:t>starting between all days Before and 0 days After event index date</w:t>
      </w:r>
    </w:p>
    <w:p w14:paraId="01BFF32E" w14:textId="77777777" w:rsidR="00921905" w:rsidRPr="00921905" w:rsidRDefault="00921905" w:rsidP="00921905">
      <w:pPr>
        <w:shd w:val="clear" w:color="auto" w:fill="FFFFFF"/>
        <w:spacing w:after="0" w:line="240" w:lineRule="auto"/>
        <w:rPr>
          <w:rFonts w:ascii="Segoe UI" w:eastAsia="Gulim" w:hAnsi="Segoe UI" w:cs="Segoe UI"/>
          <w:color w:val="333333"/>
          <w:sz w:val="18"/>
          <w:szCs w:val="18"/>
          <w:lang w:eastAsia="ko-KR"/>
        </w:rPr>
      </w:pPr>
      <w:r w:rsidRPr="00921905">
        <w:rPr>
          <w:rFonts w:ascii="Segoe UI" w:eastAsia="Gulim" w:hAnsi="Segoe UI" w:cs="Segoe UI"/>
          <w:color w:val="333333"/>
          <w:sz w:val="18"/>
          <w:szCs w:val="18"/>
          <w:lang w:eastAsia="ko-KR"/>
        </w:rPr>
        <w:t>Inclusion Criteria #3: No previous xanthinuria</w:t>
      </w:r>
    </w:p>
    <w:p w14:paraId="3BE0E242" w14:textId="77777777" w:rsidR="00921905" w:rsidRPr="00921905" w:rsidRDefault="00921905" w:rsidP="00921905">
      <w:pPr>
        <w:shd w:val="clear" w:color="auto" w:fill="FFFFFF"/>
        <w:spacing w:after="0" w:line="240" w:lineRule="auto"/>
        <w:rPr>
          <w:rFonts w:ascii="Segoe UI" w:eastAsia="Gulim" w:hAnsi="Segoe UI" w:cs="Segoe UI"/>
          <w:color w:val="333333"/>
          <w:sz w:val="18"/>
          <w:szCs w:val="18"/>
          <w:lang w:eastAsia="ko-KR"/>
        </w:rPr>
      </w:pPr>
      <w:r w:rsidRPr="00921905">
        <w:rPr>
          <w:rFonts w:ascii="Segoe UI" w:eastAsia="Gulim" w:hAnsi="Segoe UI" w:cs="Segoe UI"/>
          <w:color w:val="333333"/>
          <w:sz w:val="18"/>
          <w:szCs w:val="18"/>
          <w:lang w:eastAsia="ko-KR"/>
        </w:rPr>
        <w:t>Having </w:t>
      </w:r>
      <w:proofErr w:type="gramStart"/>
      <w:r w:rsidRPr="00921905">
        <w:rPr>
          <w:rFonts w:ascii="Segoe UI" w:eastAsia="Gulim" w:hAnsi="Segoe UI" w:cs="Segoe UI"/>
          <w:color w:val="333333"/>
          <w:sz w:val="18"/>
          <w:szCs w:val="18"/>
          <w:lang w:eastAsia="ko-KR"/>
        </w:rPr>
        <w:t>all of</w:t>
      </w:r>
      <w:proofErr w:type="gramEnd"/>
      <w:r w:rsidRPr="00921905">
        <w:rPr>
          <w:rFonts w:ascii="Segoe UI" w:eastAsia="Gulim" w:hAnsi="Segoe UI" w:cs="Segoe UI"/>
          <w:color w:val="333333"/>
          <w:sz w:val="18"/>
          <w:szCs w:val="18"/>
          <w:lang w:eastAsia="ko-KR"/>
        </w:rPr>
        <w:t xml:space="preserve"> the following criteria:</w:t>
      </w:r>
    </w:p>
    <w:p w14:paraId="3D54E0CF" w14:textId="77777777" w:rsidR="00921905" w:rsidRPr="00921905" w:rsidRDefault="00921905" w:rsidP="00921905">
      <w:pPr>
        <w:numPr>
          <w:ilvl w:val="0"/>
          <w:numId w:val="26"/>
        </w:numPr>
        <w:shd w:val="clear" w:color="auto" w:fill="FFFFFF"/>
        <w:spacing w:before="100" w:beforeAutospacing="1" w:after="100" w:afterAutospacing="1" w:line="240" w:lineRule="auto"/>
        <w:rPr>
          <w:rFonts w:ascii="Segoe UI" w:eastAsia="Gulim" w:hAnsi="Segoe UI" w:cs="Segoe UI"/>
          <w:color w:val="333333"/>
          <w:sz w:val="18"/>
          <w:szCs w:val="18"/>
          <w:lang w:eastAsia="ko-KR"/>
        </w:rPr>
      </w:pPr>
      <w:r w:rsidRPr="00921905">
        <w:rPr>
          <w:rFonts w:ascii="Segoe UI" w:eastAsia="Gulim" w:hAnsi="Segoe UI" w:cs="Segoe UI"/>
          <w:color w:val="333333"/>
          <w:sz w:val="18"/>
          <w:szCs w:val="18"/>
          <w:lang w:eastAsia="ko-KR"/>
        </w:rPr>
        <w:t>at most 0 occurrences of a condition occurrence of Xanthiuria</w:t>
      </w:r>
      <w:r w:rsidRPr="00921905">
        <w:rPr>
          <w:rFonts w:ascii="Segoe UI" w:eastAsia="Gulim" w:hAnsi="Segoe UI" w:cs="Segoe UI"/>
          <w:color w:val="333333"/>
          <w:sz w:val="18"/>
          <w:szCs w:val="18"/>
          <w:vertAlign w:val="superscript"/>
          <w:lang w:eastAsia="ko-KR"/>
        </w:rPr>
        <w:t>22</w:t>
      </w:r>
    </w:p>
    <w:p w14:paraId="7C414614" w14:textId="77777777" w:rsidR="00921905" w:rsidRPr="00921905" w:rsidRDefault="00921905" w:rsidP="00921905">
      <w:pPr>
        <w:shd w:val="clear" w:color="auto" w:fill="FFFFFF"/>
        <w:spacing w:beforeAutospacing="1" w:after="0" w:afterAutospacing="1" w:line="240" w:lineRule="auto"/>
        <w:ind w:left="720"/>
        <w:rPr>
          <w:rFonts w:ascii="Segoe UI" w:eastAsia="Gulim" w:hAnsi="Segoe UI" w:cs="Segoe UI"/>
          <w:color w:val="333333"/>
          <w:sz w:val="18"/>
          <w:szCs w:val="18"/>
          <w:lang w:eastAsia="ko-KR"/>
        </w:rPr>
      </w:pPr>
      <w:r w:rsidRPr="00921905">
        <w:rPr>
          <w:rFonts w:ascii="Segoe UI" w:eastAsia="Gulim" w:hAnsi="Segoe UI" w:cs="Segoe UI"/>
          <w:color w:val="333333"/>
          <w:sz w:val="18"/>
          <w:szCs w:val="18"/>
          <w:lang w:eastAsia="ko-KR"/>
        </w:rPr>
        <w:t>starting between all days Before and 0 days After event index date</w:t>
      </w:r>
    </w:p>
    <w:p w14:paraId="6F2A6825" w14:textId="77777777" w:rsidR="00921905" w:rsidRPr="00921905" w:rsidRDefault="00921905" w:rsidP="00921905">
      <w:pPr>
        <w:shd w:val="clear" w:color="auto" w:fill="FFFFFF"/>
        <w:spacing w:after="0" w:line="240" w:lineRule="auto"/>
        <w:rPr>
          <w:rFonts w:ascii="Segoe UI" w:eastAsia="Gulim" w:hAnsi="Segoe UI" w:cs="Segoe UI"/>
          <w:color w:val="333333"/>
          <w:sz w:val="18"/>
          <w:szCs w:val="18"/>
          <w:lang w:eastAsia="ko-KR"/>
        </w:rPr>
      </w:pPr>
      <w:r w:rsidRPr="00921905">
        <w:rPr>
          <w:rFonts w:ascii="Segoe UI" w:eastAsia="Gulim" w:hAnsi="Segoe UI" w:cs="Segoe UI"/>
          <w:color w:val="333333"/>
          <w:sz w:val="18"/>
          <w:szCs w:val="18"/>
          <w:lang w:eastAsia="ko-KR"/>
        </w:rPr>
        <w:t>Inclusion Criteria #4: Without previous febuxostat or probenecid within 1 year</w:t>
      </w:r>
    </w:p>
    <w:p w14:paraId="48EA4F73" w14:textId="77777777" w:rsidR="00921905" w:rsidRPr="00921905" w:rsidRDefault="00921905" w:rsidP="00921905">
      <w:pPr>
        <w:shd w:val="clear" w:color="auto" w:fill="FFFFFF"/>
        <w:spacing w:after="0" w:line="240" w:lineRule="auto"/>
        <w:rPr>
          <w:rFonts w:ascii="Segoe UI" w:eastAsia="Gulim" w:hAnsi="Segoe UI" w:cs="Segoe UI"/>
          <w:color w:val="333333"/>
          <w:sz w:val="18"/>
          <w:szCs w:val="18"/>
          <w:lang w:eastAsia="ko-KR"/>
        </w:rPr>
      </w:pPr>
      <w:r w:rsidRPr="00921905">
        <w:rPr>
          <w:rFonts w:ascii="Segoe UI" w:eastAsia="Gulim" w:hAnsi="Segoe UI" w:cs="Segoe UI"/>
          <w:color w:val="333333"/>
          <w:sz w:val="18"/>
          <w:szCs w:val="18"/>
          <w:lang w:eastAsia="ko-KR"/>
        </w:rPr>
        <w:t>Having </w:t>
      </w:r>
      <w:proofErr w:type="gramStart"/>
      <w:r w:rsidRPr="00921905">
        <w:rPr>
          <w:rFonts w:ascii="Segoe UI" w:eastAsia="Gulim" w:hAnsi="Segoe UI" w:cs="Segoe UI"/>
          <w:color w:val="333333"/>
          <w:sz w:val="18"/>
          <w:szCs w:val="18"/>
          <w:lang w:eastAsia="ko-KR"/>
        </w:rPr>
        <w:t>all of</w:t>
      </w:r>
      <w:proofErr w:type="gramEnd"/>
      <w:r w:rsidRPr="00921905">
        <w:rPr>
          <w:rFonts w:ascii="Segoe UI" w:eastAsia="Gulim" w:hAnsi="Segoe UI" w:cs="Segoe UI"/>
          <w:color w:val="333333"/>
          <w:sz w:val="18"/>
          <w:szCs w:val="18"/>
          <w:lang w:eastAsia="ko-KR"/>
        </w:rPr>
        <w:t xml:space="preserve"> the following criteria:</w:t>
      </w:r>
    </w:p>
    <w:p w14:paraId="5FF6B9EE" w14:textId="77777777" w:rsidR="00921905" w:rsidRPr="00921905" w:rsidRDefault="00921905" w:rsidP="00921905">
      <w:pPr>
        <w:numPr>
          <w:ilvl w:val="0"/>
          <w:numId w:val="27"/>
        </w:numPr>
        <w:shd w:val="clear" w:color="auto" w:fill="FFFFFF"/>
        <w:spacing w:before="100" w:beforeAutospacing="1" w:after="100" w:afterAutospacing="1" w:line="240" w:lineRule="auto"/>
        <w:rPr>
          <w:rFonts w:ascii="Segoe UI" w:eastAsia="Gulim" w:hAnsi="Segoe UI" w:cs="Segoe UI"/>
          <w:color w:val="333333"/>
          <w:sz w:val="18"/>
          <w:szCs w:val="18"/>
          <w:lang w:eastAsia="ko-KR"/>
        </w:rPr>
      </w:pPr>
      <w:r w:rsidRPr="00921905">
        <w:rPr>
          <w:rFonts w:ascii="Segoe UI" w:eastAsia="Gulim" w:hAnsi="Segoe UI" w:cs="Segoe UI"/>
          <w:color w:val="333333"/>
          <w:sz w:val="18"/>
          <w:szCs w:val="18"/>
          <w:lang w:eastAsia="ko-KR"/>
        </w:rPr>
        <w:t>at most 0 occurrences of a drug exposure of Febuxostat and probenecid</w:t>
      </w:r>
      <w:r w:rsidRPr="00921905">
        <w:rPr>
          <w:rFonts w:ascii="Segoe UI" w:eastAsia="Gulim" w:hAnsi="Segoe UI" w:cs="Segoe UI"/>
          <w:color w:val="333333"/>
          <w:sz w:val="18"/>
          <w:szCs w:val="18"/>
          <w:vertAlign w:val="superscript"/>
          <w:lang w:eastAsia="ko-KR"/>
        </w:rPr>
        <w:t>8</w:t>
      </w:r>
    </w:p>
    <w:p w14:paraId="1747C06C" w14:textId="77777777" w:rsidR="00921905" w:rsidRPr="00921905" w:rsidRDefault="00921905" w:rsidP="00921905">
      <w:pPr>
        <w:shd w:val="clear" w:color="auto" w:fill="FFFFFF"/>
        <w:spacing w:beforeAutospacing="1" w:after="0" w:afterAutospacing="1" w:line="240" w:lineRule="auto"/>
        <w:ind w:left="720"/>
        <w:rPr>
          <w:rFonts w:ascii="Segoe UI" w:eastAsia="Gulim" w:hAnsi="Segoe UI" w:cs="Segoe UI"/>
          <w:color w:val="333333"/>
          <w:sz w:val="18"/>
          <w:szCs w:val="18"/>
          <w:lang w:eastAsia="ko-KR"/>
        </w:rPr>
      </w:pPr>
      <w:r w:rsidRPr="00921905">
        <w:rPr>
          <w:rFonts w:ascii="Segoe UI" w:eastAsia="Gulim" w:hAnsi="Segoe UI" w:cs="Segoe UI"/>
          <w:color w:val="333333"/>
          <w:sz w:val="18"/>
          <w:szCs w:val="18"/>
          <w:lang w:eastAsia="ko-KR"/>
        </w:rPr>
        <w:t>starting between 365 days Before and 0 days After event index date</w:t>
      </w:r>
    </w:p>
    <w:p w14:paraId="36ADA45C" w14:textId="77777777" w:rsidR="00921905" w:rsidRPr="00921905" w:rsidRDefault="00921905" w:rsidP="00921905">
      <w:pPr>
        <w:shd w:val="clear" w:color="auto" w:fill="FFFFFF"/>
        <w:spacing w:after="0" w:line="240" w:lineRule="auto"/>
        <w:rPr>
          <w:rFonts w:ascii="Segoe UI" w:eastAsia="Gulim" w:hAnsi="Segoe UI" w:cs="Segoe UI"/>
          <w:color w:val="333333"/>
          <w:sz w:val="18"/>
          <w:szCs w:val="18"/>
          <w:lang w:eastAsia="ko-KR"/>
        </w:rPr>
      </w:pPr>
      <w:r w:rsidRPr="00921905">
        <w:rPr>
          <w:rFonts w:ascii="Segoe UI" w:eastAsia="Gulim" w:hAnsi="Segoe UI" w:cs="Segoe UI"/>
          <w:color w:val="333333"/>
          <w:sz w:val="18"/>
          <w:szCs w:val="18"/>
          <w:lang w:eastAsia="ko-KR"/>
        </w:rPr>
        <w:t xml:space="preserve">Limit qualifying cohort </w:t>
      </w:r>
      <w:proofErr w:type="gramStart"/>
      <w:r w:rsidRPr="00921905">
        <w:rPr>
          <w:rFonts w:ascii="Segoe UI" w:eastAsia="Gulim" w:hAnsi="Segoe UI" w:cs="Segoe UI"/>
          <w:color w:val="333333"/>
          <w:sz w:val="18"/>
          <w:szCs w:val="18"/>
          <w:lang w:eastAsia="ko-KR"/>
        </w:rPr>
        <w:t>to:</w:t>
      </w:r>
      <w:proofErr w:type="gramEnd"/>
      <w:r w:rsidRPr="00921905">
        <w:rPr>
          <w:rFonts w:ascii="Segoe UI" w:eastAsia="Gulim" w:hAnsi="Segoe UI" w:cs="Segoe UI"/>
          <w:color w:val="333333"/>
          <w:sz w:val="18"/>
          <w:szCs w:val="18"/>
          <w:lang w:eastAsia="ko-KR"/>
        </w:rPr>
        <w:t> </w:t>
      </w:r>
      <w:r w:rsidRPr="00921905">
        <w:rPr>
          <w:rFonts w:ascii="Segoe UI" w:eastAsia="Gulim" w:hAnsi="Segoe UI" w:cs="Segoe UI"/>
          <w:b/>
          <w:bCs/>
          <w:color w:val="333333"/>
          <w:sz w:val="18"/>
          <w:szCs w:val="18"/>
          <w:lang w:eastAsia="ko-KR"/>
        </w:rPr>
        <w:t>earliest event per person.</w:t>
      </w:r>
    </w:p>
    <w:p w14:paraId="3E872EF2" w14:textId="77777777" w:rsidR="00921905" w:rsidRPr="00921905" w:rsidRDefault="00921905" w:rsidP="00921905">
      <w:pPr>
        <w:spacing w:after="45" w:line="240" w:lineRule="auto"/>
        <w:rPr>
          <w:rFonts w:ascii="Gulim" w:eastAsia="Gulim" w:hAnsi="Gulim" w:cs="Gulim"/>
          <w:color w:val="000000"/>
          <w:sz w:val="18"/>
          <w:szCs w:val="18"/>
          <w:lang w:eastAsia="ko-KR"/>
        </w:rPr>
      </w:pPr>
      <w:r w:rsidRPr="00921905">
        <w:rPr>
          <w:rFonts w:ascii="Gulim" w:eastAsia="Gulim" w:hAnsi="Gulim" w:cs="Gulim"/>
          <w:color w:val="000000"/>
          <w:sz w:val="18"/>
          <w:szCs w:val="18"/>
          <w:lang w:eastAsia="ko-KR"/>
        </w:rPr>
        <w:t>End Date Strategy</w:t>
      </w:r>
    </w:p>
    <w:p w14:paraId="6320C55D" w14:textId="77777777" w:rsidR="00921905" w:rsidRPr="00921905" w:rsidRDefault="00921905" w:rsidP="00921905">
      <w:pPr>
        <w:spacing w:after="45" w:line="240" w:lineRule="auto"/>
        <w:rPr>
          <w:rFonts w:ascii="Gulim" w:eastAsia="Gulim" w:hAnsi="Gulim" w:cs="Gulim"/>
          <w:color w:val="000000"/>
          <w:sz w:val="18"/>
          <w:szCs w:val="18"/>
          <w:lang w:eastAsia="ko-KR"/>
        </w:rPr>
      </w:pPr>
      <w:r w:rsidRPr="00921905">
        <w:rPr>
          <w:rFonts w:ascii="Gulim" w:eastAsia="Gulim" w:hAnsi="Gulim" w:cs="Gulim"/>
          <w:color w:val="000000"/>
          <w:sz w:val="18"/>
          <w:szCs w:val="18"/>
          <w:lang w:eastAsia="ko-KR"/>
        </w:rPr>
        <w:t>Custom Drug Era Exit Criteria</w:t>
      </w:r>
    </w:p>
    <w:p w14:paraId="7B407D9D" w14:textId="77777777" w:rsidR="00921905" w:rsidRPr="00921905" w:rsidRDefault="00921905" w:rsidP="00921905">
      <w:pPr>
        <w:spacing w:after="0" w:line="240" w:lineRule="auto"/>
        <w:rPr>
          <w:rFonts w:ascii="Gulim" w:eastAsia="Gulim" w:hAnsi="Gulim" w:cs="Gulim"/>
          <w:sz w:val="18"/>
          <w:szCs w:val="18"/>
          <w:lang w:eastAsia="ko-KR"/>
        </w:rPr>
      </w:pPr>
      <w:r w:rsidRPr="00921905">
        <w:rPr>
          <w:rFonts w:ascii="Gulim" w:eastAsia="Gulim" w:hAnsi="Gulim" w:cs="Gulim"/>
          <w:sz w:val="18"/>
          <w:szCs w:val="18"/>
          <w:lang w:eastAsia="ko-KR"/>
        </w:rPr>
        <w:t>This strategy creates a drug era from the codes found in the specified concept set. If the index event is found within an era, the cohort end date will use the era's end date. Otherwise, it will use the observation period end date that contains the index event.</w:t>
      </w:r>
    </w:p>
    <w:p w14:paraId="741FE166" w14:textId="77777777" w:rsidR="00921905" w:rsidRPr="00921905" w:rsidRDefault="00921905" w:rsidP="00921905">
      <w:pPr>
        <w:spacing w:after="0" w:line="240" w:lineRule="auto"/>
        <w:rPr>
          <w:rFonts w:ascii="Gulim" w:eastAsia="Gulim" w:hAnsi="Gulim" w:cs="Gulim"/>
          <w:sz w:val="18"/>
          <w:szCs w:val="18"/>
          <w:lang w:eastAsia="ko-KR"/>
        </w:rPr>
      </w:pPr>
      <w:r w:rsidRPr="00921905">
        <w:rPr>
          <w:rFonts w:ascii="Gulim" w:eastAsia="Gulim" w:hAnsi="Gulim" w:cs="Gulim"/>
          <w:sz w:val="18"/>
          <w:szCs w:val="18"/>
          <w:lang w:eastAsia="ko-KR"/>
        </w:rPr>
        <w:t>Use the era end date of Allopurinol</w:t>
      </w:r>
      <w:r w:rsidRPr="00921905">
        <w:rPr>
          <w:rFonts w:ascii="Gulim" w:eastAsia="Gulim" w:hAnsi="Gulim" w:cs="Gulim"/>
          <w:sz w:val="18"/>
          <w:szCs w:val="18"/>
          <w:vertAlign w:val="superscript"/>
          <w:lang w:eastAsia="ko-KR"/>
        </w:rPr>
        <w:t>2</w:t>
      </w:r>
    </w:p>
    <w:p w14:paraId="0616FF84" w14:textId="77777777" w:rsidR="00921905" w:rsidRPr="00921905" w:rsidRDefault="00921905" w:rsidP="00921905">
      <w:pPr>
        <w:numPr>
          <w:ilvl w:val="0"/>
          <w:numId w:val="28"/>
        </w:numPr>
        <w:spacing w:before="100" w:beforeAutospacing="1" w:after="100" w:afterAutospacing="1" w:line="240" w:lineRule="auto"/>
        <w:rPr>
          <w:rFonts w:ascii="Gulim" w:eastAsia="Gulim" w:hAnsi="Gulim" w:cs="Gulim"/>
          <w:sz w:val="18"/>
          <w:szCs w:val="18"/>
          <w:lang w:eastAsia="ko-KR"/>
        </w:rPr>
      </w:pPr>
      <w:r w:rsidRPr="00921905">
        <w:rPr>
          <w:rFonts w:ascii="Gulim" w:eastAsia="Gulim" w:hAnsi="Gulim" w:cs="Gulim"/>
          <w:sz w:val="18"/>
          <w:szCs w:val="18"/>
          <w:lang w:eastAsia="ko-KR"/>
        </w:rPr>
        <w:t>allowing 30 days between exposures</w:t>
      </w:r>
    </w:p>
    <w:p w14:paraId="3B552F5D" w14:textId="77777777" w:rsidR="00921905" w:rsidRPr="00921905" w:rsidRDefault="00921905" w:rsidP="00921905">
      <w:pPr>
        <w:numPr>
          <w:ilvl w:val="0"/>
          <w:numId w:val="28"/>
        </w:numPr>
        <w:spacing w:before="100" w:beforeAutospacing="1" w:after="100" w:afterAutospacing="1" w:line="240" w:lineRule="auto"/>
        <w:rPr>
          <w:rFonts w:ascii="Gulim" w:eastAsia="Gulim" w:hAnsi="Gulim" w:cs="Gulim"/>
          <w:sz w:val="18"/>
          <w:szCs w:val="18"/>
          <w:lang w:eastAsia="ko-KR"/>
        </w:rPr>
      </w:pPr>
      <w:r w:rsidRPr="00921905">
        <w:rPr>
          <w:rFonts w:ascii="Gulim" w:eastAsia="Gulim" w:hAnsi="Gulim" w:cs="Gulim"/>
          <w:sz w:val="18"/>
          <w:szCs w:val="18"/>
          <w:lang w:eastAsia="ko-KR"/>
        </w:rPr>
        <w:t>adding 0 days after exposure end</w:t>
      </w:r>
    </w:p>
    <w:p w14:paraId="4E06D668" w14:textId="77777777" w:rsidR="00921905" w:rsidRPr="00921905" w:rsidRDefault="00921905" w:rsidP="00921905">
      <w:pPr>
        <w:shd w:val="clear" w:color="auto" w:fill="FFFFFF"/>
        <w:spacing w:after="45" w:line="240" w:lineRule="auto"/>
        <w:rPr>
          <w:rFonts w:ascii="Segoe UI" w:eastAsia="Gulim" w:hAnsi="Segoe UI" w:cs="Segoe UI"/>
          <w:color w:val="000000"/>
          <w:sz w:val="21"/>
          <w:szCs w:val="21"/>
          <w:lang w:eastAsia="ko-KR"/>
        </w:rPr>
      </w:pPr>
      <w:r w:rsidRPr="00921905">
        <w:rPr>
          <w:rFonts w:ascii="Segoe UI" w:eastAsia="Gulim" w:hAnsi="Segoe UI" w:cs="Segoe UI"/>
          <w:color w:val="000000"/>
          <w:sz w:val="21"/>
          <w:szCs w:val="21"/>
          <w:lang w:eastAsia="ko-KR"/>
        </w:rPr>
        <w:t>Censoring Events:</w:t>
      </w:r>
    </w:p>
    <w:p w14:paraId="24A59193" w14:textId="7ECE8A0B" w:rsidR="00921905" w:rsidRPr="00921905" w:rsidRDefault="00921905" w:rsidP="00921905">
      <w:pPr>
        <w:spacing w:after="0" w:line="240" w:lineRule="auto"/>
        <w:rPr>
          <w:rFonts w:ascii="Segoe UI" w:eastAsia="Gulim" w:hAnsi="Segoe UI" w:cs="Segoe UI"/>
          <w:color w:val="333333"/>
          <w:sz w:val="18"/>
          <w:szCs w:val="18"/>
          <w:lang w:eastAsia="ko-KR"/>
        </w:rPr>
      </w:pPr>
      <w:r w:rsidRPr="00921905">
        <w:rPr>
          <w:rFonts w:ascii="Segoe UI" w:eastAsia="Gulim" w:hAnsi="Segoe UI" w:cs="Segoe UI"/>
          <w:color w:val="333333"/>
          <w:sz w:val="18"/>
          <w:szCs w:val="18"/>
          <w:shd w:val="clear" w:color="auto" w:fill="FFFFFF"/>
          <w:lang w:eastAsia="ko-KR"/>
        </w:rPr>
        <w:t>Exit Cohort based on the following: </w:t>
      </w:r>
      <w:r w:rsidRPr="00921905">
        <w:rPr>
          <w:rFonts w:ascii="Segoe UI" w:eastAsia="Gulim" w:hAnsi="Segoe UI" w:cs="Segoe UI"/>
          <w:color w:val="333333"/>
          <w:sz w:val="18"/>
          <w:szCs w:val="18"/>
          <w:lang w:eastAsia="ko-KR"/>
        </w:rPr>
        <w:br/>
        <w:t>a drug exposure of febuxostat</w:t>
      </w:r>
      <w:r w:rsidRPr="00921905">
        <w:rPr>
          <w:rFonts w:ascii="Segoe UI" w:eastAsia="Gulim" w:hAnsi="Segoe UI" w:cs="Segoe UI"/>
          <w:color w:val="333333"/>
          <w:sz w:val="18"/>
          <w:szCs w:val="18"/>
          <w:vertAlign w:val="superscript"/>
          <w:lang w:eastAsia="ko-KR"/>
        </w:rPr>
        <w:t>7</w:t>
      </w:r>
    </w:p>
    <w:p w14:paraId="66C17BEE" w14:textId="77777777" w:rsidR="00921905" w:rsidRDefault="00921905" w:rsidP="00EA5E71"/>
    <w:p w14:paraId="3EE47A42" w14:textId="77777777" w:rsidR="00647841" w:rsidRDefault="00647841" w:rsidP="00647841">
      <w:pPr>
        <w:pStyle w:val="3"/>
      </w:pPr>
      <w:bookmarkStart w:id="15" w:name="_Toc470944217"/>
      <w:r>
        <w:t>Outcomes</w:t>
      </w:r>
      <w:bookmarkEnd w:id="15"/>
    </w:p>
    <w:p w14:paraId="5E331A3B" w14:textId="2F223914" w:rsidR="00410363" w:rsidRDefault="00F05D4D" w:rsidP="008F127C">
      <w:pPr>
        <w:pStyle w:val="4"/>
        <w:numPr>
          <w:ilvl w:val="0"/>
          <w:numId w:val="0"/>
        </w:numPr>
      </w:pPr>
      <w:r>
        <w:t xml:space="preserve">Primary outcome: </w:t>
      </w:r>
      <w:r w:rsidR="00167004">
        <w:t>Sudden Cardiac Death</w:t>
      </w:r>
    </w:p>
    <w:p w14:paraId="42921BDB" w14:textId="63EAAC16" w:rsidR="00431DA7" w:rsidRDefault="00431DA7" w:rsidP="0068303C">
      <w:r>
        <w:t xml:space="preserve">Primary outcome </w:t>
      </w:r>
      <w:r w:rsidR="0068303C">
        <w:rPr>
          <w:rFonts w:hint="eastAsia"/>
          <w:lang w:eastAsia="ko-KR"/>
        </w:rPr>
        <w:t xml:space="preserve">is defined as </w:t>
      </w:r>
      <w:r w:rsidR="00167004">
        <w:rPr>
          <w:lang w:eastAsia="ko-KR"/>
        </w:rPr>
        <w:t>sudden cardiac death</w:t>
      </w:r>
    </w:p>
    <w:p w14:paraId="3A51C51E" w14:textId="0EBDDBAB" w:rsidR="00167004" w:rsidRDefault="00167004" w:rsidP="0068303C"/>
    <w:p w14:paraId="6C840685" w14:textId="5668AF5B" w:rsidR="00167004" w:rsidRDefault="00167004" w:rsidP="00167004">
      <w:pPr>
        <w:pStyle w:val="4"/>
        <w:numPr>
          <w:ilvl w:val="0"/>
          <w:numId w:val="0"/>
        </w:numPr>
      </w:pPr>
      <w:r>
        <w:t>Secondary outcome: All-Cause mortality</w:t>
      </w:r>
    </w:p>
    <w:p w14:paraId="722C34AD" w14:textId="12AFC44C" w:rsidR="00167004" w:rsidRDefault="00167004" w:rsidP="00167004">
      <w:r>
        <w:t xml:space="preserve">Outcome </w:t>
      </w:r>
      <w:r>
        <w:rPr>
          <w:rFonts w:hint="eastAsia"/>
          <w:lang w:eastAsia="ko-KR"/>
        </w:rPr>
        <w:t>is defined as any-death</w:t>
      </w:r>
      <w:r>
        <w:t xml:space="preserve"> </w:t>
      </w:r>
    </w:p>
    <w:p w14:paraId="50836DAE" w14:textId="3E2C5738" w:rsidR="00167004" w:rsidRDefault="00167004" w:rsidP="00167004"/>
    <w:p w14:paraId="0DA361EA" w14:textId="77777777" w:rsidR="00167004" w:rsidRDefault="00167004" w:rsidP="00167004">
      <w:pPr>
        <w:pStyle w:val="4"/>
        <w:numPr>
          <w:ilvl w:val="0"/>
          <w:numId w:val="0"/>
        </w:numPr>
      </w:pPr>
      <w:r>
        <w:lastRenderedPageBreak/>
        <w:t>Secondary outcome: Drug Hypersensitivity</w:t>
      </w:r>
    </w:p>
    <w:p w14:paraId="4FF01171" w14:textId="77777777" w:rsidR="00167004" w:rsidRDefault="00167004" w:rsidP="00167004">
      <w:r>
        <w:t xml:space="preserve">Index rule defining the index date:  </w:t>
      </w:r>
    </w:p>
    <w:p w14:paraId="47DA082C" w14:textId="766B41D3" w:rsidR="00167004" w:rsidRDefault="00167004" w:rsidP="00167004">
      <w:pPr>
        <w:pStyle w:val="a8"/>
        <w:numPr>
          <w:ilvl w:val="0"/>
          <w:numId w:val="4"/>
        </w:numPr>
      </w:pPr>
      <w:r>
        <w:t xml:space="preserve">Occurrence of a </w:t>
      </w:r>
      <w:r w:rsidR="00921905">
        <w:t>TEN</w:t>
      </w:r>
      <w:r w:rsidR="00E774FE">
        <w:t xml:space="preserve"> (toxic epidermal necrolysis)</w:t>
      </w:r>
      <w:r w:rsidR="00921905">
        <w:t xml:space="preserve">, SJS </w:t>
      </w:r>
      <w:r w:rsidR="00E774FE">
        <w:t xml:space="preserve">(Stevens-Johnson Syndrome) </w:t>
      </w:r>
      <w:r w:rsidR="00921905">
        <w:t>and DRESS</w:t>
      </w:r>
      <w:r>
        <w:t xml:space="preserve"> </w:t>
      </w:r>
      <w:r w:rsidR="00E774FE">
        <w:t xml:space="preserve">(Drug Reaction with Eosinophilia and Systemic Symptoms) </w:t>
      </w:r>
      <w:r>
        <w:t>code as a diagnosis in an inpatient or emergency room setting</w:t>
      </w:r>
    </w:p>
    <w:p w14:paraId="3F01ABE5" w14:textId="5808A87B" w:rsidR="00167004" w:rsidRDefault="00167004" w:rsidP="00167004"/>
    <w:p w14:paraId="74D9B829" w14:textId="31E95CF6" w:rsidR="00167004" w:rsidRDefault="00167004" w:rsidP="00167004">
      <w:pPr>
        <w:pStyle w:val="4"/>
        <w:numPr>
          <w:ilvl w:val="0"/>
          <w:numId w:val="0"/>
        </w:numPr>
      </w:pPr>
      <w:r>
        <w:t>Secondary outcome: Gout flare</w:t>
      </w:r>
    </w:p>
    <w:p w14:paraId="02867C36" w14:textId="77777777" w:rsidR="00E74D7E" w:rsidRPr="00E74D7E" w:rsidRDefault="00E74D7E" w:rsidP="00E74D7E">
      <w:pPr>
        <w:shd w:val="clear" w:color="auto" w:fill="FFFFFF"/>
        <w:spacing w:after="45" w:line="240" w:lineRule="auto"/>
        <w:rPr>
          <w:rFonts w:ascii="Segoe UI" w:eastAsia="Gulim" w:hAnsi="Segoe UI" w:cs="Segoe UI"/>
          <w:color w:val="000000"/>
          <w:sz w:val="21"/>
          <w:szCs w:val="21"/>
          <w:lang w:eastAsia="ko-KR"/>
        </w:rPr>
      </w:pPr>
      <w:r w:rsidRPr="00E74D7E">
        <w:rPr>
          <w:rFonts w:ascii="Segoe UI" w:eastAsia="Gulim" w:hAnsi="Segoe UI" w:cs="Segoe UI"/>
          <w:color w:val="000000"/>
          <w:sz w:val="21"/>
          <w:szCs w:val="21"/>
          <w:lang w:eastAsia="ko-KR"/>
        </w:rPr>
        <w:t>Initial Event Cohort</w:t>
      </w:r>
    </w:p>
    <w:p w14:paraId="7C57E301" w14:textId="77777777" w:rsidR="00E74D7E" w:rsidRPr="00E74D7E" w:rsidRDefault="00E74D7E" w:rsidP="00E74D7E">
      <w:pPr>
        <w:spacing w:after="0" w:line="240" w:lineRule="auto"/>
        <w:rPr>
          <w:rFonts w:ascii="Gulim" w:eastAsia="Gulim" w:hAnsi="Gulim" w:cs="Gulim"/>
          <w:sz w:val="24"/>
          <w:szCs w:val="24"/>
          <w:lang w:eastAsia="ko-KR"/>
        </w:rPr>
      </w:pPr>
      <w:r w:rsidRPr="00E74D7E">
        <w:rPr>
          <w:rFonts w:ascii="Segoe UI" w:eastAsia="Gulim" w:hAnsi="Segoe UI" w:cs="Segoe UI"/>
          <w:color w:val="333333"/>
          <w:sz w:val="18"/>
          <w:szCs w:val="18"/>
          <w:shd w:val="clear" w:color="auto" w:fill="FFFFFF"/>
          <w:lang w:eastAsia="ko-KR"/>
        </w:rPr>
        <w:t>People having any of the following: </w:t>
      </w:r>
      <w:r w:rsidRPr="00E74D7E">
        <w:rPr>
          <w:rFonts w:ascii="Segoe UI" w:eastAsia="Gulim" w:hAnsi="Segoe UI" w:cs="Segoe UI"/>
          <w:color w:val="333333"/>
          <w:sz w:val="18"/>
          <w:szCs w:val="18"/>
          <w:lang w:eastAsia="ko-KR"/>
        </w:rPr>
        <w:br/>
      </w:r>
    </w:p>
    <w:p w14:paraId="52AC90D4" w14:textId="77777777" w:rsidR="00E74D7E" w:rsidRPr="00E74D7E" w:rsidRDefault="00E74D7E" w:rsidP="00E74D7E">
      <w:pPr>
        <w:numPr>
          <w:ilvl w:val="0"/>
          <w:numId w:val="37"/>
        </w:numPr>
        <w:shd w:val="clear" w:color="auto" w:fill="FFFFFF"/>
        <w:spacing w:before="100" w:beforeAutospacing="1" w:after="100" w:afterAutospacing="1" w:line="240" w:lineRule="auto"/>
        <w:rPr>
          <w:rFonts w:ascii="Segoe UI" w:eastAsia="Gulim" w:hAnsi="Segoe UI" w:cs="Segoe UI"/>
          <w:color w:val="333333"/>
          <w:sz w:val="18"/>
          <w:szCs w:val="18"/>
          <w:lang w:eastAsia="ko-KR"/>
        </w:rPr>
      </w:pPr>
      <w:r w:rsidRPr="00E74D7E">
        <w:rPr>
          <w:rFonts w:ascii="Segoe UI" w:eastAsia="Gulim" w:hAnsi="Segoe UI" w:cs="Segoe UI"/>
          <w:color w:val="333333"/>
          <w:sz w:val="18"/>
          <w:szCs w:val="18"/>
          <w:lang w:eastAsia="ko-KR"/>
        </w:rPr>
        <w:t>a condition occurrence of Gout</w:t>
      </w:r>
      <w:r w:rsidRPr="00E74D7E">
        <w:rPr>
          <w:rFonts w:ascii="Segoe UI" w:eastAsia="Gulim" w:hAnsi="Segoe UI" w:cs="Segoe UI"/>
          <w:color w:val="333333"/>
          <w:sz w:val="18"/>
          <w:szCs w:val="18"/>
          <w:vertAlign w:val="superscript"/>
          <w:lang w:eastAsia="ko-KR"/>
        </w:rPr>
        <w:t>1</w:t>
      </w:r>
    </w:p>
    <w:p w14:paraId="413D0256" w14:textId="77777777" w:rsidR="00E74D7E" w:rsidRPr="00E74D7E" w:rsidRDefault="00E74D7E" w:rsidP="00E74D7E">
      <w:pPr>
        <w:numPr>
          <w:ilvl w:val="1"/>
          <w:numId w:val="37"/>
        </w:numPr>
        <w:shd w:val="clear" w:color="auto" w:fill="FFFFFF"/>
        <w:spacing w:before="100" w:beforeAutospacing="1" w:after="100" w:afterAutospacing="1" w:line="240" w:lineRule="auto"/>
        <w:rPr>
          <w:rFonts w:ascii="Segoe UI" w:eastAsia="Gulim" w:hAnsi="Segoe UI" w:cs="Segoe UI"/>
          <w:color w:val="333333"/>
          <w:sz w:val="18"/>
          <w:szCs w:val="18"/>
          <w:lang w:eastAsia="ko-KR"/>
        </w:rPr>
      </w:pPr>
      <w:r w:rsidRPr="00E74D7E">
        <w:rPr>
          <w:rFonts w:ascii="Segoe UI" w:eastAsia="Gulim" w:hAnsi="Segoe UI" w:cs="Segoe UI"/>
          <w:color w:val="333333"/>
          <w:sz w:val="18"/>
          <w:szCs w:val="18"/>
          <w:lang w:eastAsia="ko-KR"/>
        </w:rPr>
        <w:t>visit occurrence is any of: Emergency Room - Hospital, Emergency Room Visit, Emergency Room and Inpatient Visit, Emergency Room Critical Care Facility</w:t>
      </w:r>
    </w:p>
    <w:p w14:paraId="5C8F779B" w14:textId="77777777" w:rsidR="00E74D7E" w:rsidRPr="00E74D7E" w:rsidRDefault="00E74D7E" w:rsidP="00E74D7E">
      <w:pPr>
        <w:shd w:val="clear" w:color="auto" w:fill="FFFFFF"/>
        <w:spacing w:after="0" w:line="240" w:lineRule="auto"/>
        <w:rPr>
          <w:rFonts w:ascii="Segoe UI" w:eastAsia="Gulim" w:hAnsi="Segoe UI" w:cs="Segoe UI"/>
          <w:color w:val="333333"/>
          <w:sz w:val="18"/>
          <w:szCs w:val="18"/>
          <w:lang w:eastAsia="ko-KR"/>
        </w:rPr>
      </w:pPr>
      <w:r w:rsidRPr="00E74D7E">
        <w:rPr>
          <w:rFonts w:ascii="Segoe UI" w:eastAsia="Gulim" w:hAnsi="Segoe UI" w:cs="Segoe UI"/>
          <w:color w:val="333333"/>
          <w:sz w:val="18"/>
          <w:szCs w:val="18"/>
          <w:lang w:eastAsia="ko-KR"/>
        </w:rPr>
        <w:t>with continuous observation of at least 0 days prior and 0 days after event index date, and limit initial events to: </w:t>
      </w:r>
      <w:r w:rsidRPr="00E74D7E">
        <w:rPr>
          <w:rFonts w:ascii="Segoe UI" w:eastAsia="Gulim" w:hAnsi="Segoe UI" w:cs="Segoe UI"/>
          <w:b/>
          <w:bCs/>
          <w:color w:val="333333"/>
          <w:sz w:val="18"/>
          <w:szCs w:val="18"/>
          <w:lang w:eastAsia="ko-KR"/>
        </w:rPr>
        <w:t>all events per person.</w:t>
      </w:r>
    </w:p>
    <w:p w14:paraId="06EC5166" w14:textId="77777777" w:rsidR="00E74D7E" w:rsidRPr="00E74D7E" w:rsidRDefault="00E74D7E" w:rsidP="00E74D7E">
      <w:pPr>
        <w:spacing w:after="0" w:line="240" w:lineRule="auto"/>
        <w:rPr>
          <w:rFonts w:ascii="Gulim" w:eastAsia="Gulim" w:hAnsi="Gulim" w:cs="Gulim"/>
          <w:sz w:val="24"/>
          <w:szCs w:val="24"/>
          <w:lang w:eastAsia="ko-KR"/>
        </w:rPr>
      </w:pPr>
    </w:p>
    <w:p w14:paraId="32FB7299" w14:textId="77777777" w:rsidR="00E74D7E" w:rsidRPr="00E74D7E" w:rsidRDefault="00E74D7E" w:rsidP="00E74D7E">
      <w:pPr>
        <w:shd w:val="clear" w:color="auto" w:fill="FFFFFF"/>
        <w:spacing w:after="45" w:line="240" w:lineRule="auto"/>
        <w:rPr>
          <w:rFonts w:ascii="Segoe UI" w:eastAsia="Gulim" w:hAnsi="Segoe UI" w:cs="Segoe UI"/>
          <w:color w:val="000000"/>
          <w:sz w:val="21"/>
          <w:szCs w:val="21"/>
          <w:lang w:eastAsia="ko-KR"/>
        </w:rPr>
      </w:pPr>
      <w:r w:rsidRPr="00E74D7E">
        <w:rPr>
          <w:rFonts w:ascii="Segoe UI" w:eastAsia="Gulim" w:hAnsi="Segoe UI" w:cs="Segoe UI"/>
          <w:color w:val="000000"/>
          <w:sz w:val="21"/>
          <w:szCs w:val="21"/>
          <w:lang w:eastAsia="ko-KR"/>
        </w:rPr>
        <w:t>Inclusion Rules</w:t>
      </w:r>
    </w:p>
    <w:p w14:paraId="7368286D" w14:textId="77777777" w:rsidR="00E74D7E" w:rsidRPr="00E74D7E" w:rsidRDefault="00E74D7E" w:rsidP="00E74D7E">
      <w:pPr>
        <w:shd w:val="clear" w:color="auto" w:fill="FFFFFF"/>
        <w:spacing w:after="0" w:line="240" w:lineRule="auto"/>
        <w:rPr>
          <w:rFonts w:ascii="Segoe UI" w:eastAsia="Gulim" w:hAnsi="Segoe UI" w:cs="Segoe UI"/>
          <w:color w:val="333333"/>
          <w:sz w:val="18"/>
          <w:szCs w:val="18"/>
          <w:lang w:eastAsia="ko-KR"/>
        </w:rPr>
      </w:pPr>
      <w:r w:rsidRPr="00E74D7E">
        <w:rPr>
          <w:rFonts w:ascii="Segoe UI" w:eastAsia="Gulim" w:hAnsi="Segoe UI" w:cs="Segoe UI"/>
          <w:color w:val="333333"/>
          <w:sz w:val="18"/>
          <w:szCs w:val="18"/>
          <w:lang w:eastAsia="ko-KR"/>
        </w:rPr>
        <w:t>Inclusion Criteria #1: Medication or procedure for gout flare</w:t>
      </w:r>
    </w:p>
    <w:p w14:paraId="7DE3DD6C" w14:textId="77777777" w:rsidR="00E74D7E" w:rsidRPr="00E74D7E" w:rsidRDefault="00E74D7E" w:rsidP="00E74D7E">
      <w:pPr>
        <w:shd w:val="clear" w:color="auto" w:fill="FFFFFF"/>
        <w:spacing w:after="0" w:line="240" w:lineRule="auto"/>
        <w:rPr>
          <w:rFonts w:ascii="Segoe UI" w:eastAsia="Gulim" w:hAnsi="Segoe UI" w:cs="Segoe UI"/>
          <w:color w:val="333333"/>
          <w:sz w:val="18"/>
          <w:szCs w:val="18"/>
          <w:lang w:eastAsia="ko-KR"/>
        </w:rPr>
      </w:pPr>
      <w:r w:rsidRPr="00E74D7E">
        <w:rPr>
          <w:rFonts w:ascii="Segoe UI" w:eastAsia="Gulim" w:hAnsi="Segoe UI" w:cs="Segoe UI"/>
          <w:color w:val="333333"/>
          <w:sz w:val="18"/>
          <w:szCs w:val="18"/>
          <w:lang w:eastAsia="ko-KR"/>
        </w:rPr>
        <w:t>Having any of the following criteria:</w:t>
      </w:r>
    </w:p>
    <w:p w14:paraId="29B273F1" w14:textId="77777777" w:rsidR="00E74D7E" w:rsidRPr="00E74D7E" w:rsidRDefault="00E74D7E" w:rsidP="00E74D7E">
      <w:pPr>
        <w:numPr>
          <w:ilvl w:val="0"/>
          <w:numId w:val="38"/>
        </w:numPr>
        <w:shd w:val="clear" w:color="auto" w:fill="FFFFFF"/>
        <w:spacing w:before="100" w:beforeAutospacing="1" w:after="100" w:afterAutospacing="1" w:line="240" w:lineRule="auto"/>
        <w:rPr>
          <w:rFonts w:ascii="Segoe UI" w:eastAsia="Gulim" w:hAnsi="Segoe UI" w:cs="Segoe UI"/>
          <w:color w:val="333333"/>
          <w:sz w:val="18"/>
          <w:szCs w:val="18"/>
          <w:lang w:eastAsia="ko-KR"/>
        </w:rPr>
      </w:pPr>
      <w:r w:rsidRPr="00E74D7E">
        <w:rPr>
          <w:rFonts w:ascii="Segoe UI" w:eastAsia="Gulim" w:hAnsi="Segoe UI" w:cs="Segoe UI"/>
          <w:color w:val="333333"/>
          <w:sz w:val="18"/>
          <w:szCs w:val="18"/>
          <w:lang w:eastAsia="ko-KR"/>
        </w:rPr>
        <w:t>at least 1 </w:t>
      </w:r>
      <w:proofErr w:type="gramStart"/>
      <w:r w:rsidRPr="00E74D7E">
        <w:rPr>
          <w:rFonts w:ascii="Segoe UI" w:eastAsia="Gulim" w:hAnsi="Segoe UI" w:cs="Segoe UI"/>
          <w:color w:val="333333"/>
          <w:sz w:val="18"/>
          <w:szCs w:val="18"/>
          <w:lang w:eastAsia="ko-KR"/>
        </w:rPr>
        <w:t>occurrences</w:t>
      </w:r>
      <w:proofErr w:type="gramEnd"/>
      <w:r w:rsidRPr="00E74D7E">
        <w:rPr>
          <w:rFonts w:ascii="Segoe UI" w:eastAsia="Gulim" w:hAnsi="Segoe UI" w:cs="Segoe UI"/>
          <w:color w:val="333333"/>
          <w:sz w:val="18"/>
          <w:szCs w:val="18"/>
          <w:lang w:eastAsia="ko-KR"/>
        </w:rPr>
        <w:t> of a drug exposure of Medication for gout flares</w:t>
      </w:r>
      <w:r w:rsidRPr="00E74D7E">
        <w:rPr>
          <w:rFonts w:ascii="Segoe UI" w:eastAsia="Gulim" w:hAnsi="Segoe UI" w:cs="Segoe UI"/>
          <w:color w:val="333333"/>
          <w:sz w:val="18"/>
          <w:szCs w:val="18"/>
          <w:vertAlign w:val="superscript"/>
          <w:lang w:eastAsia="ko-KR"/>
        </w:rPr>
        <w:t>2</w:t>
      </w:r>
    </w:p>
    <w:p w14:paraId="3E16BA32" w14:textId="77777777" w:rsidR="00E74D7E" w:rsidRPr="00E74D7E" w:rsidRDefault="00E74D7E" w:rsidP="00E74D7E">
      <w:pPr>
        <w:shd w:val="clear" w:color="auto" w:fill="FFFFFF"/>
        <w:spacing w:beforeAutospacing="1" w:after="0" w:afterAutospacing="1" w:line="240" w:lineRule="auto"/>
        <w:ind w:left="720"/>
        <w:rPr>
          <w:rFonts w:ascii="Segoe UI" w:eastAsia="Gulim" w:hAnsi="Segoe UI" w:cs="Segoe UI"/>
          <w:color w:val="333333"/>
          <w:sz w:val="18"/>
          <w:szCs w:val="18"/>
          <w:lang w:eastAsia="ko-KR"/>
        </w:rPr>
      </w:pPr>
      <w:r w:rsidRPr="00E74D7E">
        <w:rPr>
          <w:rFonts w:ascii="Segoe UI" w:eastAsia="Gulim" w:hAnsi="Segoe UI" w:cs="Segoe UI"/>
          <w:color w:val="333333"/>
          <w:sz w:val="18"/>
          <w:szCs w:val="18"/>
          <w:lang w:eastAsia="ko-KR"/>
        </w:rPr>
        <w:t>starting between 0 days Before and 7 days After event index date</w:t>
      </w:r>
    </w:p>
    <w:p w14:paraId="08F1DB3F" w14:textId="77777777" w:rsidR="00E74D7E" w:rsidRPr="00E74D7E" w:rsidRDefault="00E74D7E" w:rsidP="00E74D7E">
      <w:pPr>
        <w:numPr>
          <w:ilvl w:val="0"/>
          <w:numId w:val="38"/>
        </w:numPr>
        <w:shd w:val="clear" w:color="auto" w:fill="FFFFFF"/>
        <w:spacing w:before="100" w:beforeAutospacing="1" w:after="100" w:afterAutospacing="1" w:line="240" w:lineRule="auto"/>
        <w:rPr>
          <w:rFonts w:ascii="Segoe UI" w:eastAsia="Gulim" w:hAnsi="Segoe UI" w:cs="Segoe UI"/>
          <w:color w:val="333333"/>
          <w:sz w:val="18"/>
          <w:szCs w:val="18"/>
          <w:lang w:eastAsia="ko-KR"/>
        </w:rPr>
      </w:pPr>
      <w:r w:rsidRPr="00E74D7E">
        <w:rPr>
          <w:rFonts w:ascii="Segoe UI" w:eastAsia="Gulim" w:hAnsi="Segoe UI" w:cs="Segoe UI"/>
          <w:color w:val="333333"/>
          <w:sz w:val="18"/>
          <w:szCs w:val="18"/>
          <w:lang w:eastAsia="ko-KR"/>
        </w:rPr>
        <w:t>or at least 1 </w:t>
      </w:r>
      <w:proofErr w:type="gramStart"/>
      <w:r w:rsidRPr="00E74D7E">
        <w:rPr>
          <w:rFonts w:ascii="Segoe UI" w:eastAsia="Gulim" w:hAnsi="Segoe UI" w:cs="Segoe UI"/>
          <w:color w:val="333333"/>
          <w:sz w:val="18"/>
          <w:szCs w:val="18"/>
          <w:lang w:eastAsia="ko-KR"/>
        </w:rPr>
        <w:t>occurrences</w:t>
      </w:r>
      <w:proofErr w:type="gramEnd"/>
      <w:r w:rsidRPr="00E74D7E">
        <w:rPr>
          <w:rFonts w:ascii="Segoe UI" w:eastAsia="Gulim" w:hAnsi="Segoe UI" w:cs="Segoe UI"/>
          <w:color w:val="333333"/>
          <w:sz w:val="18"/>
          <w:szCs w:val="18"/>
          <w:lang w:eastAsia="ko-KR"/>
        </w:rPr>
        <w:t> of a procedure of Procedure for gout flares</w:t>
      </w:r>
      <w:r w:rsidRPr="00E74D7E">
        <w:rPr>
          <w:rFonts w:ascii="Segoe UI" w:eastAsia="Gulim" w:hAnsi="Segoe UI" w:cs="Segoe UI"/>
          <w:color w:val="333333"/>
          <w:sz w:val="18"/>
          <w:szCs w:val="18"/>
          <w:vertAlign w:val="superscript"/>
          <w:lang w:eastAsia="ko-KR"/>
        </w:rPr>
        <w:t>3</w:t>
      </w:r>
    </w:p>
    <w:p w14:paraId="4174B383" w14:textId="77777777" w:rsidR="00E74D7E" w:rsidRPr="00E74D7E" w:rsidRDefault="00E74D7E" w:rsidP="00E74D7E">
      <w:pPr>
        <w:shd w:val="clear" w:color="auto" w:fill="FFFFFF"/>
        <w:spacing w:beforeAutospacing="1" w:after="0" w:afterAutospacing="1" w:line="240" w:lineRule="auto"/>
        <w:ind w:left="720"/>
        <w:rPr>
          <w:rFonts w:ascii="Segoe UI" w:eastAsia="Gulim" w:hAnsi="Segoe UI" w:cs="Segoe UI"/>
          <w:color w:val="333333"/>
          <w:sz w:val="18"/>
          <w:szCs w:val="18"/>
          <w:lang w:eastAsia="ko-KR"/>
        </w:rPr>
      </w:pPr>
      <w:r w:rsidRPr="00E74D7E">
        <w:rPr>
          <w:rFonts w:ascii="Segoe UI" w:eastAsia="Gulim" w:hAnsi="Segoe UI" w:cs="Segoe UI"/>
          <w:color w:val="333333"/>
          <w:sz w:val="18"/>
          <w:szCs w:val="18"/>
          <w:lang w:eastAsia="ko-KR"/>
        </w:rPr>
        <w:t>starting between 0 days Before and 7 days After event index date</w:t>
      </w:r>
    </w:p>
    <w:p w14:paraId="35178833" w14:textId="77777777" w:rsidR="00E74D7E" w:rsidRPr="00E74D7E" w:rsidRDefault="00E74D7E" w:rsidP="00E74D7E">
      <w:pPr>
        <w:shd w:val="clear" w:color="auto" w:fill="FFFFFF"/>
        <w:spacing w:after="0" w:line="240" w:lineRule="auto"/>
        <w:rPr>
          <w:rFonts w:ascii="Segoe UI" w:eastAsia="Gulim" w:hAnsi="Segoe UI" w:cs="Segoe UI"/>
          <w:color w:val="333333"/>
          <w:sz w:val="18"/>
          <w:szCs w:val="18"/>
          <w:lang w:eastAsia="ko-KR"/>
        </w:rPr>
      </w:pPr>
      <w:r w:rsidRPr="00E74D7E">
        <w:rPr>
          <w:rFonts w:ascii="Segoe UI" w:eastAsia="Gulim" w:hAnsi="Segoe UI" w:cs="Segoe UI"/>
          <w:color w:val="333333"/>
          <w:sz w:val="18"/>
          <w:szCs w:val="18"/>
          <w:lang w:eastAsia="ko-KR"/>
        </w:rPr>
        <w:t xml:space="preserve">Limit qualifying cohort </w:t>
      </w:r>
      <w:proofErr w:type="gramStart"/>
      <w:r w:rsidRPr="00E74D7E">
        <w:rPr>
          <w:rFonts w:ascii="Segoe UI" w:eastAsia="Gulim" w:hAnsi="Segoe UI" w:cs="Segoe UI"/>
          <w:color w:val="333333"/>
          <w:sz w:val="18"/>
          <w:szCs w:val="18"/>
          <w:lang w:eastAsia="ko-KR"/>
        </w:rPr>
        <w:t>to:</w:t>
      </w:r>
      <w:proofErr w:type="gramEnd"/>
      <w:r w:rsidRPr="00E74D7E">
        <w:rPr>
          <w:rFonts w:ascii="Segoe UI" w:eastAsia="Gulim" w:hAnsi="Segoe UI" w:cs="Segoe UI"/>
          <w:color w:val="333333"/>
          <w:sz w:val="18"/>
          <w:szCs w:val="18"/>
          <w:lang w:eastAsia="ko-KR"/>
        </w:rPr>
        <w:t> </w:t>
      </w:r>
      <w:r w:rsidRPr="00E74D7E">
        <w:rPr>
          <w:rFonts w:ascii="Segoe UI" w:eastAsia="Gulim" w:hAnsi="Segoe UI" w:cs="Segoe UI"/>
          <w:b/>
          <w:bCs/>
          <w:color w:val="333333"/>
          <w:sz w:val="18"/>
          <w:szCs w:val="18"/>
          <w:lang w:eastAsia="ko-KR"/>
        </w:rPr>
        <w:t>all events per person.</w:t>
      </w:r>
    </w:p>
    <w:p w14:paraId="5F344F79" w14:textId="77777777" w:rsidR="00167004" w:rsidRDefault="00167004" w:rsidP="00167004"/>
    <w:p w14:paraId="5D9DFD63" w14:textId="02A3866D" w:rsidR="00167004" w:rsidRDefault="00167004" w:rsidP="00167004">
      <w:pPr>
        <w:pStyle w:val="4"/>
        <w:numPr>
          <w:ilvl w:val="0"/>
          <w:numId w:val="0"/>
        </w:numPr>
      </w:pPr>
      <w:r>
        <w:t>Secondary outcome: Acute Myocardial Infarction</w:t>
      </w:r>
    </w:p>
    <w:p w14:paraId="110EAD1D" w14:textId="77777777" w:rsidR="00167004" w:rsidRDefault="00167004" w:rsidP="00167004">
      <w:r>
        <w:t xml:space="preserve">Index rule defining the index date:  </w:t>
      </w:r>
    </w:p>
    <w:p w14:paraId="7B13E575" w14:textId="0A52524C" w:rsidR="00167004" w:rsidRDefault="00167004" w:rsidP="00167004">
      <w:pPr>
        <w:pStyle w:val="a8"/>
        <w:numPr>
          <w:ilvl w:val="0"/>
          <w:numId w:val="4"/>
        </w:numPr>
      </w:pPr>
      <w:r>
        <w:t>Occurrence of a myocardial infarction code as a diagnosis in an inpatient or emergency room setting</w:t>
      </w:r>
    </w:p>
    <w:p w14:paraId="132BF10C" w14:textId="77777777" w:rsidR="00167004" w:rsidRDefault="00167004" w:rsidP="00167004"/>
    <w:p w14:paraId="15D740BE" w14:textId="77777777" w:rsidR="00167004" w:rsidRDefault="00167004" w:rsidP="00167004">
      <w:pPr>
        <w:pStyle w:val="4"/>
        <w:numPr>
          <w:ilvl w:val="0"/>
          <w:numId w:val="0"/>
        </w:numPr>
      </w:pPr>
      <w:r>
        <w:t>Secondary outcome: Heart Failure</w:t>
      </w:r>
    </w:p>
    <w:p w14:paraId="7DDB823A" w14:textId="77777777" w:rsidR="00167004" w:rsidRDefault="00167004" w:rsidP="00167004">
      <w:r>
        <w:t xml:space="preserve">Index rule defining the index date:  </w:t>
      </w:r>
    </w:p>
    <w:p w14:paraId="691FD6AA" w14:textId="77777777" w:rsidR="00167004" w:rsidRDefault="00167004" w:rsidP="00167004">
      <w:pPr>
        <w:pStyle w:val="a8"/>
        <w:numPr>
          <w:ilvl w:val="0"/>
          <w:numId w:val="4"/>
        </w:numPr>
      </w:pPr>
      <w:r>
        <w:t>Occurrence of a heart failure code as a diagnosis in an inpatient or emergency room setting</w:t>
      </w:r>
    </w:p>
    <w:p w14:paraId="622D34E7" w14:textId="77777777" w:rsidR="00167004" w:rsidRDefault="00167004" w:rsidP="00167004"/>
    <w:p w14:paraId="7B535C34" w14:textId="77777777" w:rsidR="00167004" w:rsidRDefault="00167004" w:rsidP="00167004">
      <w:pPr>
        <w:pStyle w:val="4"/>
        <w:numPr>
          <w:ilvl w:val="0"/>
          <w:numId w:val="0"/>
        </w:numPr>
      </w:pPr>
      <w:r>
        <w:t>Secondary outcome: Stroke</w:t>
      </w:r>
    </w:p>
    <w:p w14:paraId="4805325F" w14:textId="77777777" w:rsidR="00167004" w:rsidRDefault="00167004" w:rsidP="00167004">
      <w:r>
        <w:t xml:space="preserve">Index rule defining the index date:  </w:t>
      </w:r>
    </w:p>
    <w:p w14:paraId="0A6A4D8B" w14:textId="77777777" w:rsidR="00167004" w:rsidRDefault="00167004" w:rsidP="00167004">
      <w:pPr>
        <w:pStyle w:val="a8"/>
        <w:numPr>
          <w:ilvl w:val="0"/>
          <w:numId w:val="4"/>
        </w:numPr>
      </w:pPr>
      <w:r>
        <w:t>Occurrence of a heart failure code as a diagnosis in an inpatient or emergency room setting</w:t>
      </w:r>
    </w:p>
    <w:p w14:paraId="11809FF9" w14:textId="77777777" w:rsidR="0068303C" w:rsidRDefault="0068303C" w:rsidP="00A42B5A"/>
    <w:p w14:paraId="26FF4697" w14:textId="77777777" w:rsidR="00A90C5A" w:rsidRDefault="00647841" w:rsidP="00A90C5A">
      <w:pPr>
        <w:pStyle w:val="3"/>
      </w:pPr>
      <w:bookmarkStart w:id="16" w:name="_Toc470944218"/>
      <w:r>
        <w:t>Potential confounders</w:t>
      </w:r>
      <w:bookmarkEnd w:id="16"/>
    </w:p>
    <w:p w14:paraId="2A43D703" w14:textId="77777777" w:rsidR="000E2BC2" w:rsidRDefault="00B70E7F" w:rsidP="000E2BC2">
      <w:r>
        <w:t>The following will be included as potential covariates: (note: most covariates are assessed on or in the 365 days prior to index date)</w:t>
      </w:r>
    </w:p>
    <w:p w14:paraId="079C64DC" w14:textId="77777777" w:rsidR="00B70E7F" w:rsidRDefault="00B70E7F" w:rsidP="00B70E7F">
      <w:pPr>
        <w:pStyle w:val="a8"/>
        <w:numPr>
          <w:ilvl w:val="0"/>
          <w:numId w:val="7"/>
        </w:numPr>
      </w:pPr>
      <w:r>
        <w:t>Demographics (age in 5-year increments, gender, race, ethnicity, year of index date, month of index date)</w:t>
      </w:r>
    </w:p>
    <w:p w14:paraId="15D60C70" w14:textId="77777777" w:rsidR="00B70E7F" w:rsidRDefault="00B70E7F" w:rsidP="00B70E7F">
      <w:pPr>
        <w:pStyle w:val="a8"/>
        <w:numPr>
          <w:ilvl w:val="0"/>
          <w:numId w:val="7"/>
        </w:numPr>
      </w:pPr>
      <w:r>
        <w:t xml:space="preserve">Condition occurrence </w:t>
      </w:r>
      <w:r w:rsidR="008478AE">
        <w:t>(one or more variables per diagnose code)</w:t>
      </w:r>
    </w:p>
    <w:p w14:paraId="4FA7E739" w14:textId="77777777" w:rsidR="00B70E7F" w:rsidRDefault="00B70E7F" w:rsidP="00B70E7F">
      <w:pPr>
        <w:pStyle w:val="a8"/>
        <w:numPr>
          <w:ilvl w:val="0"/>
          <w:numId w:val="7"/>
        </w:numPr>
      </w:pPr>
      <w:r>
        <w:t>Condition e</w:t>
      </w:r>
      <w:r w:rsidR="005A4F8C">
        <w:t>ra</w:t>
      </w:r>
      <w:r w:rsidR="008478AE">
        <w:t xml:space="preserve"> (one or more variables per diagnose code)</w:t>
      </w:r>
    </w:p>
    <w:p w14:paraId="775E5AEF" w14:textId="77777777" w:rsidR="00B70E7F" w:rsidRDefault="00B70E7F" w:rsidP="00B70E7F">
      <w:pPr>
        <w:pStyle w:val="a8"/>
        <w:numPr>
          <w:ilvl w:val="0"/>
          <w:numId w:val="7"/>
        </w:numPr>
      </w:pPr>
      <w:r>
        <w:t xml:space="preserve">Condition group </w:t>
      </w:r>
      <w:r w:rsidR="00BD6715">
        <w:t>(</w:t>
      </w:r>
      <w:r w:rsidR="008478AE">
        <w:t xml:space="preserve">one or more variables per </w:t>
      </w:r>
      <w:r w:rsidR="00BD6715">
        <w:t>Med</w:t>
      </w:r>
      <w:r w:rsidR="00DA136C">
        <w:t>DRA</w:t>
      </w:r>
      <w:r w:rsidR="008478AE">
        <w:t xml:space="preserve"> group or</w:t>
      </w:r>
      <w:r w:rsidR="00BD6715">
        <w:t xml:space="preserve"> SNOMED groups)</w:t>
      </w:r>
    </w:p>
    <w:p w14:paraId="79D36BDF" w14:textId="77777777" w:rsidR="00B70E7F" w:rsidRDefault="00B70E7F" w:rsidP="00B70E7F">
      <w:pPr>
        <w:pStyle w:val="a8"/>
        <w:numPr>
          <w:ilvl w:val="0"/>
          <w:numId w:val="7"/>
        </w:numPr>
      </w:pPr>
      <w:r>
        <w:t>Drug exposure</w:t>
      </w:r>
      <w:r w:rsidR="00DF07EE">
        <w:t xml:space="preserve"> </w:t>
      </w:r>
      <w:r w:rsidR="0095254B">
        <w:t>(one or more variables per drug code)</w:t>
      </w:r>
    </w:p>
    <w:p w14:paraId="3EDE3D54" w14:textId="77777777" w:rsidR="00DF07EE" w:rsidRDefault="00DF07EE" w:rsidP="00B70E7F">
      <w:pPr>
        <w:pStyle w:val="a8"/>
        <w:numPr>
          <w:ilvl w:val="0"/>
          <w:numId w:val="7"/>
        </w:numPr>
      </w:pPr>
      <w:r>
        <w:t>Drug era</w:t>
      </w:r>
      <w:r w:rsidR="0095254B">
        <w:t xml:space="preserve"> (one or more variables per </w:t>
      </w:r>
      <w:proofErr w:type="spellStart"/>
      <w:r w:rsidR="0095254B">
        <w:t>RxNorm</w:t>
      </w:r>
      <w:proofErr w:type="spellEnd"/>
      <w:r w:rsidR="0095254B">
        <w:t xml:space="preserve"> ingredient)</w:t>
      </w:r>
    </w:p>
    <w:p w14:paraId="6EE387F8" w14:textId="77777777" w:rsidR="00DF07EE" w:rsidRDefault="00DF07EE" w:rsidP="00B70E7F">
      <w:pPr>
        <w:pStyle w:val="a8"/>
        <w:numPr>
          <w:ilvl w:val="0"/>
          <w:numId w:val="7"/>
        </w:numPr>
      </w:pPr>
      <w:r>
        <w:t>Drug group (</w:t>
      </w:r>
      <w:r w:rsidR="0095254B">
        <w:t xml:space="preserve">one or more variables per </w:t>
      </w:r>
      <w:r>
        <w:t>ATC group</w:t>
      </w:r>
      <w:r w:rsidR="0095254B">
        <w:t>)</w:t>
      </w:r>
    </w:p>
    <w:p w14:paraId="29E427BC" w14:textId="77777777" w:rsidR="00B92C3E" w:rsidRDefault="00B92C3E" w:rsidP="00B70E7F">
      <w:pPr>
        <w:pStyle w:val="a8"/>
        <w:numPr>
          <w:ilvl w:val="0"/>
          <w:numId w:val="7"/>
        </w:numPr>
      </w:pPr>
      <w:r>
        <w:t>Procedure occurrence (one or more variables per procedure code)</w:t>
      </w:r>
    </w:p>
    <w:p w14:paraId="7681C52A" w14:textId="77777777" w:rsidR="00B70E7F" w:rsidRDefault="000E1A06" w:rsidP="00B70E7F">
      <w:pPr>
        <w:pStyle w:val="a8"/>
        <w:numPr>
          <w:ilvl w:val="0"/>
          <w:numId w:val="7"/>
        </w:numPr>
      </w:pPr>
      <w:r>
        <w:t>Risk scores (including Charleston, DCSI, CHADS2, CHADS2VASc</w:t>
      </w:r>
    </w:p>
    <w:p w14:paraId="6B75C06F" w14:textId="77777777" w:rsidR="00ED5C5A" w:rsidRDefault="00890410" w:rsidP="00890410">
      <w:r>
        <w:t xml:space="preserve">For the full details see the OHDSI </w:t>
      </w:r>
      <w:proofErr w:type="spellStart"/>
      <w:r>
        <w:t>CohortMethod</w:t>
      </w:r>
      <w:proofErr w:type="spellEnd"/>
      <w:r>
        <w:t xml:space="preserve"> package</w:t>
      </w:r>
      <w:r w:rsidR="00B73FB8">
        <w:t xml:space="preserve"> (</w:t>
      </w:r>
      <w:hyperlink r:id="rId9" w:history="1">
        <w:r w:rsidR="00DB060F" w:rsidRPr="00495934">
          <w:rPr>
            <w:rStyle w:val="a3"/>
          </w:rPr>
          <w:t>https://github.com/OHDSI/CohortMethod</w:t>
        </w:r>
      </w:hyperlink>
      <w:r w:rsidR="00B73FB8">
        <w:t>)</w:t>
      </w:r>
      <w:r>
        <w:t xml:space="preserve">. </w:t>
      </w:r>
    </w:p>
    <w:p w14:paraId="1F645CFC" w14:textId="77777777" w:rsidR="009243CA" w:rsidRDefault="00890410" w:rsidP="004C2A2F">
      <w:r>
        <w:t xml:space="preserve">Variables with less than 100 non-zero values are discarded. </w:t>
      </w:r>
      <w:r w:rsidR="00487F21">
        <w:t>All covariates were used in both the propensity model and the outcome model.</w:t>
      </w:r>
    </w:p>
    <w:p w14:paraId="684FF05C" w14:textId="2AE7BA26" w:rsidR="006E50F5" w:rsidRDefault="006E50F5" w:rsidP="006E50F5">
      <w:pPr>
        <w:pStyle w:val="3"/>
      </w:pPr>
      <w:bookmarkStart w:id="17" w:name="_Toc470944219"/>
      <w:r>
        <w:t>Negative</w:t>
      </w:r>
      <w:r w:rsidR="0062771D">
        <w:t xml:space="preserve"> </w:t>
      </w:r>
      <w:r>
        <w:t>controls</w:t>
      </w:r>
      <w:bookmarkEnd w:id="17"/>
    </w:p>
    <w:p w14:paraId="0EC79D75" w14:textId="3C9E6D1F" w:rsidR="00DB494B" w:rsidRDefault="0062771D" w:rsidP="00666E3E">
      <w:r>
        <w:t>We believe that negative controls are necessary for confidentiality of study design and statistical method.</w:t>
      </w:r>
      <w:bookmarkStart w:id="18" w:name="_GoBack"/>
      <w:bookmarkEnd w:id="18"/>
      <w:r w:rsidR="00666E3E">
        <w:t xml:space="preserve"> </w:t>
      </w:r>
    </w:p>
    <w:p w14:paraId="4A761559" w14:textId="77777777" w:rsidR="0062771D" w:rsidRDefault="0062771D" w:rsidP="0062771D"/>
    <w:p w14:paraId="2827452C" w14:textId="48A1F0DC" w:rsidR="00540AD6" w:rsidRDefault="00540AD6" w:rsidP="00A01E4C">
      <w:pPr>
        <w:pStyle w:val="3"/>
      </w:pPr>
      <w:bookmarkStart w:id="19" w:name="_Toc470944220"/>
      <w:r>
        <w:t>Other variables</w:t>
      </w:r>
      <w:bookmarkEnd w:id="19"/>
    </w:p>
    <w:p w14:paraId="05957378" w14:textId="2596340A" w:rsidR="00647841" w:rsidRDefault="0062771D" w:rsidP="00647841">
      <w:r>
        <w:t>None</w:t>
      </w:r>
    </w:p>
    <w:p w14:paraId="0E572CB1" w14:textId="77777777" w:rsidR="00112C4C" w:rsidRDefault="00112C4C" w:rsidP="00647841"/>
    <w:p w14:paraId="517B64D6" w14:textId="77777777" w:rsidR="00647841" w:rsidRDefault="00753386" w:rsidP="0071036B">
      <w:pPr>
        <w:pStyle w:val="2"/>
      </w:pPr>
      <w:bookmarkStart w:id="20" w:name="_Toc470944221"/>
      <w:r>
        <w:t>Data Sources</w:t>
      </w:r>
      <w:bookmarkEnd w:id="20"/>
    </w:p>
    <w:p w14:paraId="39E7D6CF" w14:textId="2709B522" w:rsidR="00FA1B4A" w:rsidRPr="00056480" w:rsidRDefault="00FA1B4A" w:rsidP="00A201D8">
      <w:r>
        <w:t xml:space="preserve">The analyses will be performed across a network of observational healthcare databases.  All databases have been transformed into the OMOP Common Data Model, version </w:t>
      </w:r>
      <w:r w:rsidRPr="00F65DCD">
        <w:t>4</w:t>
      </w:r>
      <w:r>
        <w:t xml:space="preserve"> or OMOP Common Data Model, version 5.  The complete specification for OMOP Common Data Model, version </w:t>
      </w:r>
      <w:r w:rsidRPr="00F65DCD">
        <w:t xml:space="preserve">4 </w:t>
      </w:r>
      <w:r>
        <w:t xml:space="preserve">is available at: </w:t>
      </w:r>
      <w:hyperlink r:id="rId10" w:history="1">
        <w:r w:rsidRPr="00923FF9">
          <w:rPr>
            <w:rStyle w:val="a3"/>
          </w:rPr>
          <w:t>http://omop.org/cdm</w:t>
        </w:r>
      </w:hyperlink>
      <w:r>
        <w:t xml:space="preserve">.  The complete specification for OMOP Common Data Model, version 5 is available at:  </w:t>
      </w:r>
      <w:hyperlink r:id="rId11" w:history="1">
        <w:r w:rsidRPr="00026C35">
          <w:rPr>
            <w:rStyle w:val="a3"/>
          </w:rPr>
          <w:t>https://github.com/OHDSI/CommonDataModel</w:t>
        </w:r>
      </w:hyperlink>
      <w:r>
        <w:t xml:space="preserve">. </w:t>
      </w:r>
    </w:p>
    <w:p w14:paraId="7BD48C12" w14:textId="77777777" w:rsidR="00FA1B4A" w:rsidRDefault="00FA1B4A" w:rsidP="00FA1B4A"/>
    <w:p w14:paraId="2EC5BB1D" w14:textId="58799394" w:rsidR="0097632D" w:rsidRDefault="00753386" w:rsidP="0097632D">
      <w:pPr>
        <w:pStyle w:val="2"/>
      </w:pPr>
      <w:bookmarkStart w:id="21" w:name="_Toc470944222"/>
      <w:r>
        <w:t>Sample Size and Study Power</w:t>
      </w:r>
      <w:bookmarkEnd w:id="21"/>
    </w:p>
    <w:p w14:paraId="4B1F7679" w14:textId="2F5E2992" w:rsidR="00A201D8" w:rsidRPr="00A201D8" w:rsidRDefault="00167004" w:rsidP="00A201D8">
      <w:r>
        <w:rPr>
          <w:lang w:eastAsia="ko-KR"/>
        </w:rPr>
        <w:t>-</w:t>
      </w:r>
    </w:p>
    <w:p w14:paraId="72A81A41" w14:textId="77777777" w:rsidR="0071036B" w:rsidRDefault="0071036B" w:rsidP="0071036B">
      <w:pPr>
        <w:pStyle w:val="2"/>
      </w:pPr>
      <w:bookmarkStart w:id="22" w:name="_Toc470944223"/>
      <w:r>
        <w:t>Quality control</w:t>
      </w:r>
      <w:bookmarkEnd w:id="22"/>
    </w:p>
    <w:p w14:paraId="3FAF7B17" w14:textId="77777777" w:rsidR="00112C4C" w:rsidRDefault="00112C4C" w:rsidP="00112C4C">
      <w:r>
        <w:t xml:space="preserve">We will evaluate the PS by </w:t>
      </w:r>
    </w:p>
    <w:p w14:paraId="4A11F9C5" w14:textId="77777777" w:rsidR="00112C4C" w:rsidRDefault="00112C4C" w:rsidP="00112C4C">
      <w:pPr>
        <w:pStyle w:val="a8"/>
        <w:numPr>
          <w:ilvl w:val="0"/>
          <w:numId w:val="7"/>
        </w:numPr>
      </w:pPr>
      <w:r>
        <w:t>Inspection of the fitted PS model for large coefficients (indicative of model-misspecification) and predictors that we cannot explain (post-hoc).</w:t>
      </w:r>
    </w:p>
    <w:p w14:paraId="2EA7E14B" w14:textId="77777777" w:rsidR="00112C4C" w:rsidRDefault="00112C4C" w:rsidP="00112C4C">
      <w:pPr>
        <w:pStyle w:val="a8"/>
        <w:numPr>
          <w:ilvl w:val="0"/>
          <w:numId w:val="7"/>
        </w:numPr>
      </w:pPr>
      <w:r>
        <w:t>Inspection of the PS distribution.</w:t>
      </w:r>
    </w:p>
    <w:p w14:paraId="797AD535" w14:textId="77777777" w:rsidR="00112C4C" w:rsidRDefault="00112C4C" w:rsidP="00112C4C">
      <w:pPr>
        <w:pStyle w:val="a8"/>
        <w:numPr>
          <w:ilvl w:val="0"/>
          <w:numId w:val="7"/>
        </w:numPr>
      </w:pPr>
      <w:r>
        <w:t xml:space="preserve">Evaluation of covariate balance after matching using the standardized difference in means between treatment and comparator cohort before and after matching </w:t>
      </w:r>
      <w:r>
        <w:fldChar w:fldCharType="begin">
          <w:fldData xml:space="preserve">PEVuZE5vdGU+PENpdGU+PEF1dGhvcj5BdXN0aW48L0F1dGhvcj48WWVhcj4yMDA4PC9ZZWFyPjxS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</w:fldData>
        </w:fldChar>
      </w:r>
      <w:r w:rsidRPr="00EF4165">
        <w:instrText xml:space="preserve"> ADDIN EN.CITE </w:instrText>
      </w:r>
      <w:r w:rsidRPr="00EF4165">
        <w:fldChar w:fldCharType="begin">
          <w:fldData xml:space="preserve">PEVuZE5vdGU+PENpdGU+PEF1dGhvcj5BdXN0aW48L0F1dGhvcj48WWVhcj4yMDA4PC9ZZWFyPjxS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</w:fldData>
        </w:fldChar>
      </w:r>
      <w:r w:rsidRPr="00EF4165">
        <w:instrText xml:space="preserve"> ADDIN EN.CITE.DATA </w:instrText>
      </w:r>
      <w:r w:rsidRPr="00EF4165">
        <w:fldChar w:fldCharType="end"/>
      </w:r>
      <w:r>
        <w:fldChar w:fldCharType="separate"/>
      </w:r>
      <w:r>
        <w:rPr>
          <w:noProof/>
        </w:rPr>
        <w:t>[</w:t>
      </w:r>
      <w:hyperlink w:anchor="_ENREF_5" w:tooltip="Austin, 2008 #6" w:history="1">
        <w:r>
          <w:rPr>
            <w:noProof/>
          </w:rPr>
          <w:t>5</w:t>
        </w:r>
      </w:hyperlink>
      <w:r>
        <w:rPr>
          <w:noProof/>
        </w:rPr>
        <w:t>]</w:t>
      </w:r>
      <w:r>
        <w:fldChar w:fldCharType="end"/>
      </w:r>
      <w:r>
        <w:t>. Standardized differences greater than 0.2 will be reported and investigated.</w:t>
      </w:r>
    </w:p>
    <w:p w14:paraId="78523FB9" w14:textId="77777777" w:rsidR="00112C4C" w:rsidRDefault="00112C4C" w:rsidP="00112C4C">
      <w:r>
        <w:t xml:space="preserve">We will investigate the outcome model by </w:t>
      </w:r>
    </w:p>
    <w:p w14:paraId="06638496" w14:textId="77777777" w:rsidR="00112C4C" w:rsidRDefault="00112C4C" w:rsidP="00112C4C">
      <w:pPr>
        <w:pStyle w:val="a8"/>
        <w:numPr>
          <w:ilvl w:val="0"/>
          <w:numId w:val="7"/>
        </w:numPr>
      </w:pPr>
      <w:r>
        <w:t>Inspection of the fitted outcome model for large coefficients and predictors that we cannot explain (post-hoc).</w:t>
      </w:r>
    </w:p>
    <w:p w14:paraId="32E22305" w14:textId="77777777" w:rsidR="00112C4C" w:rsidRDefault="00112C4C" w:rsidP="00112C4C">
      <w:r>
        <w:t>The error distribution estimated using the negative controls will be used to estimate residual bias after adjustments.</w:t>
      </w:r>
    </w:p>
    <w:p w14:paraId="286636F5" w14:textId="77777777" w:rsidR="00112C4C" w:rsidRPr="00F13993" w:rsidRDefault="00112C4C" w:rsidP="00112C4C">
      <w:r>
        <w:t xml:space="preserve">The </w:t>
      </w:r>
      <w:proofErr w:type="spellStart"/>
      <w:r>
        <w:t>CohortMethod</w:t>
      </w:r>
      <w:proofErr w:type="spellEnd"/>
      <w:r>
        <w:t xml:space="preserve"> package itself, as well as other OHDSI packages on which </w:t>
      </w:r>
      <w:proofErr w:type="spellStart"/>
      <w:r>
        <w:t>CohortMethod</w:t>
      </w:r>
      <w:proofErr w:type="spellEnd"/>
      <w:r>
        <w:t xml:space="preserve"> depends, use unit tests for validation.</w:t>
      </w:r>
    </w:p>
    <w:p w14:paraId="4867EAB3" w14:textId="77777777" w:rsidR="008E259A" w:rsidRDefault="008E259A" w:rsidP="00F13993"/>
    <w:p w14:paraId="51A66C4F" w14:textId="77777777" w:rsidR="0071036B" w:rsidRDefault="00A05DFF" w:rsidP="00A05DFF">
      <w:pPr>
        <w:pStyle w:val="2"/>
      </w:pPr>
      <w:bookmarkStart w:id="23" w:name="_Toc470944224"/>
      <w:r w:rsidRPr="0054294D">
        <w:t xml:space="preserve">Strengths and </w:t>
      </w:r>
      <w:r>
        <w:t>Limitations of the Research M</w:t>
      </w:r>
      <w:r w:rsidRPr="0054294D">
        <w:t>ethods</w:t>
      </w:r>
      <w:bookmarkEnd w:id="23"/>
    </w:p>
    <w:p w14:paraId="7FC67FA4" w14:textId="77777777" w:rsidR="00112C4C" w:rsidRDefault="00112C4C" w:rsidP="00112C4C">
      <w:bookmarkStart w:id="24" w:name="_Toc470944225"/>
      <w:r>
        <w:t>Strength</w:t>
      </w:r>
    </w:p>
    <w:p w14:paraId="7D1BAEAF" w14:textId="77777777" w:rsidR="00112C4C" w:rsidRDefault="00112C4C" w:rsidP="00112C4C">
      <w:pPr>
        <w:pStyle w:val="a8"/>
        <w:numPr>
          <w:ilvl w:val="0"/>
          <w:numId w:val="10"/>
        </w:numPr>
      </w:pPr>
      <w:r>
        <w:t>Cohort studies allow direct estimation of incidence rates following exposure of interest, and the new-user design can capture early events following treatment exposures while avoiding confounding from previous treatment effects. New use allows for a clear exposure index date.</w:t>
      </w:r>
    </w:p>
    <w:p w14:paraId="2A09765F" w14:textId="77777777" w:rsidR="00112C4C" w:rsidRDefault="00112C4C" w:rsidP="00112C4C">
      <w:pPr>
        <w:pStyle w:val="a8"/>
        <w:numPr>
          <w:ilvl w:val="0"/>
          <w:numId w:val="10"/>
        </w:numPr>
      </w:pPr>
      <w:r>
        <w:t xml:space="preserve">PS matching and full outcome models allow balancing on </w:t>
      </w:r>
      <w:proofErr w:type="gramStart"/>
      <w:r>
        <w:t>a large number of</w:t>
      </w:r>
      <w:proofErr w:type="gramEnd"/>
      <w:r>
        <w:t xml:space="preserve"> baseline potential confounders.</w:t>
      </w:r>
    </w:p>
    <w:p w14:paraId="480EEBA9" w14:textId="77777777" w:rsidR="00112C4C" w:rsidRDefault="00112C4C" w:rsidP="00112C4C">
      <w:pPr>
        <w:pStyle w:val="a8"/>
        <w:numPr>
          <w:ilvl w:val="0"/>
          <w:numId w:val="10"/>
        </w:numPr>
      </w:pPr>
      <w:r>
        <w:t xml:space="preserve">Use of negative control outcomes allow for evaluating the study design </w:t>
      </w:r>
      <w:proofErr w:type="gramStart"/>
      <w:r>
        <w:t>as a whole in</w:t>
      </w:r>
      <w:proofErr w:type="gramEnd"/>
      <w:r>
        <w:t xml:space="preserve"> terms of residual bias.</w:t>
      </w:r>
    </w:p>
    <w:p w14:paraId="7F73815E" w14:textId="77777777" w:rsidR="00112C4C" w:rsidRDefault="00112C4C" w:rsidP="00112C4C">
      <w:r>
        <w:t>Limitations</w:t>
      </w:r>
    </w:p>
    <w:p w14:paraId="0D36DE39" w14:textId="77777777" w:rsidR="00112C4C" w:rsidRDefault="00112C4C" w:rsidP="00112C4C">
      <w:pPr>
        <w:pStyle w:val="a8"/>
        <w:numPr>
          <w:ilvl w:val="0"/>
          <w:numId w:val="10"/>
        </w:numPr>
      </w:pPr>
      <w:r>
        <w:t xml:space="preserve">Even though many potential confounders will be included in this study, there may be residual bias due to unmeasured or </w:t>
      </w:r>
      <w:proofErr w:type="spellStart"/>
      <w:r>
        <w:t>misspecified</w:t>
      </w:r>
      <w:proofErr w:type="spellEnd"/>
      <w:r>
        <w:t xml:space="preserve"> confounders.</w:t>
      </w:r>
    </w:p>
    <w:p w14:paraId="0CF7F9EA" w14:textId="77777777" w:rsidR="00112C4C" w:rsidRDefault="00112C4C" w:rsidP="00112C4C">
      <w:pPr>
        <w:pStyle w:val="a8"/>
        <w:numPr>
          <w:ilvl w:val="0"/>
          <w:numId w:val="10"/>
        </w:numPr>
      </w:pPr>
      <w:r>
        <w:lastRenderedPageBreak/>
        <w:t xml:space="preserve">The outcome of interest, angioedema, is rare and typically captured only in inpatient settings, so we may have insufficient numbers of patients to generate reliable evidence on this drug-outcome association. </w:t>
      </w:r>
    </w:p>
    <w:p w14:paraId="094B4595" w14:textId="77777777" w:rsidR="003A48BF" w:rsidRDefault="003A48BF" w:rsidP="003A48BF">
      <w:pPr>
        <w:pStyle w:val="1"/>
      </w:pPr>
      <w:r>
        <w:t>Protection of Human Subjects</w:t>
      </w:r>
      <w:bookmarkEnd w:id="24"/>
    </w:p>
    <w:p w14:paraId="27B92D10" w14:textId="77777777" w:rsidR="003A48BF" w:rsidRDefault="00CC0B47" w:rsidP="00CC0B47">
      <w:r>
        <w:t xml:space="preserve">The study is using only de-identified data. Confidentiality of patient records will be maintained at all times. All study reports will contain aggregate data only and will not identify individual patients or physicians. </w:t>
      </w:r>
    </w:p>
    <w:p w14:paraId="060280AE" w14:textId="77777777" w:rsidR="003A48BF" w:rsidRDefault="003A48BF" w:rsidP="003A48BF">
      <w:pPr>
        <w:pStyle w:val="1"/>
      </w:pPr>
      <w:bookmarkStart w:id="25" w:name="_Toc470944226"/>
      <w:r>
        <w:t>Plans for Disseminating and Communicating Study Results</w:t>
      </w:r>
      <w:bookmarkEnd w:id="25"/>
    </w:p>
    <w:p w14:paraId="290F39BA" w14:textId="77777777" w:rsidR="006607D7" w:rsidRDefault="004A5EC3" w:rsidP="006607D7">
      <w:r>
        <w:t>The s</w:t>
      </w:r>
      <w:r w:rsidR="00D27351">
        <w:t>tudy results will be posted on the OHDSI website after completion of the study. At least one paper describing the study and its results will be written and submitted for publication to a peer-reviewed scientific journal.</w:t>
      </w:r>
    </w:p>
    <w:p w14:paraId="482655FC" w14:textId="77777777" w:rsidR="006607D7" w:rsidRDefault="006607D7" w:rsidP="006607D7">
      <w:pPr>
        <w:pStyle w:val="1"/>
      </w:pPr>
      <w:bookmarkStart w:id="26" w:name="_Toc470944227"/>
      <w:r>
        <w:t>References</w:t>
      </w:r>
      <w:bookmarkEnd w:id="26"/>
    </w:p>
    <w:p w14:paraId="3D2A4C9D" w14:textId="77777777" w:rsidR="00364646" w:rsidRPr="00364646" w:rsidRDefault="0062771D" w:rsidP="00364646">
      <w:pPr>
        <w:pStyle w:val="ac"/>
        <w:rPr>
          <w:rFonts w:ascii="Calibri" w:hAnsi="Calibri" w:cs="Calibri"/>
        </w:rPr>
      </w:pPr>
      <w:r>
        <w:fldChar w:fldCharType="begin"/>
      </w:r>
      <w:r w:rsidR="00364646">
        <w:instrText xml:space="preserve"> ADDIN ZOTERO_BIBL {"uncited":[],"omitted":[],"custom":[]} CSL_BIBLIOGRAPHY </w:instrText>
      </w:r>
      <w:r>
        <w:fldChar w:fldCharType="separate"/>
      </w:r>
      <w:r w:rsidR="00364646" w:rsidRPr="00364646">
        <w:rPr>
          <w:rFonts w:ascii="Calibri" w:hAnsi="Calibri" w:cs="Calibri"/>
        </w:rPr>
        <w:t>1.</w:t>
      </w:r>
      <w:r w:rsidR="00364646" w:rsidRPr="00364646">
        <w:rPr>
          <w:rFonts w:ascii="Calibri" w:hAnsi="Calibri" w:cs="Calibri"/>
        </w:rPr>
        <w:tab/>
        <w:t xml:space="preserve">Becker, M. A. </w:t>
      </w:r>
      <w:r w:rsidR="00364646" w:rsidRPr="00364646">
        <w:rPr>
          <w:rFonts w:ascii="Calibri" w:hAnsi="Calibri" w:cs="Calibri"/>
          <w:i/>
          <w:iCs/>
        </w:rPr>
        <w:t>et al.</w:t>
      </w:r>
      <w:r w:rsidR="00364646" w:rsidRPr="00364646">
        <w:rPr>
          <w:rFonts w:ascii="Calibri" w:hAnsi="Calibri" w:cs="Calibri"/>
        </w:rPr>
        <w:t xml:space="preserve"> Febuxostat Compared with Allopurinol in Patients with Hyperuricemia and Gout. </w:t>
      </w:r>
      <w:r w:rsidR="00364646" w:rsidRPr="00364646">
        <w:rPr>
          <w:rFonts w:ascii="Calibri" w:hAnsi="Calibri" w:cs="Calibri"/>
          <w:i/>
          <w:iCs/>
        </w:rPr>
        <w:t>N. Engl. J. Med.</w:t>
      </w:r>
      <w:r w:rsidR="00364646" w:rsidRPr="00364646">
        <w:rPr>
          <w:rFonts w:ascii="Calibri" w:hAnsi="Calibri" w:cs="Calibri"/>
        </w:rPr>
        <w:t xml:space="preserve"> </w:t>
      </w:r>
      <w:r w:rsidR="00364646" w:rsidRPr="00364646">
        <w:rPr>
          <w:rFonts w:ascii="Calibri" w:hAnsi="Calibri" w:cs="Calibri"/>
          <w:b/>
          <w:bCs/>
        </w:rPr>
        <w:t>353,</w:t>
      </w:r>
      <w:r w:rsidR="00364646" w:rsidRPr="00364646">
        <w:rPr>
          <w:rFonts w:ascii="Calibri" w:hAnsi="Calibri" w:cs="Calibri"/>
        </w:rPr>
        <w:t xml:space="preserve"> 2450–2461 (2005).</w:t>
      </w:r>
    </w:p>
    <w:p w14:paraId="1AC9F370" w14:textId="77777777" w:rsidR="00364646" w:rsidRPr="00364646" w:rsidRDefault="00364646" w:rsidP="00364646">
      <w:pPr>
        <w:pStyle w:val="ac"/>
        <w:rPr>
          <w:rFonts w:ascii="Calibri" w:hAnsi="Calibri" w:cs="Calibri"/>
        </w:rPr>
      </w:pPr>
      <w:r w:rsidRPr="00364646">
        <w:rPr>
          <w:rFonts w:ascii="Calibri" w:hAnsi="Calibri" w:cs="Calibri"/>
        </w:rPr>
        <w:t>2.</w:t>
      </w:r>
      <w:r w:rsidRPr="00364646">
        <w:rPr>
          <w:rFonts w:ascii="Calibri" w:hAnsi="Calibri" w:cs="Calibri"/>
        </w:rPr>
        <w:tab/>
        <w:t xml:space="preserve">White, W. B. </w:t>
      </w:r>
      <w:r w:rsidRPr="00364646">
        <w:rPr>
          <w:rFonts w:ascii="Calibri" w:hAnsi="Calibri" w:cs="Calibri"/>
          <w:i/>
          <w:iCs/>
        </w:rPr>
        <w:t>et al.</w:t>
      </w:r>
      <w:r w:rsidRPr="00364646">
        <w:rPr>
          <w:rFonts w:ascii="Calibri" w:hAnsi="Calibri" w:cs="Calibri"/>
        </w:rPr>
        <w:t xml:space="preserve"> Cardiovascular Safety of Febuxostat or Allopurinol in Patients with Gout. </w:t>
      </w:r>
      <w:r w:rsidRPr="00364646">
        <w:rPr>
          <w:rFonts w:ascii="Calibri" w:hAnsi="Calibri" w:cs="Calibri"/>
          <w:i/>
          <w:iCs/>
        </w:rPr>
        <w:t>N. Engl. J. Med.</w:t>
      </w:r>
      <w:r w:rsidRPr="00364646">
        <w:rPr>
          <w:rFonts w:ascii="Calibri" w:hAnsi="Calibri" w:cs="Calibri"/>
        </w:rPr>
        <w:t xml:space="preserve"> </w:t>
      </w:r>
      <w:r w:rsidRPr="00364646">
        <w:rPr>
          <w:rFonts w:ascii="Calibri" w:hAnsi="Calibri" w:cs="Calibri"/>
          <w:b/>
          <w:bCs/>
        </w:rPr>
        <w:t>0,</w:t>
      </w:r>
      <w:r w:rsidRPr="00364646">
        <w:rPr>
          <w:rFonts w:ascii="Calibri" w:hAnsi="Calibri" w:cs="Calibri"/>
        </w:rPr>
        <w:t xml:space="preserve"> null (2018).</w:t>
      </w:r>
    </w:p>
    <w:p w14:paraId="508CBF57" w14:textId="77777777" w:rsidR="00364646" w:rsidRPr="00364646" w:rsidRDefault="00364646" w:rsidP="00364646">
      <w:pPr>
        <w:pStyle w:val="ac"/>
        <w:rPr>
          <w:rFonts w:ascii="Calibri" w:hAnsi="Calibri" w:cs="Calibri"/>
        </w:rPr>
      </w:pPr>
      <w:r w:rsidRPr="00364646">
        <w:rPr>
          <w:rFonts w:ascii="Calibri" w:hAnsi="Calibri" w:cs="Calibri"/>
        </w:rPr>
        <w:t>3.</w:t>
      </w:r>
      <w:r w:rsidRPr="00364646">
        <w:rPr>
          <w:rFonts w:ascii="Calibri" w:hAnsi="Calibri" w:cs="Calibri"/>
        </w:rPr>
        <w:tab/>
      </w:r>
      <w:proofErr w:type="spellStart"/>
      <w:r w:rsidRPr="00364646">
        <w:rPr>
          <w:rFonts w:ascii="Calibri" w:hAnsi="Calibri" w:cs="Calibri"/>
        </w:rPr>
        <w:t>Rassen</w:t>
      </w:r>
      <w:proofErr w:type="spellEnd"/>
      <w:r w:rsidRPr="00364646">
        <w:rPr>
          <w:rFonts w:ascii="Calibri" w:hAnsi="Calibri" w:cs="Calibri"/>
        </w:rPr>
        <w:t xml:space="preserve">, J. A. </w:t>
      </w:r>
      <w:r w:rsidRPr="00364646">
        <w:rPr>
          <w:rFonts w:ascii="Calibri" w:hAnsi="Calibri" w:cs="Calibri"/>
          <w:i/>
          <w:iCs/>
        </w:rPr>
        <w:t>et al.</w:t>
      </w:r>
      <w:r w:rsidRPr="00364646">
        <w:rPr>
          <w:rFonts w:ascii="Calibri" w:hAnsi="Calibri" w:cs="Calibri"/>
        </w:rPr>
        <w:t xml:space="preserve"> One-to-many propensity score matching in cohort studies. </w:t>
      </w:r>
      <w:proofErr w:type="spellStart"/>
      <w:r w:rsidRPr="00364646">
        <w:rPr>
          <w:rFonts w:ascii="Calibri" w:hAnsi="Calibri" w:cs="Calibri"/>
          <w:i/>
          <w:iCs/>
        </w:rPr>
        <w:t>Pharmacoepidemiol</w:t>
      </w:r>
      <w:proofErr w:type="spellEnd"/>
      <w:r w:rsidRPr="00364646">
        <w:rPr>
          <w:rFonts w:ascii="Calibri" w:hAnsi="Calibri" w:cs="Calibri"/>
          <w:i/>
          <w:iCs/>
        </w:rPr>
        <w:t xml:space="preserve">. Drug </w:t>
      </w:r>
      <w:proofErr w:type="spellStart"/>
      <w:r w:rsidRPr="00364646">
        <w:rPr>
          <w:rFonts w:ascii="Calibri" w:hAnsi="Calibri" w:cs="Calibri"/>
          <w:i/>
          <w:iCs/>
        </w:rPr>
        <w:t>Saf</w:t>
      </w:r>
      <w:proofErr w:type="spellEnd"/>
      <w:r w:rsidRPr="00364646">
        <w:rPr>
          <w:rFonts w:ascii="Calibri" w:hAnsi="Calibri" w:cs="Calibri"/>
          <w:i/>
          <w:iCs/>
        </w:rPr>
        <w:t>.</w:t>
      </w:r>
      <w:r w:rsidRPr="00364646">
        <w:rPr>
          <w:rFonts w:ascii="Calibri" w:hAnsi="Calibri" w:cs="Calibri"/>
        </w:rPr>
        <w:t xml:space="preserve"> </w:t>
      </w:r>
      <w:r w:rsidRPr="00364646">
        <w:rPr>
          <w:rFonts w:ascii="Calibri" w:hAnsi="Calibri" w:cs="Calibri"/>
          <w:b/>
          <w:bCs/>
        </w:rPr>
        <w:t>21,</w:t>
      </w:r>
      <w:r w:rsidRPr="00364646">
        <w:rPr>
          <w:rFonts w:ascii="Calibri" w:hAnsi="Calibri" w:cs="Calibri"/>
        </w:rPr>
        <w:t xml:space="preserve"> 69–80 (2012).</w:t>
      </w:r>
    </w:p>
    <w:p w14:paraId="05379C57" w14:textId="42955A87" w:rsidR="006D5E44" w:rsidRDefault="0062771D" w:rsidP="0062771D">
      <w:pPr>
        <w:spacing w:line="360" w:lineRule="auto"/>
      </w:pPr>
      <w:r>
        <w:fldChar w:fldCharType="end"/>
      </w:r>
    </w:p>
    <w:sectPr w:rsidR="006D5E44" w:rsidSect="0074593E">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8449D4" w14:textId="77777777" w:rsidR="00D21BF3" w:rsidRDefault="00D21BF3" w:rsidP="0074593E">
      <w:pPr>
        <w:spacing w:after="0" w:line="240" w:lineRule="auto"/>
      </w:pPr>
      <w:r>
        <w:separator/>
      </w:r>
    </w:p>
  </w:endnote>
  <w:endnote w:type="continuationSeparator" w:id="0">
    <w:p w14:paraId="4E709983" w14:textId="77777777" w:rsidR="00D21BF3" w:rsidRDefault="00D21BF3" w:rsidP="007459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Gulim">
    <w:altName w:val="굴림"/>
    <w:panose1 w:val="020B0600000101010101"/>
    <w:charset w:val="81"/>
    <w:family w:val="swiss"/>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auto"/>
    <w:pitch w:val="variable"/>
    <w:sig w:usb0="E1002AFF" w:usb1="C000605B" w:usb2="00000029" w:usb3="00000000" w:csb0="000101FF"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778CDC" w14:textId="2A933466" w:rsidR="00AF2682" w:rsidRDefault="00AF2682">
    <w:pPr>
      <w:pStyle w:val="a5"/>
    </w:pPr>
    <w:r>
      <w:t>OHDSI Population-Level Estimation Protocol</w:t>
    </w:r>
    <w:r>
      <w:ptab w:relativeTo="margin" w:alignment="center" w:leader="none"/>
    </w:r>
    <w:r>
      <w:ptab w:relativeTo="margin" w:alignment="right" w:leader="none"/>
    </w:r>
    <w:r>
      <w:fldChar w:fldCharType="begin"/>
    </w:r>
    <w:r>
      <w:instrText xml:space="preserve"> PAGE   \* MERGEFORMAT </w:instrText>
    </w:r>
    <w:r>
      <w:fldChar w:fldCharType="separate"/>
    </w:r>
    <w:r>
      <w:rPr>
        <w:noProof/>
      </w:rPr>
      <w:t>11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E558C5" w14:textId="77777777" w:rsidR="00D21BF3" w:rsidRDefault="00D21BF3" w:rsidP="0074593E">
      <w:pPr>
        <w:spacing w:after="0" w:line="240" w:lineRule="auto"/>
      </w:pPr>
      <w:r>
        <w:separator/>
      </w:r>
    </w:p>
  </w:footnote>
  <w:footnote w:type="continuationSeparator" w:id="0">
    <w:p w14:paraId="43B2B3C4" w14:textId="77777777" w:rsidR="00D21BF3" w:rsidRDefault="00D21BF3" w:rsidP="007459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9028BF" w14:textId="77777777" w:rsidR="00AF2682" w:rsidRDefault="00AF2682">
    <w:pPr>
      <w:pStyle w:val="a4"/>
    </w:pPr>
    <w:r>
      <w:rPr>
        <w:noProof/>
        <w:lang w:eastAsia="ko-KR"/>
      </w:rPr>
      <w:drawing>
        <wp:anchor distT="0" distB="0" distL="114300" distR="114300" simplePos="0" relativeHeight="251660288" behindDoc="0" locked="0" layoutInCell="1" allowOverlap="1" wp14:anchorId="7FC678EB" wp14:editId="7C19D809">
          <wp:simplePos x="0" y="0"/>
          <wp:positionH relativeFrom="column">
            <wp:posOffset>3613709</wp:posOffset>
          </wp:positionH>
          <wp:positionV relativeFrom="paragraph">
            <wp:posOffset>-201168</wp:posOffset>
          </wp:positionV>
          <wp:extent cx="2284811" cy="626087"/>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HDSI logo with text - horizontal - colored.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90762" cy="627718"/>
                  </a:xfrm>
                  <a:prstGeom prst="rect">
                    <a:avLst/>
                  </a:prstGeom>
                </pic:spPr>
              </pic:pic>
            </a:graphicData>
          </a:graphic>
          <wp14:sizeRelH relativeFrom="margin">
            <wp14:pctWidth>0</wp14:pctWidth>
          </wp14:sizeRelH>
          <wp14:sizeRelV relativeFrom="margin">
            <wp14:pctHeight>0</wp14:pctHeight>
          </wp14:sizeRelV>
        </wp:anchor>
      </w:drawing>
    </w:r>
    <w:r w:rsidRPr="0074593E">
      <w:rPr>
        <w:noProof/>
        <w:lang w:eastAsia="ko-KR"/>
      </w:rPr>
      <mc:AlternateContent>
        <mc:Choice Requires="wps">
          <w:drawing>
            <wp:anchor distT="0" distB="0" distL="114300" distR="114300" simplePos="0" relativeHeight="251659264" behindDoc="0" locked="0" layoutInCell="1" allowOverlap="1" wp14:anchorId="0681DD77" wp14:editId="3F19CC03">
              <wp:simplePos x="0" y="0"/>
              <wp:positionH relativeFrom="column">
                <wp:posOffset>21945</wp:posOffset>
              </wp:positionH>
              <wp:positionV relativeFrom="paragraph">
                <wp:posOffset>354787</wp:posOffset>
              </wp:positionV>
              <wp:extent cx="5874105" cy="76200"/>
              <wp:effectExtent l="0" t="0" r="0" b="0"/>
              <wp:wrapNone/>
              <wp:docPr id="10" name="Rectangle 9"/>
              <wp:cNvGraphicFramePr/>
              <a:graphic xmlns:a="http://schemas.openxmlformats.org/drawingml/2006/main">
                <a:graphicData uri="http://schemas.microsoft.com/office/word/2010/wordprocessingShape">
                  <wps:wsp>
                    <wps:cNvSpPr/>
                    <wps:spPr>
                      <a:xfrm>
                        <a:off x="0" y="0"/>
                        <a:ext cx="5874105" cy="76200"/>
                      </a:xfrm>
                      <a:prstGeom prst="rect">
                        <a:avLst/>
                      </a:prstGeom>
                      <a:gradFill>
                        <a:gsLst>
                          <a:gs pos="44000">
                            <a:srgbClr val="20425A"/>
                          </a:gs>
                          <a:gs pos="100000">
                            <a:srgbClr val="FCCB10"/>
                          </a:gs>
                          <a:gs pos="55000">
                            <a:srgbClr val="EB6622"/>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anchor>
          </w:drawing>
        </mc:Choice>
        <mc:Fallback>
          <w:pict>
            <v:rect w14:anchorId="7AB6C1CE" id="Rectangle 9" o:spid="_x0000_s1026" style="position:absolute;left:0;text-align:left;margin-left:1.75pt;margin-top:27.95pt;width:462.55pt;height: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" fillcolor="#20425a" stroked="f" strokeweight="2pt">
              <v:fill color2="#fccb10" angle="90" colors="0 #20425a;28836f #20425a;36045f #eb6622" focus="100%" type="gradient">
                <o:fill v:ext="view" type="gradientUnscaled"/>
              </v:fill>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E1977"/>
    <w:multiLevelType w:val="hybridMultilevel"/>
    <w:tmpl w:val="D012C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9379F7"/>
    <w:multiLevelType w:val="hybridMultilevel"/>
    <w:tmpl w:val="92B82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B038EF"/>
    <w:multiLevelType w:val="multilevel"/>
    <w:tmpl w:val="B57E1E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3A64C5"/>
    <w:multiLevelType w:val="multilevel"/>
    <w:tmpl w:val="543275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09321E"/>
    <w:multiLevelType w:val="hybridMultilevel"/>
    <w:tmpl w:val="E1C84530"/>
    <w:lvl w:ilvl="0" w:tplc="04090001">
      <w:start w:val="1"/>
      <w:numFmt w:val="bullet"/>
      <w:lvlText w:val=""/>
      <w:lvlJc w:val="left"/>
      <w:pPr>
        <w:ind w:left="800" w:hanging="400"/>
      </w:pPr>
      <w:rPr>
        <w:rFonts w:ascii="Symbol" w:hAnsi="Symbo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06384256"/>
    <w:multiLevelType w:val="multilevel"/>
    <w:tmpl w:val="2D44E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36748F"/>
    <w:multiLevelType w:val="multilevel"/>
    <w:tmpl w:val="A746A2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69507E"/>
    <w:multiLevelType w:val="multilevel"/>
    <w:tmpl w:val="624A1A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585B53"/>
    <w:multiLevelType w:val="multilevel"/>
    <w:tmpl w:val="6D1073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444F38"/>
    <w:multiLevelType w:val="hybridMultilevel"/>
    <w:tmpl w:val="AEFC7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9B1C0E"/>
    <w:multiLevelType w:val="multilevel"/>
    <w:tmpl w:val="FA36B7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EF2145"/>
    <w:multiLevelType w:val="hybridMultilevel"/>
    <w:tmpl w:val="23001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571A22"/>
    <w:multiLevelType w:val="multilevel"/>
    <w:tmpl w:val="8F368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3C0C5F"/>
    <w:multiLevelType w:val="multilevel"/>
    <w:tmpl w:val="7518B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9B117C"/>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5" w15:restartNumberingAfterBreak="0">
    <w:nsid w:val="2D316836"/>
    <w:multiLevelType w:val="hybridMultilevel"/>
    <w:tmpl w:val="3D0433F6"/>
    <w:lvl w:ilvl="0" w:tplc="04090001">
      <w:start w:val="1"/>
      <w:numFmt w:val="bullet"/>
      <w:lvlText w:val=""/>
      <w:lvlJc w:val="left"/>
      <w:pPr>
        <w:ind w:left="800" w:hanging="400"/>
      </w:pPr>
      <w:rPr>
        <w:rFonts w:ascii="Symbol" w:hAnsi="Symbol"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6" w15:restartNumberingAfterBreak="0">
    <w:nsid w:val="2F9E6DB7"/>
    <w:multiLevelType w:val="hybridMultilevel"/>
    <w:tmpl w:val="B9A21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8C1CD4"/>
    <w:multiLevelType w:val="hybridMultilevel"/>
    <w:tmpl w:val="34A06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9029FA"/>
    <w:multiLevelType w:val="multilevel"/>
    <w:tmpl w:val="43BE6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5D71AE"/>
    <w:multiLevelType w:val="hybridMultilevel"/>
    <w:tmpl w:val="0CD0E984"/>
    <w:lvl w:ilvl="0" w:tplc="4E9AFD88">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BB79BC"/>
    <w:multiLevelType w:val="multilevel"/>
    <w:tmpl w:val="00F872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DD1CB8"/>
    <w:multiLevelType w:val="hybridMultilevel"/>
    <w:tmpl w:val="BCA8F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AA5647"/>
    <w:multiLevelType w:val="multilevel"/>
    <w:tmpl w:val="6AA6FB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DB1392"/>
    <w:multiLevelType w:val="multilevel"/>
    <w:tmpl w:val="F362B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7B4D0C"/>
    <w:multiLevelType w:val="hybridMultilevel"/>
    <w:tmpl w:val="48A65534"/>
    <w:lvl w:ilvl="0" w:tplc="54E2F63E">
      <w:start w:val="26"/>
      <w:numFmt w:val="bullet"/>
      <w:lvlText w:val="-"/>
      <w:lvlJc w:val="left"/>
      <w:pPr>
        <w:ind w:left="760" w:hanging="360"/>
      </w:pPr>
      <w:rPr>
        <w:rFonts w:ascii="Calibri" w:eastAsia="Batang" w:hAnsi="Calibri" w:cs="Calibr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5" w15:restartNumberingAfterBreak="0">
    <w:nsid w:val="4E276D37"/>
    <w:multiLevelType w:val="multilevel"/>
    <w:tmpl w:val="33CA3D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7F2734"/>
    <w:multiLevelType w:val="hybridMultilevel"/>
    <w:tmpl w:val="3CDAE1C6"/>
    <w:lvl w:ilvl="0" w:tplc="0C14D658">
      <w:start w:val="1"/>
      <w:numFmt w:val="bullet"/>
      <w:lvlText w:val="–"/>
      <w:lvlJc w:val="left"/>
      <w:pPr>
        <w:tabs>
          <w:tab w:val="num" w:pos="720"/>
        </w:tabs>
        <w:ind w:left="720" w:hanging="360"/>
      </w:pPr>
      <w:rPr>
        <w:rFonts w:ascii="Gulim" w:hAnsi="Gulim" w:hint="default"/>
      </w:rPr>
    </w:lvl>
    <w:lvl w:ilvl="1" w:tplc="96A4A57C">
      <w:start w:val="1"/>
      <w:numFmt w:val="bullet"/>
      <w:lvlText w:val="–"/>
      <w:lvlJc w:val="left"/>
      <w:pPr>
        <w:tabs>
          <w:tab w:val="num" w:pos="1440"/>
        </w:tabs>
        <w:ind w:left="1440" w:hanging="360"/>
      </w:pPr>
      <w:rPr>
        <w:rFonts w:ascii="Gulim" w:hAnsi="Gulim" w:hint="default"/>
      </w:rPr>
    </w:lvl>
    <w:lvl w:ilvl="2" w:tplc="2814EFEE" w:tentative="1">
      <w:start w:val="1"/>
      <w:numFmt w:val="bullet"/>
      <w:lvlText w:val="–"/>
      <w:lvlJc w:val="left"/>
      <w:pPr>
        <w:tabs>
          <w:tab w:val="num" w:pos="2160"/>
        </w:tabs>
        <w:ind w:left="2160" w:hanging="360"/>
      </w:pPr>
      <w:rPr>
        <w:rFonts w:ascii="Gulim" w:hAnsi="Gulim" w:hint="default"/>
      </w:rPr>
    </w:lvl>
    <w:lvl w:ilvl="3" w:tplc="FE5CBB8C" w:tentative="1">
      <w:start w:val="1"/>
      <w:numFmt w:val="bullet"/>
      <w:lvlText w:val="–"/>
      <w:lvlJc w:val="left"/>
      <w:pPr>
        <w:tabs>
          <w:tab w:val="num" w:pos="2880"/>
        </w:tabs>
        <w:ind w:left="2880" w:hanging="360"/>
      </w:pPr>
      <w:rPr>
        <w:rFonts w:ascii="Gulim" w:hAnsi="Gulim" w:hint="default"/>
      </w:rPr>
    </w:lvl>
    <w:lvl w:ilvl="4" w:tplc="7876CA86" w:tentative="1">
      <w:start w:val="1"/>
      <w:numFmt w:val="bullet"/>
      <w:lvlText w:val="–"/>
      <w:lvlJc w:val="left"/>
      <w:pPr>
        <w:tabs>
          <w:tab w:val="num" w:pos="3600"/>
        </w:tabs>
        <w:ind w:left="3600" w:hanging="360"/>
      </w:pPr>
      <w:rPr>
        <w:rFonts w:ascii="Gulim" w:hAnsi="Gulim" w:hint="default"/>
      </w:rPr>
    </w:lvl>
    <w:lvl w:ilvl="5" w:tplc="0FFEE39A" w:tentative="1">
      <w:start w:val="1"/>
      <w:numFmt w:val="bullet"/>
      <w:lvlText w:val="–"/>
      <w:lvlJc w:val="left"/>
      <w:pPr>
        <w:tabs>
          <w:tab w:val="num" w:pos="4320"/>
        </w:tabs>
        <w:ind w:left="4320" w:hanging="360"/>
      </w:pPr>
      <w:rPr>
        <w:rFonts w:ascii="Gulim" w:hAnsi="Gulim" w:hint="default"/>
      </w:rPr>
    </w:lvl>
    <w:lvl w:ilvl="6" w:tplc="33FE1238" w:tentative="1">
      <w:start w:val="1"/>
      <w:numFmt w:val="bullet"/>
      <w:lvlText w:val="–"/>
      <w:lvlJc w:val="left"/>
      <w:pPr>
        <w:tabs>
          <w:tab w:val="num" w:pos="5040"/>
        </w:tabs>
        <w:ind w:left="5040" w:hanging="360"/>
      </w:pPr>
      <w:rPr>
        <w:rFonts w:ascii="Gulim" w:hAnsi="Gulim" w:hint="default"/>
      </w:rPr>
    </w:lvl>
    <w:lvl w:ilvl="7" w:tplc="4A7269E8" w:tentative="1">
      <w:start w:val="1"/>
      <w:numFmt w:val="bullet"/>
      <w:lvlText w:val="–"/>
      <w:lvlJc w:val="left"/>
      <w:pPr>
        <w:tabs>
          <w:tab w:val="num" w:pos="5760"/>
        </w:tabs>
        <w:ind w:left="5760" w:hanging="360"/>
      </w:pPr>
      <w:rPr>
        <w:rFonts w:ascii="Gulim" w:hAnsi="Gulim" w:hint="default"/>
      </w:rPr>
    </w:lvl>
    <w:lvl w:ilvl="8" w:tplc="76B0BD4E" w:tentative="1">
      <w:start w:val="1"/>
      <w:numFmt w:val="bullet"/>
      <w:lvlText w:val="–"/>
      <w:lvlJc w:val="left"/>
      <w:pPr>
        <w:tabs>
          <w:tab w:val="num" w:pos="6480"/>
        </w:tabs>
        <w:ind w:left="6480" w:hanging="360"/>
      </w:pPr>
      <w:rPr>
        <w:rFonts w:ascii="Gulim" w:hAnsi="Gulim" w:hint="default"/>
      </w:rPr>
    </w:lvl>
  </w:abstractNum>
  <w:abstractNum w:abstractNumId="27" w15:restartNumberingAfterBreak="0">
    <w:nsid w:val="563E5023"/>
    <w:multiLevelType w:val="multilevel"/>
    <w:tmpl w:val="486A6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7180153"/>
    <w:multiLevelType w:val="multilevel"/>
    <w:tmpl w:val="DA7A2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7B474D"/>
    <w:multiLevelType w:val="hybridMultilevel"/>
    <w:tmpl w:val="44561BEA"/>
    <w:lvl w:ilvl="0" w:tplc="58BC82FE">
      <w:start w:val="1"/>
      <w:numFmt w:val="bullet"/>
      <w:lvlText w:val="–"/>
      <w:lvlJc w:val="left"/>
      <w:pPr>
        <w:tabs>
          <w:tab w:val="num" w:pos="720"/>
        </w:tabs>
        <w:ind w:left="720" w:hanging="360"/>
      </w:pPr>
      <w:rPr>
        <w:rFonts w:ascii="Gulim" w:hAnsi="Gulim" w:hint="default"/>
      </w:rPr>
    </w:lvl>
    <w:lvl w:ilvl="1" w:tplc="BCB63A0E">
      <w:start w:val="1"/>
      <w:numFmt w:val="bullet"/>
      <w:lvlText w:val="–"/>
      <w:lvlJc w:val="left"/>
      <w:pPr>
        <w:tabs>
          <w:tab w:val="num" w:pos="1440"/>
        </w:tabs>
        <w:ind w:left="1440" w:hanging="360"/>
      </w:pPr>
      <w:rPr>
        <w:rFonts w:ascii="Gulim" w:hAnsi="Gulim" w:hint="default"/>
      </w:rPr>
    </w:lvl>
    <w:lvl w:ilvl="2" w:tplc="795E81C6" w:tentative="1">
      <w:start w:val="1"/>
      <w:numFmt w:val="bullet"/>
      <w:lvlText w:val="–"/>
      <w:lvlJc w:val="left"/>
      <w:pPr>
        <w:tabs>
          <w:tab w:val="num" w:pos="2160"/>
        </w:tabs>
        <w:ind w:left="2160" w:hanging="360"/>
      </w:pPr>
      <w:rPr>
        <w:rFonts w:ascii="Gulim" w:hAnsi="Gulim" w:hint="default"/>
      </w:rPr>
    </w:lvl>
    <w:lvl w:ilvl="3" w:tplc="11F2E0BA" w:tentative="1">
      <w:start w:val="1"/>
      <w:numFmt w:val="bullet"/>
      <w:lvlText w:val="–"/>
      <w:lvlJc w:val="left"/>
      <w:pPr>
        <w:tabs>
          <w:tab w:val="num" w:pos="2880"/>
        </w:tabs>
        <w:ind w:left="2880" w:hanging="360"/>
      </w:pPr>
      <w:rPr>
        <w:rFonts w:ascii="Gulim" w:hAnsi="Gulim" w:hint="default"/>
      </w:rPr>
    </w:lvl>
    <w:lvl w:ilvl="4" w:tplc="BEA6594C" w:tentative="1">
      <w:start w:val="1"/>
      <w:numFmt w:val="bullet"/>
      <w:lvlText w:val="–"/>
      <w:lvlJc w:val="left"/>
      <w:pPr>
        <w:tabs>
          <w:tab w:val="num" w:pos="3600"/>
        </w:tabs>
        <w:ind w:left="3600" w:hanging="360"/>
      </w:pPr>
      <w:rPr>
        <w:rFonts w:ascii="Gulim" w:hAnsi="Gulim" w:hint="default"/>
      </w:rPr>
    </w:lvl>
    <w:lvl w:ilvl="5" w:tplc="42C61A80" w:tentative="1">
      <w:start w:val="1"/>
      <w:numFmt w:val="bullet"/>
      <w:lvlText w:val="–"/>
      <w:lvlJc w:val="left"/>
      <w:pPr>
        <w:tabs>
          <w:tab w:val="num" w:pos="4320"/>
        </w:tabs>
        <w:ind w:left="4320" w:hanging="360"/>
      </w:pPr>
      <w:rPr>
        <w:rFonts w:ascii="Gulim" w:hAnsi="Gulim" w:hint="default"/>
      </w:rPr>
    </w:lvl>
    <w:lvl w:ilvl="6" w:tplc="0664985E" w:tentative="1">
      <w:start w:val="1"/>
      <w:numFmt w:val="bullet"/>
      <w:lvlText w:val="–"/>
      <w:lvlJc w:val="left"/>
      <w:pPr>
        <w:tabs>
          <w:tab w:val="num" w:pos="5040"/>
        </w:tabs>
        <w:ind w:left="5040" w:hanging="360"/>
      </w:pPr>
      <w:rPr>
        <w:rFonts w:ascii="Gulim" w:hAnsi="Gulim" w:hint="default"/>
      </w:rPr>
    </w:lvl>
    <w:lvl w:ilvl="7" w:tplc="E9364FF0" w:tentative="1">
      <w:start w:val="1"/>
      <w:numFmt w:val="bullet"/>
      <w:lvlText w:val="–"/>
      <w:lvlJc w:val="left"/>
      <w:pPr>
        <w:tabs>
          <w:tab w:val="num" w:pos="5760"/>
        </w:tabs>
        <w:ind w:left="5760" w:hanging="360"/>
      </w:pPr>
      <w:rPr>
        <w:rFonts w:ascii="Gulim" w:hAnsi="Gulim" w:hint="default"/>
      </w:rPr>
    </w:lvl>
    <w:lvl w:ilvl="8" w:tplc="3BD48528" w:tentative="1">
      <w:start w:val="1"/>
      <w:numFmt w:val="bullet"/>
      <w:lvlText w:val="–"/>
      <w:lvlJc w:val="left"/>
      <w:pPr>
        <w:tabs>
          <w:tab w:val="num" w:pos="6480"/>
        </w:tabs>
        <w:ind w:left="6480" w:hanging="360"/>
      </w:pPr>
      <w:rPr>
        <w:rFonts w:ascii="Gulim" w:hAnsi="Gulim" w:hint="default"/>
      </w:rPr>
    </w:lvl>
  </w:abstractNum>
  <w:abstractNum w:abstractNumId="30" w15:restartNumberingAfterBreak="0">
    <w:nsid w:val="65897AF7"/>
    <w:multiLevelType w:val="hybridMultilevel"/>
    <w:tmpl w:val="3DB6DC20"/>
    <w:lvl w:ilvl="0" w:tplc="04090001">
      <w:start w:val="1"/>
      <w:numFmt w:val="bullet"/>
      <w:lvlText w:val=""/>
      <w:lvlJc w:val="left"/>
      <w:pPr>
        <w:ind w:left="800" w:hanging="400"/>
      </w:pPr>
      <w:rPr>
        <w:rFonts w:ascii="Symbol" w:hAnsi="Symbol"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1" w15:restartNumberingAfterBreak="0">
    <w:nsid w:val="67F73281"/>
    <w:multiLevelType w:val="multilevel"/>
    <w:tmpl w:val="89BEB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F9D2EAC"/>
    <w:multiLevelType w:val="hybridMultilevel"/>
    <w:tmpl w:val="6AE661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10340F2"/>
    <w:multiLevelType w:val="multilevel"/>
    <w:tmpl w:val="87F40C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3636925"/>
    <w:multiLevelType w:val="multilevel"/>
    <w:tmpl w:val="D74617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799057A"/>
    <w:multiLevelType w:val="multilevel"/>
    <w:tmpl w:val="96C0E9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8FE7D7D"/>
    <w:multiLevelType w:val="multilevel"/>
    <w:tmpl w:val="FD7E52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9E8140F"/>
    <w:multiLevelType w:val="multilevel"/>
    <w:tmpl w:val="68D895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9"/>
  </w:num>
  <w:num w:numId="3">
    <w:abstractNumId w:val="16"/>
  </w:num>
  <w:num w:numId="4">
    <w:abstractNumId w:val="21"/>
  </w:num>
  <w:num w:numId="5">
    <w:abstractNumId w:val="32"/>
  </w:num>
  <w:num w:numId="6">
    <w:abstractNumId w:val="14"/>
  </w:num>
  <w:num w:numId="7">
    <w:abstractNumId w:val="19"/>
  </w:num>
  <w:num w:numId="8">
    <w:abstractNumId w:val="11"/>
  </w:num>
  <w:num w:numId="9">
    <w:abstractNumId w:val="17"/>
  </w:num>
  <w:num w:numId="10">
    <w:abstractNumId w:val="0"/>
  </w:num>
  <w:num w:numId="11">
    <w:abstractNumId w:val="26"/>
  </w:num>
  <w:num w:numId="12">
    <w:abstractNumId w:val="15"/>
  </w:num>
  <w:num w:numId="13">
    <w:abstractNumId w:val="30"/>
  </w:num>
  <w:num w:numId="14">
    <w:abstractNumId w:val="29"/>
  </w:num>
  <w:num w:numId="15">
    <w:abstractNumId w:val="4"/>
  </w:num>
  <w:num w:numId="16">
    <w:abstractNumId w:val="24"/>
  </w:num>
  <w:num w:numId="17">
    <w:abstractNumId w:val="13"/>
  </w:num>
  <w:num w:numId="18">
    <w:abstractNumId w:val="22"/>
  </w:num>
  <w:num w:numId="19">
    <w:abstractNumId w:val="8"/>
  </w:num>
  <w:num w:numId="20">
    <w:abstractNumId w:val="35"/>
  </w:num>
  <w:num w:numId="21">
    <w:abstractNumId w:val="12"/>
  </w:num>
  <w:num w:numId="22">
    <w:abstractNumId w:val="5"/>
  </w:num>
  <w:num w:numId="23">
    <w:abstractNumId w:val="25"/>
  </w:num>
  <w:num w:numId="24">
    <w:abstractNumId w:val="2"/>
  </w:num>
  <w:num w:numId="25">
    <w:abstractNumId w:val="37"/>
  </w:num>
  <w:num w:numId="26">
    <w:abstractNumId w:val="23"/>
  </w:num>
  <w:num w:numId="27">
    <w:abstractNumId w:val="34"/>
  </w:num>
  <w:num w:numId="28">
    <w:abstractNumId w:val="31"/>
  </w:num>
  <w:num w:numId="29">
    <w:abstractNumId w:val="28"/>
  </w:num>
  <w:num w:numId="30">
    <w:abstractNumId w:val="7"/>
  </w:num>
  <w:num w:numId="31">
    <w:abstractNumId w:val="20"/>
  </w:num>
  <w:num w:numId="32">
    <w:abstractNumId w:val="36"/>
  </w:num>
  <w:num w:numId="33">
    <w:abstractNumId w:val="3"/>
  </w:num>
  <w:num w:numId="34">
    <w:abstractNumId w:val="6"/>
  </w:num>
  <w:num w:numId="35">
    <w:abstractNumId w:val="27"/>
  </w:num>
  <w:num w:numId="36">
    <w:abstractNumId w:val="10"/>
  </w:num>
  <w:num w:numId="37">
    <w:abstractNumId w:val="18"/>
  </w:num>
  <w:num w:numId="38">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MJ&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Libraries&gt;"/>
  </w:docVars>
  <w:rsids>
    <w:rsidRoot w:val="00C84B89"/>
    <w:rsid w:val="000052F7"/>
    <w:rsid w:val="000113B4"/>
    <w:rsid w:val="000159BB"/>
    <w:rsid w:val="00015EC2"/>
    <w:rsid w:val="0002084E"/>
    <w:rsid w:val="00020DCB"/>
    <w:rsid w:val="00020F02"/>
    <w:rsid w:val="00024BAA"/>
    <w:rsid w:val="00030572"/>
    <w:rsid w:val="00042F69"/>
    <w:rsid w:val="00043224"/>
    <w:rsid w:val="0004773C"/>
    <w:rsid w:val="00051302"/>
    <w:rsid w:val="0005500D"/>
    <w:rsid w:val="00056480"/>
    <w:rsid w:val="0006023B"/>
    <w:rsid w:val="0006204B"/>
    <w:rsid w:val="00067659"/>
    <w:rsid w:val="0007323D"/>
    <w:rsid w:val="000820C2"/>
    <w:rsid w:val="00082D4F"/>
    <w:rsid w:val="00091B3E"/>
    <w:rsid w:val="0009249C"/>
    <w:rsid w:val="0009329C"/>
    <w:rsid w:val="00094171"/>
    <w:rsid w:val="000A44DF"/>
    <w:rsid w:val="000B416F"/>
    <w:rsid w:val="000D6FC8"/>
    <w:rsid w:val="000E1A06"/>
    <w:rsid w:val="000E2BC2"/>
    <w:rsid w:val="000E4F1A"/>
    <w:rsid w:val="000F0CE6"/>
    <w:rsid w:val="001012D0"/>
    <w:rsid w:val="00106CBC"/>
    <w:rsid w:val="001075FA"/>
    <w:rsid w:val="00112C4C"/>
    <w:rsid w:val="00121440"/>
    <w:rsid w:val="001542F2"/>
    <w:rsid w:val="00157C17"/>
    <w:rsid w:val="00157F8D"/>
    <w:rsid w:val="00167004"/>
    <w:rsid w:val="00176A9A"/>
    <w:rsid w:val="00180C7D"/>
    <w:rsid w:val="001846CB"/>
    <w:rsid w:val="00184A2F"/>
    <w:rsid w:val="001A4A28"/>
    <w:rsid w:val="001C6EF1"/>
    <w:rsid w:val="001D2E89"/>
    <w:rsid w:val="001E1EF6"/>
    <w:rsid w:val="001E3220"/>
    <w:rsid w:val="001E5B62"/>
    <w:rsid w:val="001F1712"/>
    <w:rsid w:val="00204413"/>
    <w:rsid w:val="00217089"/>
    <w:rsid w:val="002221E8"/>
    <w:rsid w:val="002261ED"/>
    <w:rsid w:val="00226DD5"/>
    <w:rsid w:val="002406D5"/>
    <w:rsid w:val="00240C40"/>
    <w:rsid w:val="00251647"/>
    <w:rsid w:val="00254B76"/>
    <w:rsid w:val="002610B2"/>
    <w:rsid w:val="00266E89"/>
    <w:rsid w:val="00283B70"/>
    <w:rsid w:val="00284F94"/>
    <w:rsid w:val="00292F94"/>
    <w:rsid w:val="002A5323"/>
    <w:rsid w:val="002B25DE"/>
    <w:rsid w:val="002B2C62"/>
    <w:rsid w:val="002C1203"/>
    <w:rsid w:val="002C7801"/>
    <w:rsid w:val="002D2403"/>
    <w:rsid w:val="002E5446"/>
    <w:rsid w:val="002E5F31"/>
    <w:rsid w:val="002F308A"/>
    <w:rsid w:val="00300ED7"/>
    <w:rsid w:val="003029C0"/>
    <w:rsid w:val="003322DA"/>
    <w:rsid w:val="00332E9D"/>
    <w:rsid w:val="00354C2C"/>
    <w:rsid w:val="003641BC"/>
    <w:rsid w:val="00364646"/>
    <w:rsid w:val="003654C3"/>
    <w:rsid w:val="0037436A"/>
    <w:rsid w:val="00376F03"/>
    <w:rsid w:val="00381412"/>
    <w:rsid w:val="00396739"/>
    <w:rsid w:val="003A3F1C"/>
    <w:rsid w:val="003A48BF"/>
    <w:rsid w:val="003A7244"/>
    <w:rsid w:val="003C673A"/>
    <w:rsid w:val="003C6E46"/>
    <w:rsid w:val="003D317B"/>
    <w:rsid w:val="003E153B"/>
    <w:rsid w:val="003E41DD"/>
    <w:rsid w:val="003E7DD0"/>
    <w:rsid w:val="003F2A9A"/>
    <w:rsid w:val="003F5091"/>
    <w:rsid w:val="00401126"/>
    <w:rsid w:val="0040297A"/>
    <w:rsid w:val="00410363"/>
    <w:rsid w:val="00414EDA"/>
    <w:rsid w:val="00415406"/>
    <w:rsid w:val="004227AE"/>
    <w:rsid w:val="00423CDE"/>
    <w:rsid w:val="00431DA7"/>
    <w:rsid w:val="00444A4E"/>
    <w:rsid w:val="00450F15"/>
    <w:rsid w:val="0045184F"/>
    <w:rsid w:val="004635F0"/>
    <w:rsid w:val="004878E3"/>
    <w:rsid w:val="00487F21"/>
    <w:rsid w:val="0049270D"/>
    <w:rsid w:val="00492972"/>
    <w:rsid w:val="00493B8D"/>
    <w:rsid w:val="00497DA6"/>
    <w:rsid w:val="004A4CFD"/>
    <w:rsid w:val="004A55E0"/>
    <w:rsid w:val="004A5EC3"/>
    <w:rsid w:val="004B3862"/>
    <w:rsid w:val="004B444E"/>
    <w:rsid w:val="004B73CA"/>
    <w:rsid w:val="004C12E6"/>
    <w:rsid w:val="004C2A2F"/>
    <w:rsid w:val="004C74C9"/>
    <w:rsid w:val="004D43F5"/>
    <w:rsid w:val="004F2115"/>
    <w:rsid w:val="00505BF8"/>
    <w:rsid w:val="00505F97"/>
    <w:rsid w:val="00506BC6"/>
    <w:rsid w:val="0051667F"/>
    <w:rsid w:val="00540AD6"/>
    <w:rsid w:val="005418E7"/>
    <w:rsid w:val="005446CD"/>
    <w:rsid w:val="00554190"/>
    <w:rsid w:val="0056214D"/>
    <w:rsid w:val="00564282"/>
    <w:rsid w:val="005670FD"/>
    <w:rsid w:val="00567842"/>
    <w:rsid w:val="00571F4A"/>
    <w:rsid w:val="00572CF7"/>
    <w:rsid w:val="00572D03"/>
    <w:rsid w:val="005766BB"/>
    <w:rsid w:val="00582561"/>
    <w:rsid w:val="005829E1"/>
    <w:rsid w:val="00584075"/>
    <w:rsid w:val="00584545"/>
    <w:rsid w:val="00586E44"/>
    <w:rsid w:val="00587B7A"/>
    <w:rsid w:val="0059177A"/>
    <w:rsid w:val="005A24D9"/>
    <w:rsid w:val="005A4F8C"/>
    <w:rsid w:val="005B15B0"/>
    <w:rsid w:val="005B1DB3"/>
    <w:rsid w:val="005B4230"/>
    <w:rsid w:val="005B78B9"/>
    <w:rsid w:val="005C209F"/>
    <w:rsid w:val="005C607D"/>
    <w:rsid w:val="005D02C1"/>
    <w:rsid w:val="005D03C2"/>
    <w:rsid w:val="005D4B29"/>
    <w:rsid w:val="005E354C"/>
    <w:rsid w:val="005E614C"/>
    <w:rsid w:val="00617901"/>
    <w:rsid w:val="0062116D"/>
    <w:rsid w:val="0062771D"/>
    <w:rsid w:val="006326E8"/>
    <w:rsid w:val="0063274C"/>
    <w:rsid w:val="00636F2A"/>
    <w:rsid w:val="00640D6C"/>
    <w:rsid w:val="00647841"/>
    <w:rsid w:val="00654A51"/>
    <w:rsid w:val="006602A7"/>
    <w:rsid w:val="006607D7"/>
    <w:rsid w:val="0066103F"/>
    <w:rsid w:val="00666E3E"/>
    <w:rsid w:val="00667496"/>
    <w:rsid w:val="00677664"/>
    <w:rsid w:val="00677D35"/>
    <w:rsid w:val="0068145E"/>
    <w:rsid w:val="0068303C"/>
    <w:rsid w:val="00684181"/>
    <w:rsid w:val="006852B4"/>
    <w:rsid w:val="006856EF"/>
    <w:rsid w:val="00686884"/>
    <w:rsid w:val="00695FCE"/>
    <w:rsid w:val="006B6A9A"/>
    <w:rsid w:val="006C33E0"/>
    <w:rsid w:val="006C3F33"/>
    <w:rsid w:val="006D5E44"/>
    <w:rsid w:val="006E36A5"/>
    <w:rsid w:val="006E50F5"/>
    <w:rsid w:val="0070266B"/>
    <w:rsid w:val="00706740"/>
    <w:rsid w:val="00706CDE"/>
    <w:rsid w:val="0071036B"/>
    <w:rsid w:val="00713641"/>
    <w:rsid w:val="0071403A"/>
    <w:rsid w:val="0071742D"/>
    <w:rsid w:val="00717F97"/>
    <w:rsid w:val="00733F09"/>
    <w:rsid w:val="00737CC0"/>
    <w:rsid w:val="00744E55"/>
    <w:rsid w:val="0074593E"/>
    <w:rsid w:val="00746FAA"/>
    <w:rsid w:val="00753386"/>
    <w:rsid w:val="00755FAB"/>
    <w:rsid w:val="00757B6E"/>
    <w:rsid w:val="007629C6"/>
    <w:rsid w:val="00773064"/>
    <w:rsid w:val="007A3783"/>
    <w:rsid w:val="007B09E2"/>
    <w:rsid w:val="007E75ED"/>
    <w:rsid w:val="007F34FD"/>
    <w:rsid w:val="007F6A8B"/>
    <w:rsid w:val="00815E60"/>
    <w:rsid w:val="008232F6"/>
    <w:rsid w:val="008267B0"/>
    <w:rsid w:val="00832CB5"/>
    <w:rsid w:val="008347AE"/>
    <w:rsid w:val="008449DA"/>
    <w:rsid w:val="008478AE"/>
    <w:rsid w:val="00873736"/>
    <w:rsid w:val="008762D1"/>
    <w:rsid w:val="00876FB9"/>
    <w:rsid w:val="00881883"/>
    <w:rsid w:val="00890410"/>
    <w:rsid w:val="008A20CE"/>
    <w:rsid w:val="008C3E64"/>
    <w:rsid w:val="008D3D46"/>
    <w:rsid w:val="008E259A"/>
    <w:rsid w:val="008F127C"/>
    <w:rsid w:val="008F7E4B"/>
    <w:rsid w:val="0090464E"/>
    <w:rsid w:val="00912EC1"/>
    <w:rsid w:val="00921905"/>
    <w:rsid w:val="009243CA"/>
    <w:rsid w:val="0092461C"/>
    <w:rsid w:val="009318A3"/>
    <w:rsid w:val="00932059"/>
    <w:rsid w:val="0093284F"/>
    <w:rsid w:val="0094199E"/>
    <w:rsid w:val="009523EF"/>
    <w:rsid w:val="0095254B"/>
    <w:rsid w:val="00961DED"/>
    <w:rsid w:val="009652F8"/>
    <w:rsid w:val="00965830"/>
    <w:rsid w:val="0097506C"/>
    <w:rsid w:val="0097632D"/>
    <w:rsid w:val="009821FA"/>
    <w:rsid w:val="009831D6"/>
    <w:rsid w:val="009962D2"/>
    <w:rsid w:val="009A58F4"/>
    <w:rsid w:val="009A72C2"/>
    <w:rsid w:val="009B5589"/>
    <w:rsid w:val="009C2B13"/>
    <w:rsid w:val="009C7230"/>
    <w:rsid w:val="009D029E"/>
    <w:rsid w:val="009D100D"/>
    <w:rsid w:val="009D45C8"/>
    <w:rsid w:val="009D4796"/>
    <w:rsid w:val="009D7181"/>
    <w:rsid w:val="009E1D60"/>
    <w:rsid w:val="009E3CCD"/>
    <w:rsid w:val="00A01E4C"/>
    <w:rsid w:val="00A01EEA"/>
    <w:rsid w:val="00A05607"/>
    <w:rsid w:val="00A05DFF"/>
    <w:rsid w:val="00A0722D"/>
    <w:rsid w:val="00A134F3"/>
    <w:rsid w:val="00A201D8"/>
    <w:rsid w:val="00A21D49"/>
    <w:rsid w:val="00A26520"/>
    <w:rsid w:val="00A273EE"/>
    <w:rsid w:val="00A40668"/>
    <w:rsid w:val="00A42B5A"/>
    <w:rsid w:val="00A431E4"/>
    <w:rsid w:val="00A51784"/>
    <w:rsid w:val="00A57501"/>
    <w:rsid w:val="00A65279"/>
    <w:rsid w:val="00A65697"/>
    <w:rsid w:val="00A711D8"/>
    <w:rsid w:val="00A71A73"/>
    <w:rsid w:val="00A75406"/>
    <w:rsid w:val="00A76763"/>
    <w:rsid w:val="00A8384D"/>
    <w:rsid w:val="00A9089F"/>
    <w:rsid w:val="00A90C5A"/>
    <w:rsid w:val="00AA7C3C"/>
    <w:rsid w:val="00AB252D"/>
    <w:rsid w:val="00AC7D21"/>
    <w:rsid w:val="00AD61A7"/>
    <w:rsid w:val="00AD757C"/>
    <w:rsid w:val="00AE0213"/>
    <w:rsid w:val="00AE518E"/>
    <w:rsid w:val="00AF2682"/>
    <w:rsid w:val="00AF3F3E"/>
    <w:rsid w:val="00B00987"/>
    <w:rsid w:val="00B10D0B"/>
    <w:rsid w:val="00B11D82"/>
    <w:rsid w:val="00B14DDC"/>
    <w:rsid w:val="00B20BD3"/>
    <w:rsid w:val="00B46B1E"/>
    <w:rsid w:val="00B620A2"/>
    <w:rsid w:val="00B65A8B"/>
    <w:rsid w:val="00B70E7F"/>
    <w:rsid w:val="00B73FB8"/>
    <w:rsid w:val="00B746D7"/>
    <w:rsid w:val="00B92C3E"/>
    <w:rsid w:val="00BB1928"/>
    <w:rsid w:val="00BB6C16"/>
    <w:rsid w:val="00BC66AC"/>
    <w:rsid w:val="00BD061A"/>
    <w:rsid w:val="00BD1C3F"/>
    <w:rsid w:val="00BD6715"/>
    <w:rsid w:val="00BE41A2"/>
    <w:rsid w:val="00BE5778"/>
    <w:rsid w:val="00BE5C8C"/>
    <w:rsid w:val="00BE73A5"/>
    <w:rsid w:val="00C045BC"/>
    <w:rsid w:val="00C109DD"/>
    <w:rsid w:val="00C16C49"/>
    <w:rsid w:val="00C33D4B"/>
    <w:rsid w:val="00C34318"/>
    <w:rsid w:val="00C347BF"/>
    <w:rsid w:val="00C363B4"/>
    <w:rsid w:val="00C42E44"/>
    <w:rsid w:val="00C46455"/>
    <w:rsid w:val="00C50102"/>
    <w:rsid w:val="00C51C99"/>
    <w:rsid w:val="00C559A6"/>
    <w:rsid w:val="00C63169"/>
    <w:rsid w:val="00C80C79"/>
    <w:rsid w:val="00C84B89"/>
    <w:rsid w:val="00CA21CE"/>
    <w:rsid w:val="00CB1F6C"/>
    <w:rsid w:val="00CB5628"/>
    <w:rsid w:val="00CB62E4"/>
    <w:rsid w:val="00CC0B47"/>
    <w:rsid w:val="00CD3BC1"/>
    <w:rsid w:val="00CD4EAF"/>
    <w:rsid w:val="00CF2E19"/>
    <w:rsid w:val="00CF681F"/>
    <w:rsid w:val="00D060EC"/>
    <w:rsid w:val="00D06406"/>
    <w:rsid w:val="00D10C3F"/>
    <w:rsid w:val="00D1412F"/>
    <w:rsid w:val="00D1584C"/>
    <w:rsid w:val="00D16BB4"/>
    <w:rsid w:val="00D21BF3"/>
    <w:rsid w:val="00D23A5D"/>
    <w:rsid w:val="00D27351"/>
    <w:rsid w:val="00D443E4"/>
    <w:rsid w:val="00D50EB1"/>
    <w:rsid w:val="00D5347A"/>
    <w:rsid w:val="00D74740"/>
    <w:rsid w:val="00D757C9"/>
    <w:rsid w:val="00D87DC1"/>
    <w:rsid w:val="00DA136C"/>
    <w:rsid w:val="00DA5BC8"/>
    <w:rsid w:val="00DA6923"/>
    <w:rsid w:val="00DB060F"/>
    <w:rsid w:val="00DB494B"/>
    <w:rsid w:val="00DB5201"/>
    <w:rsid w:val="00DF07EE"/>
    <w:rsid w:val="00E01F56"/>
    <w:rsid w:val="00E04705"/>
    <w:rsid w:val="00E15776"/>
    <w:rsid w:val="00E27704"/>
    <w:rsid w:val="00E321CF"/>
    <w:rsid w:val="00E33DB6"/>
    <w:rsid w:val="00E36432"/>
    <w:rsid w:val="00E40B10"/>
    <w:rsid w:val="00E511A6"/>
    <w:rsid w:val="00E5549E"/>
    <w:rsid w:val="00E61242"/>
    <w:rsid w:val="00E6555A"/>
    <w:rsid w:val="00E70AC8"/>
    <w:rsid w:val="00E74D7E"/>
    <w:rsid w:val="00E774FE"/>
    <w:rsid w:val="00E8643B"/>
    <w:rsid w:val="00E946A9"/>
    <w:rsid w:val="00EA3A77"/>
    <w:rsid w:val="00EA5E71"/>
    <w:rsid w:val="00ED5C5A"/>
    <w:rsid w:val="00EE506E"/>
    <w:rsid w:val="00EE73B8"/>
    <w:rsid w:val="00EF05FD"/>
    <w:rsid w:val="00EF3BDA"/>
    <w:rsid w:val="00EF4EDE"/>
    <w:rsid w:val="00EF774F"/>
    <w:rsid w:val="00F05D4D"/>
    <w:rsid w:val="00F061B7"/>
    <w:rsid w:val="00F13993"/>
    <w:rsid w:val="00F20F0A"/>
    <w:rsid w:val="00F2745F"/>
    <w:rsid w:val="00F3357B"/>
    <w:rsid w:val="00F341F8"/>
    <w:rsid w:val="00F36BDD"/>
    <w:rsid w:val="00F46162"/>
    <w:rsid w:val="00F50DCE"/>
    <w:rsid w:val="00F51C1E"/>
    <w:rsid w:val="00F56947"/>
    <w:rsid w:val="00F579FE"/>
    <w:rsid w:val="00F610C6"/>
    <w:rsid w:val="00F65DCD"/>
    <w:rsid w:val="00F7418F"/>
    <w:rsid w:val="00F7777B"/>
    <w:rsid w:val="00F8345D"/>
    <w:rsid w:val="00F874C4"/>
    <w:rsid w:val="00F94562"/>
    <w:rsid w:val="00F951AA"/>
    <w:rsid w:val="00FA1B4A"/>
    <w:rsid w:val="00FA320A"/>
    <w:rsid w:val="00FB4205"/>
    <w:rsid w:val="00FC1CC2"/>
    <w:rsid w:val="00FC4420"/>
    <w:rsid w:val="00FC47D9"/>
    <w:rsid w:val="00FE254B"/>
    <w:rsid w:val="00FE2F14"/>
    <w:rsid w:val="00FE4BD2"/>
    <w:rsid w:val="00FF5D2D"/>
    <w:rsid w:val="00FF7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10654C"/>
  <w15:docId w15:val="{F1143299-A78D-4D45-B441-AC60BDC49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Batang"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Char"/>
    <w:uiPriority w:val="9"/>
    <w:qFormat/>
    <w:rsid w:val="00C84B89"/>
    <w:pPr>
      <w:keepNext/>
      <w:keepLines/>
      <w:numPr>
        <w:numId w:val="6"/>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6D5E44"/>
    <w:pPr>
      <w:keepNext/>
      <w:keepLines/>
      <w:numPr>
        <w:ilvl w:val="1"/>
        <w:numId w:val="6"/>
      </w:numPr>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647841"/>
    <w:pPr>
      <w:keepNext/>
      <w:keepLines/>
      <w:numPr>
        <w:ilvl w:val="2"/>
        <w:numId w:val="6"/>
      </w:numPr>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unhideWhenUsed/>
    <w:qFormat/>
    <w:rsid w:val="00A71A73"/>
    <w:pPr>
      <w:keepNext/>
      <w:keepLines/>
      <w:numPr>
        <w:ilvl w:val="3"/>
        <w:numId w:val="6"/>
      </w:numPr>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semiHidden/>
    <w:unhideWhenUsed/>
    <w:qFormat/>
    <w:rsid w:val="00A71A73"/>
    <w:pPr>
      <w:keepNext/>
      <w:keepLines/>
      <w:numPr>
        <w:ilvl w:val="4"/>
        <w:numId w:val="6"/>
      </w:numPr>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A71A73"/>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A71A73"/>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A71A73"/>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Char"/>
    <w:uiPriority w:val="9"/>
    <w:semiHidden/>
    <w:unhideWhenUsed/>
    <w:qFormat/>
    <w:rsid w:val="00A71A73"/>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C84B89"/>
    <w:rPr>
      <w:rFonts w:asciiTheme="majorHAnsi" w:eastAsiaTheme="majorEastAsia" w:hAnsiTheme="majorHAnsi" w:cstheme="majorBidi"/>
      <w:b/>
      <w:bCs/>
      <w:color w:val="365F91" w:themeColor="accent1" w:themeShade="BF"/>
      <w:sz w:val="28"/>
      <w:szCs w:val="28"/>
    </w:rPr>
  </w:style>
  <w:style w:type="character" w:styleId="a3">
    <w:name w:val="Hyperlink"/>
    <w:basedOn w:val="a0"/>
    <w:uiPriority w:val="99"/>
    <w:unhideWhenUsed/>
    <w:rsid w:val="0074593E"/>
    <w:rPr>
      <w:color w:val="0000FF" w:themeColor="hyperlink"/>
      <w:u w:val="single"/>
    </w:rPr>
  </w:style>
  <w:style w:type="paragraph" w:styleId="a4">
    <w:name w:val="header"/>
    <w:basedOn w:val="a"/>
    <w:link w:val="Char"/>
    <w:uiPriority w:val="99"/>
    <w:unhideWhenUsed/>
    <w:rsid w:val="0074593E"/>
    <w:pPr>
      <w:tabs>
        <w:tab w:val="center" w:pos="4680"/>
        <w:tab w:val="right" w:pos="9360"/>
      </w:tabs>
      <w:spacing w:after="0" w:line="240" w:lineRule="auto"/>
    </w:pPr>
  </w:style>
  <w:style w:type="character" w:customStyle="1" w:styleId="Char">
    <w:name w:val="머리글 Char"/>
    <w:basedOn w:val="a0"/>
    <w:link w:val="a4"/>
    <w:uiPriority w:val="99"/>
    <w:rsid w:val="0074593E"/>
  </w:style>
  <w:style w:type="paragraph" w:styleId="a5">
    <w:name w:val="footer"/>
    <w:basedOn w:val="a"/>
    <w:link w:val="Char0"/>
    <w:uiPriority w:val="99"/>
    <w:unhideWhenUsed/>
    <w:rsid w:val="0074593E"/>
    <w:pPr>
      <w:tabs>
        <w:tab w:val="center" w:pos="4680"/>
        <w:tab w:val="right" w:pos="9360"/>
      </w:tabs>
      <w:spacing w:after="0" w:line="240" w:lineRule="auto"/>
    </w:pPr>
  </w:style>
  <w:style w:type="character" w:customStyle="1" w:styleId="Char0">
    <w:name w:val="바닥글 Char"/>
    <w:basedOn w:val="a0"/>
    <w:link w:val="a5"/>
    <w:uiPriority w:val="99"/>
    <w:rsid w:val="0074593E"/>
  </w:style>
  <w:style w:type="paragraph" w:styleId="a6">
    <w:name w:val="Balloon Text"/>
    <w:basedOn w:val="a"/>
    <w:link w:val="Char1"/>
    <w:uiPriority w:val="99"/>
    <w:semiHidden/>
    <w:unhideWhenUsed/>
    <w:rsid w:val="0074593E"/>
    <w:pPr>
      <w:spacing w:after="0" w:line="240" w:lineRule="auto"/>
    </w:pPr>
    <w:rPr>
      <w:rFonts w:ascii="Tahoma" w:hAnsi="Tahoma" w:cs="Tahoma"/>
      <w:sz w:val="16"/>
      <w:szCs w:val="16"/>
    </w:rPr>
  </w:style>
  <w:style w:type="character" w:customStyle="1" w:styleId="Char1">
    <w:name w:val="풍선 도움말 텍스트 Char"/>
    <w:basedOn w:val="a0"/>
    <w:link w:val="a6"/>
    <w:uiPriority w:val="99"/>
    <w:semiHidden/>
    <w:rsid w:val="0074593E"/>
    <w:rPr>
      <w:rFonts w:ascii="Tahoma" w:hAnsi="Tahoma" w:cs="Tahoma"/>
      <w:sz w:val="16"/>
      <w:szCs w:val="16"/>
    </w:rPr>
  </w:style>
  <w:style w:type="paragraph" w:styleId="TOC">
    <w:name w:val="TOC Heading"/>
    <w:basedOn w:val="1"/>
    <w:next w:val="a"/>
    <w:uiPriority w:val="39"/>
    <w:unhideWhenUsed/>
    <w:qFormat/>
    <w:rsid w:val="00554190"/>
    <w:pPr>
      <w:outlineLvl w:val="9"/>
    </w:pPr>
    <w:rPr>
      <w:lang w:eastAsia="ja-JP"/>
    </w:rPr>
  </w:style>
  <w:style w:type="paragraph" w:styleId="10">
    <w:name w:val="toc 1"/>
    <w:basedOn w:val="a"/>
    <w:next w:val="a"/>
    <w:autoRedefine/>
    <w:uiPriority w:val="39"/>
    <w:unhideWhenUsed/>
    <w:rsid w:val="00554190"/>
    <w:pPr>
      <w:spacing w:after="100"/>
    </w:pPr>
  </w:style>
  <w:style w:type="paragraph" w:styleId="a7">
    <w:name w:val="Title"/>
    <w:basedOn w:val="a"/>
    <w:next w:val="a"/>
    <w:link w:val="Char2"/>
    <w:uiPriority w:val="10"/>
    <w:qFormat/>
    <w:rsid w:val="0055419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2">
    <w:name w:val="제목 Char"/>
    <w:basedOn w:val="a0"/>
    <w:link w:val="a7"/>
    <w:uiPriority w:val="10"/>
    <w:rsid w:val="00554190"/>
    <w:rPr>
      <w:rFonts w:asciiTheme="majorHAnsi" w:eastAsiaTheme="majorEastAsia" w:hAnsiTheme="majorHAnsi" w:cstheme="majorBidi"/>
      <w:color w:val="17365D" w:themeColor="text2" w:themeShade="BF"/>
      <w:spacing w:val="5"/>
      <w:kern w:val="28"/>
      <w:sz w:val="52"/>
      <w:szCs w:val="52"/>
    </w:rPr>
  </w:style>
  <w:style w:type="paragraph" w:styleId="a8">
    <w:name w:val="List Paragraph"/>
    <w:basedOn w:val="a"/>
    <w:uiPriority w:val="34"/>
    <w:qFormat/>
    <w:rsid w:val="00F65DCD"/>
    <w:pPr>
      <w:ind w:left="720"/>
      <w:contextualSpacing/>
    </w:pPr>
  </w:style>
  <w:style w:type="character" w:customStyle="1" w:styleId="2Char">
    <w:name w:val="제목 2 Char"/>
    <w:basedOn w:val="a0"/>
    <w:link w:val="2"/>
    <w:uiPriority w:val="9"/>
    <w:rsid w:val="006D5E44"/>
    <w:rPr>
      <w:rFonts w:asciiTheme="majorHAnsi" w:eastAsiaTheme="majorEastAsia" w:hAnsiTheme="majorHAnsi" w:cstheme="majorBidi"/>
      <w:b/>
      <w:bCs/>
      <w:color w:val="4F81BD" w:themeColor="accent1"/>
      <w:sz w:val="26"/>
      <w:szCs w:val="26"/>
    </w:rPr>
  </w:style>
  <w:style w:type="paragraph" w:styleId="a9">
    <w:name w:val="caption"/>
    <w:basedOn w:val="a"/>
    <w:next w:val="a"/>
    <w:uiPriority w:val="35"/>
    <w:unhideWhenUsed/>
    <w:qFormat/>
    <w:rsid w:val="00094171"/>
    <w:pPr>
      <w:spacing w:line="240" w:lineRule="auto"/>
    </w:pPr>
    <w:rPr>
      <w:b/>
      <w:bCs/>
      <w:color w:val="4F81BD" w:themeColor="accent1"/>
      <w:sz w:val="18"/>
      <w:szCs w:val="18"/>
    </w:rPr>
  </w:style>
  <w:style w:type="table" w:styleId="aa">
    <w:name w:val="Table Grid"/>
    <w:basedOn w:val="a1"/>
    <w:uiPriority w:val="59"/>
    <w:rsid w:val="00BE41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0">
    <w:name w:val="toc 2"/>
    <w:basedOn w:val="a"/>
    <w:next w:val="a"/>
    <w:autoRedefine/>
    <w:uiPriority w:val="39"/>
    <w:unhideWhenUsed/>
    <w:rsid w:val="007A3783"/>
    <w:pPr>
      <w:spacing w:after="100"/>
      <w:ind w:left="220"/>
    </w:pPr>
  </w:style>
  <w:style w:type="character" w:customStyle="1" w:styleId="3Char">
    <w:name w:val="제목 3 Char"/>
    <w:basedOn w:val="a0"/>
    <w:link w:val="3"/>
    <w:uiPriority w:val="9"/>
    <w:rsid w:val="00647841"/>
    <w:rPr>
      <w:rFonts w:asciiTheme="majorHAnsi" w:eastAsiaTheme="majorEastAsia" w:hAnsiTheme="majorHAnsi" w:cstheme="majorBidi"/>
      <w:b/>
      <w:bCs/>
      <w:color w:val="4F81BD" w:themeColor="accent1"/>
    </w:rPr>
  </w:style>
  <w:style w:type="character" w:customStyle="1" w:styleId="4Char">
    <w:name w:val="제목 4 Char"/>
    <w:basedOn w:val="a0"/>
    <w:link w:val="4"/>
    <w:uiPriority w:val="9"/>
    <w:rsid w:val="00A71A73"/>
    <w:rPr>
      <w:rFonts w:asciiTheme="majorHAnsi" w:eastAsiaTheme="majorEastAsia" w:hAnsiTheme="majorHAnsi" w:cstheme="majorBidi"/>
      <w:b/>
      <w:bCs/>
      <w:i/>
      <w:iCs/>
      <w:color w:val="4F81BD" w:themeColor="accent1"/>
    </w:rPr>
  </w:style>
  <w:style w:type="character" w:customStyle="1" w:styleId="5Char">
    <w:name w:val="제목 5 Char"/>
    <w:basedOn w:val="a0"/>
    <w:link w:val="5"/>
    <w:uiPriority w:val="9"/>
    <w:semiHidden/>
    <w:rsid w:val="00A71A73"/>
    <w:rPr>
      <w:rFonts w:asciiTheme="majorHAnsi" w:eastAsiaTheme="majorEastAsia" w:hAnsiTheme="majorHAnsi" w:cstheme="majorBidi"/>
      <w:color w:val="243F60" w:themeColor="accent1" w:themeShade="7F"/>
    </w:rPr>
  </w:style>
  <w:style w:type="character" w:customStyle="1" w:styleId="6Char">
    <w:name w:val="제목 6 Char"/>
    <w:basedOn w:val="a0"/>
    <w:link w:val="6"/>
    <w:uiPriority w:val="9"/>
    <w:semiHidden/>
    <w:rsid w:val="00A71A73"/>
    <w:rPr>
      <w:rFonts w:asciiTheme="majorHAnsi" w:eastAsiaTheme="majorEastAsia" w:hAnsiTheme="majorHAnsi" w:cstheme="majorBidi"/>
      <w:i/>
      <w:iCs/>
      <w:color w:val="243F60" w:themeColor="accent1" w:themeShade="7F"/>
    </w:rPr>
  </w:style>
  <w:style w:type="character" w:customStyle="1" w:styleId="7Char">
    <w:name w:val="제목 7 Char"/>
    <w:basedOn w:val="a0"/>
    <w:link w:val="7"/>
    <w:uiPriority w:val="9"/>
    <w:semiHidden/>
    <w:rsid w:val="00A71A73"/>
    <w:rPr>
      <w:rFonts w:asciiTheme="majorHAnsi" w:eastAsiaTheme="majorEastAsia" w:hAnsiTheme="majorHAnsi" w:cstheme="majorBidi"/>
      <w:i/>
      <w:iCs/>
      <w:color w:val="404040" w:themeColor="text1" w:themeTint="BF"/>
    </w:rPr>
  </w:style>
  <w:style w:type="character" w:customStyle="1" w:styleId="8Char">
    <w:name w:val="제목 8 Char"/>
    <w:basedOn w:val="a0"/>
    <w:link w:val="8"/>
    <w:uiPriority w:val="9"/>
    <w:semiHidden/>
    <w:rsid w:val="00A71A73"/>
    <w:rPr>
      <w:rFonts w:asciiTheme="majorHAnsi" w:eastAsiaTheme="majorEastAsia" w:hAnsiTheme="majorHAnsi" w:cstheme="majorBidi"/>
      <w:color w:val="404040" w:themeColor="text1" w:themeTint="BF"/>
      <w:sz w:val="20"/>
      <w:szCs w:val="20"/>
    </w:rPr>
  </w:style>
  <w:style w:type="character" w:customStyle="1" w:styleId="9Char">
    <w:name w:val="제목 9 Char"/>
    <w:basedOn w:val="a0"/>
    <w:link w:val="9"/>
    <w:uiPriority w:val="9"/>
    <w:semiHidden/>
    <w:rsid w:val="00A71A73"/>
    <w:rPr>
      <w:rFonts w:asciiTheme="majorHAnsi" w:eastAsiaTheme="majorEastAsia" w:hAnsiTheme="majorHAnsi" w:cstheme="majorBidi"/>
      <w:i/>
      <w:iCs/>
      <w:color w:val="404040" w:themeColor="text1" w:themeTint="BF"/>
      <w:sz w:val="20"/>
      <w:szCs w:val="20"/>
    </w:rPr>
  </w:style>
  <w:style w:type="paragraph" w:styleId="ab">
    <w:name w:val="No Spacing"/>
    <w:uiPriority w:val="1"/>
    <w:qFormat/>
    <w:rsid w:val="00E61242"/>
    <w:pPr>
      <w:spacing w:after="0" w:line="240" w:lineRule="auto"/>
    </w:pPr>
  </w:style>
  <w:style w:type="paragraph" w:styleId="30">
    <w:name w:val="toc 3"/>
    <w:basedOn w:val="a"/>
    <w:next w:val="a"/>
    <w:autoRedefine/>
    <w:uiPriority w:val="39"/>
    <w:unhideWhenUsed/>
    <w:rsid w:val="000F0CE6"/>
    <w:pPr>
      <w:spacing w:after="100"/>
      <w:ind w:left="440"/>
    </w:pPr>
  </w:style>
  <w:style w:type="character" w:customStyle="1" w:styleId="fontstyle01">
    <w:name w:val="fontstyle01"/>
    <w:basedOn w:val="a0"/>
    <w:rsid w:val="00A201D8"/>
    <w:rPr>
      <w:rFonts w:ascii="TimesNewRomanPSMT" w:hAnsi="TimesNewRomanPSMT" w:hint="default"/>
      <w:b w:val="0"/>
      <w:bCs w:val="0"/>
      <w:i w:val="0"/>
      <w:iCs w:val="0"/>
      <w:color w:val="000000"/>
      <w:sz w:val="20"/>
      <w:szCs w:val="20"/>
    </w:rPr>
  </w:style>
  <w:style w:type="character" w:customStyle="1" w:styleId="fontstyle21">
    <w:name w:val="fontstyle21"/>
    <w:basedOn w:val="a0"/>
    <w:rsid w:val="00A201D8"/>
    <w:rPr>
      <w:rFonts w:ascii="TimesNewRomanPS-ItalicMT" w:hAnsi="TimesNewRomanPS-ItalicMT" w:hint="default"/>
      <w:b w:val="0"/>
      <w:bCs w:val="0"/>
      <w:i/>
      <w:iCs/>
      <w:color w:val="000000"/>
      <w:sz w:val="20"/>
      <w:szCs w:val="20"/>
    </w:rPr>
  </w:style>
  <w:style w:type="paragraph" w:customStyle="1" w:styleId="EndNoteBibliographyTitle">
    <w:name w:val="EndNote Bibliography Title"/>
    <w:basedOn w:val="a"/>
    <w:link w:val="EndNoteBibliographyTitleChar"/>
    <w:rsid w:val="00176A9A"/>
    <w:pPr>
      <w:spacing w:after="0"/>
      <w:jc w:val="center"/>
    </w:pPr>
    <w:rPr>
      <w:rFonts w:ascii="Calibri" w:hAnsi="Calibri" w:cs="Calibri"/>
      <w:noProof/>
    </w:rPr>
  </w:style>
  <w:style w:type="character" w:customStyle="1" w:styleId="EndNoteBibliographyTitleChar">
    <w:name w:val="EndNote Bibliography Title Char"/>
    <w:basedOn w:val="a0"/>
    <w:link w:val="EndNoteBibliographyTitle"/>
    <w:rsid w:val="00176A9A"/>
    <w:rPr>
      <w:rFonts w:ascii="Calibri" w:hAnsi="Calibri" w:cs="Calibri"/>
      <w:noProof/>
    </w:rPr>
  </w:style>
  <w:style w:type="paragraph" w:customStyle="1" w:styleId="EndNoteBibliography">
    <w:name w:val="EndNote Bibliography"/>
    <w:basedOn w:val="a"/>
    <w:link w:val="EndNoteBibliographyChar"/>
    <w:rsid w:val="00176A9A"/>
    <w:pPr>
      <w:spacing w:line="240" w:lineRule="auto"/>
    </w:pPr>
    <w:rPr>
      <w:rFonts w:ascii="Calibri" w:hAnsi="Calibri" w:cs="Calibri"/>
      <w:noProof/>
    </w:rPr>
  </w:style>
  <w:style w:type="character" w:customStyle="1" w:styleId="EndNoteBibliographyChar">
    <w:name w:val="EndNote Bibliography Char"/>
    <w:basedOn w:val="a0"/>
    <w:link w:val="EndNoteBibliography"/>
    <w:rsid w:val="00176A9A"/>
    <w:rPr>
      <w:rFonts w:ascii="Calibri" w:hAnsi="Calibri" w:cs="Calibri"/>
      <w:noProof/>
    </w:rPr>
  </w:style>
  <w:style w:type="paragraph" w:styleId="ac">
    <w:name w:val="Bibliography"/>
    <w:basedOn w:val="a"/>
    <w:next w:val="a"/>
    <w:uiPriority w:val="37"/>
    <w:unhideWhenUsed/>
    <w:rsid w:val="0062771D"/>
    <w:pPr>
      <w:tabs>
        <w:tab w:val="left" w:pos="384"/>
      </w:tabs>
      <w:spacing w:after="0" w:line="480" w:lineRule="auto"/>
      <w:ind w:left="384" w:hanging="384"/>
    </w:pPr>
  </w:style>
  <w:style w:type="character" w:customStyle="1" w:styleId="readonlyfield">
    <w:name w:val="readonlyfield"/>
    <w:basedOn w:val="a0"/>
    <w:rsid w:val="00921905"/>
  </w:style>
  <w:style w:type="character" w:customStyle="1" w:styleId="numericfield">
    <w:name w:val="numericfield"/>
    <w:basedOn w:val="a0"/>
    <w:rsid w:val="009219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838126">
      <w:bodyDiv w:val="1"/>
      <w:marLeft w:val="0"/>
      <w:marRight w:val="0"/>
      <w:marTop w:val="0"/>
      <w:marBottom w:val="0"/>
      <w:divBdr>
        <w:top w:val="none" w:sz="0" w:space="0" w:color="auto"/>
        <w:left w:val="none" w:sz="0" w:space="0" w:color="auto"/>
        <w:bottom w:val="none" w:sz="0" w:space="0" w:color="auto"/>
        <w:right w:val="none" w:sz="0" w:space="0" w:color="auto"/>
      </w:divBdr>
    </w:div>
    <w:div w:id="151726840">
      <w:bodyDiv w:val="1"/>
      <w:marLeft w:val="0"/>
      <w:marRight w:val="0"/>
      <w:marTop w:val="0"/>
      <w:marBottom w:val="0"/>
      <w:divBdr>
        <w:top w:val="none" w:sz="0" w:space="0" w:color="auto"/>
        <w:left w:val="none" w:sz="0" w:space="0" w:color="auto"/>
        <w:bottom w:val="none" w:sz="0" w:space="0" w:color="auto"/>
        <w:right w:val="none" w:sz="0" w:space="0" w:color="auto"/>
      </w:divBdr>
      <w:divsChild>
        <w:div w:id="722605857">
          <w:marLeft w:val="0"/>
          <w:marRight w:val="0"/>
          <w:marTop w:val="180"/>
          <w:marBottom w:val="45"/>
          <w:divBdr>
            <w:top w:val="none" w:sz="0" w:space="0" w:color="auto"/>
            <w:left w:val="none" w:sz="0" w:space="0" w:color="auto"/>
            <w:bottom w:val="none" w:sz="0" w:space="0" w:color="auto"/>
            <w:right w:val="none" w:sz="0" w:space="0" w:color="auto"/>
          </w:divBdr>
        </w:div>
        <w:div w:id="388306093">
          <w:marLeft w:val="0"/>
          <w:marRight w:val="0"/>
          <w:marTop w:val="0"/>
          <w:marBottom w:val="0"/>
          <w:divBdr>
            <w:top w:val="none" w:sz="0" w:space="0" w:color="auto"/>
            <w:left w:val="none" w:sz="0" w:space="0" w:color="auto"/>
            <w:bottom w:val="none" w:sz="0" w:space="0" w:color="auto"/>
            <w:right w:val="none" w:sz="0" w:space="0" w:color="auto"/>
          </w:divBdr>
        </w:div>
        <w:div w:id="1191258121">
          <w:marLeft w:val="0"/>
          <w:marRight w:val="0"/>
          <w:marTop w:val="0"/>
          <w:marBottom w:val="0"/>
          <w:divBdr>
            <w:top w:val="none" w:sz="0" w:space="0" w:color="auto"/>
            <w:left w:val="none" w:sz="0" w:space="0" w:color="auto"/>
            <w:bottom w:val="none" w:sz="0" w:space="0" w:color="auto"/>
            <w:right w:val="none" w:sz="0" w:space="0" w:color="auto"/>
          </w:divBdr>
        </w:div>
        <w:div w:id="46538546">
          <w:marLeft w:val="0"/>
          <w:marRight w:val="0"/>
          <w:marTop w:val="0"/>
          <w:marBottom w:val="0"/>
          <w:divBdr>
            <w:top w:val="none" w:sz="0" w:space="0" w:color="auto"/>
            <w:left w:val="none" w:sz="0" w:space="0" w:color="auto"/>
            <w:bottom w:val="none" w:sz="0" w:space="0" w:color="auto"/>
            <w:right w:val="none" w:sz="0" w:space="0" w:color="auto"/>
          </w:divBdr>
          <w:divsChild>
            <w:div w:id="2032487210">
              <w:marLeft w:val="0"/>
              <w:marRight w:val="0"/>
              <w:marTop w:val="180"/>
              <w:marBottom w:val="45"/>
              <w:divBdr>
                <w:top w:val="none" w:sz="0" w:space="0" w:color="auto"/>
                <w:left w:val="none" w:sz="0" w:space="0" w:color="auto"/>
                <w:bottom w:val="none" w:sz="0" w:space="0" w:color="auto"/>
                <w:right w:val="none" w:sz="0" w:space="0" w:color="auto"/>
              </w:divBdr>
            </w:div>
            <w:div w:id="973870882">
              <w:marLeft w:val="0"/>
              <w:marRight w:val="0"/>
              <w:marTop w:val="0"/>
              <w:marBottom w:val="0"/>
              <w:divBdr>
                <w:top w:val="none" w:sz="0" w:space="0" w:color="auto"/>
                <w:left w:val="none" w:sz="0" w:space="0" w:color="auto"/>
                <w:bottom w:val="none" w:sz="0" w:space="0" w:color="auto"/>
                <w:right w:val="none" w:sz="0" w:space="0" w:color="auto"/>
              </w:divBdr>
              <w:divsChild>
                <w:div w:id="836533453">
                  <w:marLeft w:val="0"/>
                  <w:marRight w:val="0"/>
                  <w:marTop w:val="0"/>
                  <w:marBottom w:val="0"/>
                  <w:divBdr>
                    <w:top w:val="none" w:sz="0" w:space="0" w:color="auto"/>
                    <w:left w:val="none" w:sz="0" w:space="0" w:color="auto"/>
                    <w:bottom w:val="none" w:sz="0" w:space="0" w:color="auto"/>
                    <w:right w:val="none" w:sz="0" w:space="0" w:color="auto"/>
                  </w:divBdr>
                </w:div>
                <w:div w:id="262230663">
                  <w:marLeft w:val="0"/>
                  <w:marRight w:val="0"/>
                  <w:marTop w:val="0"/>
                  <w:marBottom w:val="0"/>
                  <w:divBdr>
                    <w:top w:val="none" w:sz="0" w:space="0" w:color="auto"/>
                    <w:left w:val="none" w:sz="0" w:space="0" w:color="auto"/>
                    <w:bottom w:val="none" w:sz="0" w:space="0" w:color="auto"/>
                    <w:right w:val="none" w:sz="0" w:space="0" w:color="auto"/>
                  </w:divBdr>
                </w:div>
                <w:div w:id="453329681">
                  <w:marLeft w:val="0"/>
                  <w:marRight w:val="0"/>
                  <w:marTop w:val="0"/>
                  <w:marBottom w:val="0"/>
                  <w:divBdr>
                    <w:top w:val="none" w:sz="0" w:space="0" w:color="auto"/>
                    <w:left w:val="none" w:sz="0" w:space="0" w:color="auto"/>
                    <w:bottom w:val="none" w:sz="0" w:space="0" w:color="auto"/>
                    <w:right w:val="none" w:sz="0" w:space="0" w:color="auto"/>
                  </w:divBdr>
                </w:div>
                <w:div w:id="633830529">
                  <w:marLeft w:val="0"/>
                  <w:marRight w:val="0"/>
                  <w:marTop w:val="0"/>
                  <w:marBottom w:val="0"/>
                  <w:divBdr>
                    <w:top w:val="none" w:sz="0" w:space="0" w:color="auto"/>
                    <w:left w:val="none" w:sz="0" w:space="0" w:color="auto"/>
                    <w:bottom w:val="none" w:sz="0" w:space="0" w:color="auto"/>
                    <w:right w:val="none" w:sz="0" w:space="0" w:color="auto"/>
                  </w:divBdr>
                </w:div>
                <w:div w:id="606473455">
                  <w:marLeft w:val="0"/>
                  <w:marRight w:val="0"/>
                  <w:marTop w:val="0"/>
                  <w:marBottom w:val="0"/>
                  <w:divBdr>
                    <w:top w:val="none" w:sz="0" w:space="0" w:color="auto"/>
                    <w:left w:val="none" w:sz="0" w:space="0" w:color="auto"/>
                    <w:bottom w:val="none" w:sz="0" w:space="0" w:color="auto"/>
                    <w:right w:val="none" w:sz="0" w:space="0" w:color="auto"/>
                  </w:divBdr>
                </w:div>
                <w:div w:id="1245996860">
                  <w:marLeft w:val="0"/>
                  <w:marRight w:val="0"/>
                  <w:marTop w:val="0"/>
                  <w:marBottom w:val="0"/>
                  <w:divBdr>
                    <w:top w:val="none" w:sz="0" w:space="0" w:color="auto"/>
                    <w:left w:val="none" w:sz="0" w:space="0" w:color="auto"/>
                    <w:bottom w:val="none" w:sz="0" w:space="0" w:color="auto"/>
                    <w:right w:val="none" w:sz="0" w:space="0" w:color="auto"/>
                  </w:divBdr>
                </w:div>
                <w:div w:id="318846776">
                  <w:marLeft w:val="0"/>
                  <w:marRight w:val="0"/>
                  <w:marTop w:val="0"/>
                  <w:marBottom w:val="0"/>
                  <w:divBdr>
                    <w:top w:val="none" w:sz="0" w:space="0" w:color="auto"/>
                    <w:left w:val="none" w:sz="0" w:space="0" w:color="auto"/>
                    <w:bottom w:val="none" w:sz="0" w:space="0" w:color="auto"/>
                    <w:right w:val="none" w:sz="0" w:space="0" w:color="auto"/>
                  </w:divBdr>
                </w:div>
                <w:div w:id="178653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335384">
          <w:marLeft w:val="0"/>
          <w:marRight w:val="0"/>
          <w:marTop w:val="0"/>
          <w:marBottom w:val="0"/>
          <w:divBdr>
            <w:top w:val="none" w:sz="0" w:space="0" w:color="auto"/>
            <w:left w:val="none" w:sz="0" w:space="0" w:color="auto"/>
            <w:bottom w:val="none" w:sz="0" w:space="0" w:color="auto"/>
            <w:right w:val="none" w:sz="0" w:space="0" w:color="auto"/>
          </w:divBdr>
        </w:div>
        <w:div w:id="1493713769">
          <w:marLeft w:val="0"/>
          <w:marRight w:val="0"/>
          <w:marTop w:val="180"/>
          <w:marBottom w:val="45"/>
          <w:divBdr>
            <w:top w:val="none" w:sz="0" w:space="0" w:color="auto"/>
            <w:left w:val="none" w:sz="0" w:space="0" w:color="auto"/>
            <w:bottom w:val="none" w:sz="0" w:space="0" w:color="auto"/>
            <w:right w:val="none" w:sz="0" w:space="0" w:color="auto"/>
          </w:divBdr>
        </w:div>
        <w:div w:id="1725520585">
          <w:marLeft w:val="0"/>
          <w:marRight w:val="0"/>
          <w:marTop w:val="0"/>
          <w:marBottom w:val="0"/>
          <w:divBdr>
            <w:top w:val="none" w:sz="0" w:space="0" w:color="auto"/>
            <w:left w:val="none" w:sz="0" w:space="0" w:color="auto"/>
            <w:bottom w:val="none" w:sz="0" w:space="0" w:color="auto"/>
            <w:right w:val="none" w:sz="0" w:space="0" w:color="auto"/>
          </w:divBdr>
          <w:divsChild>
            <w:div w:id="1197815297">
              <w:marLeft w:val="0"/>
              <w:marRight w:val="0"/>
              <w:marTop w:val="0"/>
              <w:marBottom w:val="0"/>
              <w:divBdr>
                <w:top w:val="none" w:sz="0" w:space="0" w:color="auto"/>
                <w:left w:val="none" w:sz="0" w:space="0" w:color="auto"/>
                <w:bottom w:val="none" w:sz="0" w:space="0" w:color="auto"/>
                <w:right w:val="none" w:sz="0" w:space="0" w:color="auto"/>
              </w:divBdr>
              <w:divsChild>
                <w:div w:id="998579351">
                  <w:marLeft w:val="0"/>
                  <w:marRight w:val="0"/>
                  <w:marTop w:val="180"/>
                  <w:marBottom w:val="45"/>
                  <w:divBdr>
                    <w:top w:val="none" w:sz="0" w:space="0" w:color="auto"/>
                    <w:left w:val="none" w:sz="0" w:space="0" w:color="auto"/>
                    <w:bottom w:val="none" w:sz="0" w:space="0" w:color="auto"/>
                    <w:right w:val="none" w:sz="0" w:space="0" w:color="auto"/>
                  </w:divBdr>
                </w:div>
                <w:div w:id="1574701179">
                  <w:marLeft w:val="0"/>
                  <w:marRight w:val="0"/>
                  <w:marTop w:val="0"/>
                  <w:marBottom w:val="0"/>
                  <w:divBdr>
                    <w:top w:val="none" w:sz="0" w:space="0" w:color="auto"/>
                    <w:left w:val="none" w:sz="0" w:space="0" w:color="auto"/>
                    <w:bottom w:val="none" w:sz="0" w:space="0" w:color="auto"/>
                    <w:right w:val="none" w:sz="0" w:space="0" w:color="auto"/>
                  </w:divBdr>
                </w:div>
                <w:div w:id="67568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8923">
          <w:marLeft w:val="0"/>
          <w:marRight w:val="0"/>
          <w:marTop w:val="180"/>
          <w:marBottom w:val="45"/>
          <w:divBdr>
            <w:top w:val="none" w:sz="0" w:space="0" w:color="auto"/>
            <w:left w:val="none" w:sz="0" w:space="0" w:color="auto"/>
            <w:bottom w:val="none" w:sz="0" w:space="0" w:color="auto"/>
            <w:right w:val="none" w:sz="0" w:space="0" w:color="auto"/>
          </w:divBdr>
        </w:div>
        <w:div w:id="1239553553">
          <w:marLeft w:val="0"/>
          <w:marRight w:val="0"/>
          <w:marTop w:val="0"/>
          <w:marBottom w:val="0"/>
          <w:divBdr>
            <w:top w:val="none" w:sz="0" w:space="0" w:color="auto"/>
            <w:left w:val="none" w:sz="0" w:space="0" w:color="auto"/>
            <w:bottom w:val="none" w:sz="0" w:space="0" w:color="auto"/>
            <w:right w:val="none" w:sz="0" w:space="0" w:color="auto"/>
          </w:divBdr>
        </w:div>
      </w:divsChild>
    </w:div>
    <w:div w:id="322516378">
      <w:bodyDiv w:val="1"/>
      <w:marLeft w:val="0"/>
      <w:marRight w:val="0"/>
      <w:marTop w:val="0"/>
      <w:marBottom w:val="0"/>
      <w:divBdr>
        <w:top w:val="none" w:sz="0" w:space="0" w:color="auto"/>
        <w:left w:val="none" w:sz="0" w:space="0" w:color="auto"/>
        <w:bottom w:val="none" w:sz="0" w:space="0" w:color="auto"/>
        <w:right w:val="none" w:sz="0" w:space="0" w:color="auto"/>
      </w:divBdr>
    </w:div>
    <w:div w:id="428349901">
      <w:bodyDiv w:val="1"/>
      <w:marLeft w:val="0"/>
      <w:marRight w:val="0"/>
      <w:marTop w:val="0"/>
      <w:marBottom w:val="0"/>
      <w:divBdr>
        <w:top w:val="none" w:sz="0" w:space="0" w:color="auto"/>
        <w:left w:val="none" w:sz="0" w:space="0" w:color="auto"/>
        <w:bottom w:val="none" w:sz="0" w:space="0" w:color="auto"/>
        <w:right w:val="none" w:sz="0" w:space="0" w:color="auto"/>
      </w:divBdr>
    </w:div>
    <w:div w:id="769010162">
      <w:bodyDiv w:val="1"/>
      <w:marLeft w:val="0"/>
      <w:marRight w:val="0"/>
      <w:marTop w:val="0"/>
      <w:marBottom w:val="0"/>
      <w:divBdr>
        <w:top w:val="none" w:sz="0" w:space="0" w:color="auto"/>
        <w:left w:val="none" w:sz="0" w:space="0" w:color="auto"/>
        <w:bottom w:val="none" w:sz="0" w:space="0" w:color="auto"/>
        <w:right w:val="none" w:sz="0" w:space="0" w:color="auto"/>
      </w:divBdr>
    </w:div>
    <w:div w:id="1350722259">
      <w:bodyDiv w:val="1"/>
      <w:marLeft w:val="0"/>
      <w:marRight w:val="0"/>
      <w:marTop w:val="0"/>
      <w:marBottom w:val="0"/>
      <w:divBdr>
        <w:top w:val="none" w:sz="0" w:space="0" w:color="auto"/>
        <w:left w:val="none" w:sz="0" w:space="0" w:color="auto"/>
        <w:bottom w:val="none" w:sz="0" w:space="0" w:color="auto"/>
        <w:right w:val="none" w:sz="0" w:space="0" w:color="auto"/>
      </w:divBdr>
    </w:div>
    <w:div w:id="1389570553">
      <w:bodyDiv w:val="1"/>
      <w:marLeft w:val="0"/>
      <w:marRight w:val="0"/>
      <w:marTop w:val="0"/>
      <w:marBottom w:val="0"/>
      <w:divBdr>
        <w:top w:val="none" w:sz="0" w:space="0" w:color="auto"/>
        <w:left w:val="none" w:sz="0" w:space="0" w:color="auto"/>
        <w:bottom w:val="none" w:sz="0" w:space="0" w:color="auto"/>
        <w:right w:val="none" w:sz="0" w:space="0" w:color="auto"/>
      </w:divBdr>
      <w:divsChild>
        <w:div w:id="1864323513">
          <w:marLeft w:val="0"/>
          <w:marRight w:val="0"/>
          <w:marTop w:val="180"/>
          <w:marBottom w:val="45"/>
          <w:divBdr>
            <w:top w:val="none" w:sz="0" w:space="0" w:color="auto"/>
            <w:left w:val="none" w:sz="0" w:space="0" w:color="auto"/>
            <w:bottom w:val="none" w:sz="0" w:space="0" w:color="auto"/>
            <w:right w:val="none" w:sz="0" w:space="0" w:color="auto"/>
          </w:divBdr>
        </w:div>
        <w:div w:id="1655447414">
          <w:marLeft w:val="0"/>
          <w:marRight w:val="0"/>
          <w:marTop w:val="0"/>
          <w:marBottom w:val="0"/>
          <w:divBdr>
            <w:top w:val="none" w:sz="0" w:space="0" w:color="auto"/>
            <w:left w:val="none" w:sz="0" w:space="0" w:color="auto"/>
            <w:bottom w:val="none" w:sz="0" w:space="0" w:color="auto"/>
            <w:right w:val="none" w:sz="0" w:space="0" w:color="auto"/>
          </w:divBdr>
        </w:div>
        <w:div w:id="2092924788">
          <w:marLeft w:val="0"/>
          <w:marRight w:val="0"/>
          <w:marTop w:val="0"/>
          <w:marBottom w:val="0"/>
          <w:divBdr>
            <w:top w:val="none" w:sz="0" w:space="0" w:color="auto"/>
            <w:left w:val="none" w:sz="0" w:space="0" w:color="auto"/>
            <w:bottom w:val="none" w:sz="0" w:space="0" w:color="auto"/>
            <w:right w:val="none" w:sz="0" w:space="0" w:color="auto"/>
          </w:divBdr>
        </w:div>
        <w:div w:id="843322234">
          <w:marLeft w:val="0"/>
          <w:marRight w:val="0"/>
          <w:marTop w:val="0"/>
          <w:marBottom w:val="0"/>
          <w:divBdr>
            <w:top w:val="none" w:sz="0" w:space="0" w:color="auto"/>
            <w:left w:val="none" w:sz="0" w:space="0" w:color="auto"/>
            <w:bottom w:val="none" w:sz="0" w:space="0" w:color="auto"/>
            <w:right w:val="none" w:sz="0" w:space="0" w:color="auto"/>
          </w:divBdr>
          <w:divsChild>
            <w:div w:id="1130979105">
              <w:marLeft w:val="0"/>
              <w:marRight w:val="0"/>
              <w:marTop w:val="180"/>
              <w:marBottom w:val="45"/>
              <w:divBdr>
                <w:top w:val="none" w:sz="0" w:space="0" w:color="auto"/>
                <w:left w:val="none" w:sz="0" w:space="0" w:color="auto"/>
                <w:bottom w:val="none" w:sz="0" w:space="0" w:color="auto"/>
                <w:right w:val="none" w:sz="0" w:space="0" w:color="auto"/>
              </w:divBdr>
            </w:div>
            <w:div w:id="1414543735">
              <w:marLeft w:val="0"/>
              <w:marRight w:val="0"/>
              <w:marTop w:val="0"/>
              <w:marBottom w:val="0"/>
              <w:divBdr>
                <w:top w:val="none" w:sz="0" w:space="0" w:color="auto"/>
                <w:left w:val="none" w:sz="0" w:space="0" w:color="auto"/>
                <w:bottom w:val="none" w:sz="0" w:space="0" w:color="auto"/>
                <w:right w:val="none" w:sz="0" w:space="0" w:color="auto"/>
              </w:divBdr>
              <w:divsChild>
                <w:div w:id="164713104">
                  <w:marLeft w:val="0"/>
                  <w:marRight w:val="0"/>
                  <w:marTop w:val="0"/>
                  <w:marBottom w:val="0"/>
                  <w:divBdr>
                    <w:top w:val="none" w:sz="0" w:space="0" w:color="auto"/>
                    <w:left w:val="none" w:sz="0" w:space="0" w:color="auto"/>
                    <w:bottom w:val="none" w:sz="0" w:space="0" w:color="auto"/>
                    <w:right w:val="none" w:sz="0" w:space="0" w:color="auto"/>
                  </w:divBdr>
                </w:div>
                <w:div w:id="2040088260">
                  <w:marLeft w:val="0"/>
                  <w:marRight w:val="0"/>
                  <w:marTop w:val="0"/>
                  <w:marBottom w:val="0"/>
                  <w:divBdr>
                    <w:top w:val="none" w:sz="0" w:space="0" w:color="auto"/>
                    <w:left w:val="none" w:sz="0" w:space="0" w:color="auto"/>
                    <w:bottom w:val="none" w:sz="0" w:space="0" w:color="auto"/>
                    <w:right w:val="none" w:sz="0" w:space="0" w:color="auto"/>
                  </w:divBdr>
                </w:div>
                <w:div w:id="165630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936891">
          <w:marLeft w:val="0"/>
          <w:marRight w:val="0"/>
          <w:marTop w:val="0"/>
          <w:marBottom w:val="0"/>
          <w:divBdr>
            <w:top w:val="none" w:sz="0" w:space="0" w:color="auto"/>
            <w:left w:val="none" w:sz="0" w:space="0" w:color="auto"/>
            <w:bottom w:val="none" w:sz="0" w:space="0" w:color="auto"/>
            <w:right w:val="none" w:sz="0" w:space="0" w:color="auto"/>
          </w:divBdr>
        </w:div>
      </w:divsChild>
    </w:div>
    <w:div w:id="1392386208">
      <w:bodyDiv w:val="1"/>
      <w:marLeft w:val="0"/>
      <w:marRight w:val="0"/>
      <w:marTop w:val="0"/>
      <w:marBottom w:val="0"/>
      <w:divBdr>
        <w:top w:val="none" w:sz="0" w:space="0" w:color="auto"/>
        <w:left w:val="none" w:sz="0" w:space="0" w:color="auto"/>
        <w:bottom w:val="none" w:sz="0" w:space="0" w:color="auto"/>
        <w:right w:val="none" w:sz="0" w:space="0" w:color="auto"/>
      </w:divBdr>
    </w:div>
    <w:div w:id="1708485813">
      <w:bodyDiv w:val="1"/>
      <w:marLeft w:val="0"/>
      <w:marRight w:val="0"/>
      <w:marTop w:val="0"/>
      <w:marBottom w:val="0"/>
      <w:divBdr>
        <w:top w:val="none" w:sz="0" w:space="0" w:color="auto"/>
        <w:left w:val="none" w:sz="0" w:space="0" w:color="auto"/>
        <w:bottom w:val="none" w:sz="0" w:space="0" w:color="auto"/>
        <w:right w:val="none" w:sz="0" w:space="0" w:color="auto"/>
      </w:divBdr>
      <w:divsChild>
        <w:div w:id="465855055">
          <w:marLeft w:val="0"/>
          <w:marRight w:val="0"/>
          <w:marTop w:val="180"/>
          <w:marBottom w:val="45"/>
          <w:divBdr>
            <w:top w:val="none" w:sz="0" w:space="0" w:color="auto"/>
            <w:left w:val="none" w:sz="0" w:space="0" w:color="auto"/>
            <w:bottom w:val="none" w:sz="0" w:space="0" w:color="auto"/>
            <w:right w:val="none" w:sz="0" w:space="0" w:color="auto"/>
          </w:divBdr>
        </w:div>
        <w:div w:id="346248367">
          <w:marLeft w:val="0"/>
          <w:marRight w:val="0"/>
          <w:marTop w:val="0"/>
          <w:marBottom w:val="0"/>
          <w:divBdr>
            <w:top w:val="none" w:sz="0" w:space="0" w:color="auto"/>
            <w:left w:val="none" w:sz="0" w:space="0" w:color="auto"/>
            <w:bottom w:val="none" w:sz="0" w:space="0" w:color="auto"/>
            <w:right w:val="none" w:sz="0" w:space="0" w:color="auto"/>
          </w:divBdr>
        </w:div>
        <w:div w:id="1364938342">
          <w:marLeft w:val="0"/>
          <w:marRight w:val="0"/>
          <w:marTop w:val="0"/>
          <w:marBottom w:val="0"/>
          <w:divBdr>
            <w:top w:val="none" w:sz="0" w:space="0" w:color="auto"/>
            <w:left w:val="none" w:sz="0" w:space="0" w:color="auto"/>
            <w:bottom w:val="none" w:sz="0" w:space="0" w:color="auto"/>
            <w:right w:val="none" w:sz="0" w:space="0" w:color="auto"/>
          </w:divBdr>
        </w:div>
        <w:div w:id="527064252">
          <w:marLeft w:val="0"/>
          <w:marRight w:val="0"/>
          <w:marTop w:val="0"/>
          <w:marBottom w:val="0"/>
          <w:divBdr>
            <w:top w:val="none" w:sz="0" w:space="0" w:color="auto"/>
            <w:left w:val="none" w:sz="0" w:space="0" w:color="auto"/>
            <w:bottom w:val="none" w:sz="0" w:space="0" w:color="auto"/>
            <w:right w:val="none" w:sz="0" w:space="0" w:color="auto"/>
          </w:divBdr>
          <w:divsChild>
            <w:div w:id="1121221082">
              <w:marLeft w:val="0"/>
              <w:marRight w:val="0"/>
              <w:marTop w:val="180"/>
              <w:marBottom w:val="45"/>
              <w:divBdr>
                <w:top w:val="none" w:sz="0" w:space="0" w:color="auto"/>
                <w:left w:val="none" w:sz="0" w:space="0" w:color="auto"/>
                <w:bottom w:val="none" w:sz="0" w:space="0" w:color="auto"/>
                <w:right w:val="none" w:sz="0" w:space="0" w:color="auto"/>
              </w:divBdr>
            </w:div>
            <w:div w:id="662124872">
              <w:marLeft w:val="0"/>
              <w:marRight w:val="0"/>
              <w:marTop w:val="0"/>
              <w:marBottom w:val="0"/>
              <w:divBdr>
                <w:top w:val="none" w:sz="0" w:space="0" w:color="auto"/>
                <w:left w:val="none" w:sz="0" w:space="0" w:color="auto"/>
                <w:bottom w:val="none" w:sz="0" w:space="0" w:color="auto"/>
                <w:right w:val="none" w:sz="0" w:space="0" w:color="auto"/>
              </w:divBdr>
              <w:divsChild>
                <w:div w:id="1579711912">
                  <w:marLeft w:val="0"/>
                  <w:marRight w:val="0"/>
                  <w:marTop w:val="0"/>
                  <w:marBottom w:val="0"/>
                  <w:divBdr>
                    <w:top w:val="none" w:sz="0" w:space="0" w:color="auto"/>
                    <w:left w:val="none" w:sz="0" w:space="0" w:color="auto"/>
                    <w:bottom w:val="none" w:sz="0" w:space="0" w:color="auto"/>
                    <w:right w:val="none" w:sz="0" w:space="0" w:color="auto"/>
                  </w:divBdr>
                </w:div>
                <w:div w:id="1493333660">
                  <w:marLeft w:val="0"/>
                  <w:marRight w:val="0"/>
                  <w:marTop w:val="0"/>
                  <w:marBottom w:val="0"/>
                  <w:divBdr>
                    <w:top w:val="none" w:sz="0" w:space="0" w:color="auto"/>
                    <w:left w:val="none" w:sz="0" w:space="0" w:color="auto"/>
                    <w:bottom w:val="none" w:sz="0" w:space="0" w:color="auto"/>
                    <w:right w:val="none" w:sz="0" w:space="0" w:color="auto"/>
                  </w:divBdr>
                </w:div>
                <w:div w:id="941188840">
                  <w:marLeft w:val="0"/>
                  <w:marRight w:val="0"/>
                  <w:marTop w:val="0"/>
                  <w:marBottom w:val="0"/>
                  <w:divBdr>
                    <w:top w:val="none" w:sz="0" w:space="0" w:color="auto"/>
                    <w:left w:val="none" w:sz="0" w:space="0" w:color="auto"/>
                    <w:bottom w:val="none" w:sz="0" w:space="0" w:color="auto"/>
                    <w:right w:val="none" w:sz="0" w:space="0" w:color="auto"/>
                  </w:divBdr>
                </w:div>
                <w:div w:id="1908806811">
                  <w:marLeft w:val="0"/>
                  <w:marRight w:val="0"/>
                  <w:marTop w:val="0"/>
                  <w:marBottom w:val="0"/>
                  <w:divBdr>
                    <w:top w:val="none" w:sz="0" w:space="0" w:color="auto"/>
                    <w:left w:val="none" w:sz="0" w:space="0" w:color="auto"/>
                    <w:bottom w:val="none" w:sz="0" w:space="0" w:color="auto"/>
                    <w:right w:val="none" w:sz="0" w:space="0" w:color="auto"/>
                  </w:divBdr>
                </w:div>
                <w:div w:id="675309141">
                  <w:marLeft w:val="0"/>
                  <w:marRight w:val="0"/>
                  <w:marTop w:val="0"/>
                  <w:marBottom w:val="0"/>
                  <w:divBdr>
                    <w:top w:val="none" w:sz="0" w:space="0" w:color="auto"/>
                    <w:left w:val="none" w:sz="0" w:space="0" w:color="auto"/>
                    <w:bottom w:val="none" w:sz="0" w:space="0" w:color="auto"/>
                    <w:right w:val="none" w:sz="0" w:space="0" w:color="auto"/>
                  </w:divBdr>
                </w:div>
                <w:div w:id="1292713569">
                  <w:marLeft w:val="0"/>
                  <w:marRight w:val="0"/>
                  <w:marTop w:val="0"/>
                  <w:marBottom w:val="0"/>
                  <w:divBdr>
                    <w:top w:val="none" w:sz="0" w:space="0" w:color="auto"/>
                    <w:left w:val="none" w:sz="0" w:space="0" w:color="auto"/>
                    <w:bottom w:val="none" w:sz="0" w:space="0" w:color="auto"/>
                    <w:right w:val="none" w:sz="0" w:space="0" w:color="auto"/>
                  </w:divBdr>
                </w:div>
                <w:div w:id="1035547562">
                  <w:marLeft w:val="0"/>
                  <w:marRight w:val="0"/>
                  <w:marTop w:val="0"/>
                  <w:marBottom w:val="0"/>
                  <w:divBdr>
                    <w:top w:val="none" w:sz="0" w:space="0" w:color="auto"/>
                    <w:left w:val="none" w:sz="0" w:space="0" w:color="auto"/>
                    <w:bottom w:val="none" w:sz="0" w:space="0" w:color="auto"/>
                    <w:right w:val="none" w:sz="0" w:space="0" w:color="auto"/>
                  </w:divBdr>
                </w:div>
                <w:div w:id="17125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010691">
          <w:marLeft w:val="0"/>
          <w:marRight w:val="0"/>
          <w:marTop w:val="0"/>
          <w:marBottom w:val="0"/>
          <w:divBdr>
            <w:top w:val="none" w:sz="0" w:space="0" w:color="auto"/>
            <w:left w:val="none" w:sz="0" w:space="0" w:color="auto"/>
            <w:bottom w:val="none" w:sz="0" w:space="0" w:color="auto"/>
            <w:right w:val="none" w:sz="0" w:space="0" w:color="auto"/>
          </w:divBdr>
        </w:div>
        <w:div w:id="1074472445">
          <w:marLeft w:val="0"/>
          <w:marRight w:val="0"/>
          <w:marTop w:val="180"/>
          <w:marBottom w:val="45"/>
          <w:divBdr>
            <w:top w:val="none" w:sz="0" w:space="0" w:color="auto"/>
            <w:left w:val="none" w:sz="0" w:space="0" w:color="auto"/>
            <w:bottom w:val="none" w:sz="0" w:space="0" w:color="auto"/>
            <w:right w:val="none" w:sz="0" w:space="0" w:color="auto"/>
          </w:divBdr>
        </w:div>
        <w:div w:id="2137941587">
          <w:marLeft w:val="0"/>
          <w:marRight w:val="0"/>
          <w:marTop w:val="0"/>
          <w:marBottom w:val="0"/>
          <w:divBdr>
            <w:top w:val="none" w:sz="0" w:space="0" w:color="auto"/>
            <w:left w:val="none" w:sz="0" w:space="0" w:color="auto"/>
            <w:bottom w:val="none" w:sz="0" w:space="0" w:color="auto"/>
            <w:right w:val="none" w:sz="0" w:space="0" w:color="auto"/>
          </w:divBdr>
          <w:divsChild>
            <w:div w:id="2138178860">
              <w:marLeft w:val="0"/>
              <w:marRight w:val="0"/>
              <w:marTop w:val="0"/>
              <w:marBottom w:val="0"/>
              <w:divBdr>
                <w:top w:val="none" w:sz="0" w:space="0" w:color="auto"/>
                <w:left w:val="none" w:sz="0" w:space="0" w:color="auto"/>
                <w:bottom w:val="none" w:sz="0" w:space="0" w:color="auto"/>
                <w:right w:val="none" w:sz="0" w:space="0" w:color="auto"/>
              </w:divBdr>
              <w:divsChild>
                <w:div w:id="2059819162">
                  <w:marLeft w:val="0"/>
                  <w:marRight w:val="0"/>
                  <w:marTop w:val="180"/>
                  <w:marBottom w:val="45"/>
                  <w:divBdr>
                    <w:top w:val="none" w:sz="0" w:space="0" w:color="auto"/>
                    <w:left w:val="none" w:sz="0" w:space="0" w:color="auto"/>
                    <w:bottom w:val="none" w:sz="0" w:space="0" w:color="auto"/>
                    <w:right w:val="none" w:sz="0" w:space="0" w:color="auto"/>
                  </w:divBdr>
                </w:div>
                <w:div w:id="621544731">
                  <w:marLeft w:val="0"/>
                  <w:marRight w:val="0"/>
                  <w:marTop w:val="0"/>
                  <w:marBottom w:val="0"/>
                  <w:divBdr>
                    <w:top w:val="none" w:sz="0" w:space="0" w:color="auto"/>
                    <w:left w:val="none" w:sz="0" w:space="0" w:color="auto"/>
                    <w:bottom w:val="none" w:sz="0" w:space="0" w:color="auto"/>
                    <w:right w:val="none" w:sz="0" w:space="0" w:color="auto"/>
                  </w:divBdr>
                </w:div>
                <w:div w:id="203823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362334">
          <w:marLeft w:val="0"/>
          <w:marRight w:val="0"/>
          <w:marTop w:val="180"/>
          <w:marBottom w:val="45"/>
          <w:divBdr>
            <w:top w:val="none" w:sz="0" w:space="0" w:color="auto"/>
            <w:left w:val="none" w:sz="0" w:space="0" w:color="auto"/>
            <w:bottom w:val="none" w:sz="0" w:space="0" w:color="auto"/>
            <w:right w:val="none" w:sz="0" w:space="0" w:color="auto"/>
          </w:divBdr>
        </w:div>
        <w:div w:id="645476592">
          <w:marLeft w:val="0"/>
          <w:marRight w:val="0"/>
          <w:marTop w:val="0"/>
          <w:marBottom w:val="0"/>
          <w:divBdr>
            <w:top w:val="none" w:sz="0" w:space="0" w:color="auto"/>
            <w:left w:val="none" w:sz="0" w:space="0" w:color="auto"/>
            <w:bottom w:val="none" w:sz="0" w:space="0" w:color="auto"/>
            <w:right w:val="none" w:sz="0" w:space="0" w:color="auto"/>
          </w:divBdr>
        </w:div>
        <w:div w:id="1821775486">
          <w:marLeft w:val="0"/>
          <w:marRight w:val="0"/>
          <w:marTop w:val="180"/>
          <w:marBottom w:val="45"/>
          <w:divBdr>
            <w:top w:val="none" w:sz="0" w:space="0" w:color="auto"/>
            <w:left w:val="none" w:sz="0" w:space="0" w:color="auto"/>
            <w:bottom w:val="none" w:sz="0" w:space="0" w:color="auto"/>
            <w:right w:val="none" w:sz="0" w:space="0" w:color="auto"/>
          </w:divBdr>
        </w:div>
      </w:divsChild>
    </w:div>
    <w:div w:id="1740516157">
      <w:bodyDiv w:val="1"/>
      <w:marLeft w:val="0"/>
      <w:marRight w:val="0"/>
      <w:marTop w:val="0"/>
      <w:marBottom w:val="0"/>
      <w:divBdr>
        <w:top w:val="none" w:sz="0" w:space="0" w:color="auto"/>
        <w:left w:val="none" w:sz="0" w:space="0" w:color="auto"/>
        <w:bottom w:val="none" w:sz="0" w:space="0" w:color="auto"/>
        <w:right w:val="none" w:sz="0" w:space="0" w:color="auto"/>
      </w:divBdr>
      <w:divsChild>
        <w:div w:id="1851723164">
          <w:marLeft w:val="0"/>
          <w:marRight w:val="0"/>
          <w:marTop w:val="180"/>
          <w:marBottom w:val="45"/>
          <w:divBdr>
            <w:top w:val="none" w:sz="0" w:space="0" w:color="auto"/>
            <w:left w:val="none" w:sz="0" w:space="0" w:color="auto"/>
            <w:bottom w:val="none" w:sz="0" w:space="0" w:color="auto"/>
            <w:right w:val="none" w:sz="0" w:space="0" w:color="auto"/>
          </w:divBdr>
        </w:div>
        <w:div w:id="1998066801">
          <w:marLeft w:val="0"/>
          <w:marRight w:val="0"/>
          <w:marTop w:val="0"/>
          <w:marBottom w:val="0"/>
          <w:divBdr>
            <w:top w:val="none" w:sz="0" w:space="0" w:color="auto"/>
            <w:left w:val="none" w:sz="0" w:space="0" w:color="auto"/>
            <w:bottom w:val="none" w:sz="0" w:space="0" w:color="auto"/>
            <w:right w:val="none" w:sz="0" w:space="0" w:color="auto"/>
          </w:divBdr>
        </w:div>
        <w:div w:id="800851141">
          <w:marLeft w:val="0"/>
          <w:marRight w:val="0"/>
          <w:marTop w:val="0"/>
          <w:marBottom w:val="0"/>
          <w:divBdr>
            <w:top w:val="none" w:sz="0" w:space="0" w:color="auto"/>
            <w:left w:val="none" w:sz="0" w:space="0" w:color="auto"/>
            <w:bottom w:val="none" w:sz="0" w:space="0" w:color="auto"/>
            <w:right w:val="none" w:sz="0" w:space="0" w:color="auto"/>
          </w:divBdr>
        </w:div>
        <w:div w:id="1584610894">
          <w:marLeft w:val="0"/>
          <w:marRight w:val="0"/>
          <w:marTop w:val="0"/>
          <w:marBottom w:val="0"/>
          <w:divBdr>
            <w:top w:val="none" w:sz="0" w:space="0" w:color="auto"/>
            <w:left w:val="none" w:sz="0" w:space="0" w:color="auto"/>
            <w:bottom w:val="none" w:sz="0" w:space="0" w:color="auto"/>
            <w:right w:val="none" w:sz="0" w:space="0" w:color="auto"/>
          </w:divBdr>
          <w:divsChild>
            <w:div w:id="1908950762">
              <w:marLeft w:val="0"/>
              <w:marRight w:val="0"/>
              <w:marTop w:val="180"/>
              <w:marBottom w:val="45"/>
              <w:divBdr>
                <w:top w:val="none" w:sz="0" w:space="0" w:color="auto"/>
                <w:left w:val="none" w:sz="0" w:space="0" w:color="auto"/>
                <w:bottom w:val="none" w:sz="0" w:space="0" w:color="auto"/>
                <w:right w:val="none" w:sz="0" w:space="0" w:color="auto"/>
              </w:divBdr>
            </w:div>
            <w:div w:id="1588648">
              <w:marLeft w:val="0"/>
              <w:marRight w:val="0"/>
              <w:marTop w:val="0"/>
              <w:marBottom w:val="0"/>
              <w:divBdr>
                <w:top w:val="none" w:sz="0" w:space="0" w:color="auto"/>
                <w:left w:val="none" w:sz="0" w:space="0" w:color="auto"/>
                <w:bottom w:val="none" w:sz="0" w:space="0" w:color="auto"/>
                <w:right w:val="none" w:sz="0" w:space="0" w:color="auto"/>
              </w:divBdr>
              <w:divsChild>
                <w:div w:id="160582509">
                  <w:marLeft w:val="0"/>
                  <w:marRight w:val="0"/>
                  <w:marTop w:val="0"/>
                  <w:marBottom w:val="0"/>
                  <w:divBdr>
                    <w:top w:val="none" w:sz="0" w:space="0" w:color="auto"/>
                    <w:left w:val="none" w:sz="0" w:space="0" w:color="auto"/>
                    <w:bottom w:val="none" w:sz="0" w:space="0" w:color="auto"/>
                    <w:right w:val="none" w:sz="0" w:space="0" w:color="auto"/>
                  </w:divBdr>
                </w:div>
                <w:div w:id="1663318012">
                  <w:marLeft w:val="0"/>
                  <w:marRight w:val="0"/>
                  <w:marTop w:val="0"/>
                  <w:marBottom w:val="0"/>
                  <w:divBdr>
                    <w:top w:val="none" w:sz="0" w:space="0" w:color="auto"/>
                    <w:left w:val="none" w:sz="0" w:space="0" w:color="auto"/>
                    <w:bottom w:val="none" w:sz="0" w:space="0" w:color="auto"/>
                    <w:right w:val="none" w:sz="0" w:space="0" w:color="auto"/>
                  </w:divBdr>
                </w:div>
                <w:div w:id="1757827121">
                  <w:marLeft w:val="0"/>
                  <w:marRight w:val="0"/>
                  <w:marTop w:val="0"/>
                  <w:marBottom w:val="0"/>
                  <w:divBdr>
                    <w:top w:val="none" w:sz="0" w:space="0" w:color="auto"/>
                    <w:left w:val="none" w:sz="0" w:space="0" w:color="auto"/>
                    <w:bottom w:val="none" w:sz="0" w:space="0" w:color="auto"/>
                    <w:right w:val="none" w:sz="0" w:space="0" w:color="auto"/>
                  </w:divBdr>
                </w:div>
                <w:div w:id="1644847962">
                  <w:marLeft w:val="0"/>
                  <w:marRight w:val="0"/>
                  <w:marTop w:val="0"/>
                  <w:marBottom w:val="0"/>
                  <w:divBdr>
                    <w:top w:val="none" w:sz="0" w:space="0" w:color="auto"/>
                    <w:left w:val="none" w:sz="0" w:space="0" w:color="auto"/>
                    <w:bottom w:val="none" w:sz="0" w:space="0" w:color="auto"/>
                    <w:right w:val="none" w:sz="0" w:space="0" w:color="auto"/>
                  </w:divBdr>
                </w:div>
                <w:div w:id="1597056276">
                  <w:marLeft w:val="0"/>
                  <w:marRight w:val="0"/>
                  <w:marTop w:val="0"/>
                  <w:marBottom w:val="0"/>
                  <w:divBdr>
                    <w:top w:val="none" w:sz="0" w:space="0" w:color="auto"/>
                    <w:left w:val="none" w:sz="0" w:space="0" w:color="auto"/>
                    <w:bottom w:val="none" w:sz="0" w:space="0" w:color="auto"/>
                    <w:right w:val="none" w:sz="0" w:space="0" w:color="auto"/>
                  </w:divBdr>
                </w:div>
                <w:div w:id="1269242098">
                  <w:marLeft w:val="0"/>
                  <w:marRight w:val="0"/>
                  <w:marTop w:val="0"/>
                  <w:marBottom w:val="0"/>
                  <w:divBdr>
                    <w:top w:val="none" w:sz="0" w:space="0" w:color="auto"/>
                    <w:left w:val="none" w:sz="0" w:space="0" w:color="auto"/>
                    <w:bottom w:val="none" w:sz="0" w:space="0" w:color="auto"/>
                    <w:right w:val="none" w:sz="0" w:space="0" w:color="auto"/>
                  </w:divBdr>
                </w:div>
                <w:div w:id="457912341">
                  <w:marLeft w:val="0"/>
                  <w:marRight w:val="0"/>
                  <w:marTop w:val="0"/>
                  <w:marBottom w:val="0"/>
                  <w:divBdr>
                    <w:top w:val="none" w:sz="0" w:space="0" w:color="auto"/>
                    <w:left w:val="none" w:sz="0" w:space="0" w:color="auto"/>
                    <w:bottom w:val="none" w:sz="0" w:space="0" w:color="auto"/>
                    <w:right w:val="none" w:sz="0" w:space="0" w:color="auto"/>
                  </w:divBdr>
                </w:div>
                <w:div w:id="87628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224278">
          <w:marLeft w:val="0"/>
          <w:marRight w:val="0"/>
          <w:marTop w:val="0"/>
          <w:marBottom w:val="0"/>
          <w:divBdr>
            <w:top w:val="none" w:sz="0" w:space="0" w:color="auto"/>
            <w:left w:val="none" w:sz="0" w:space="0" w:color="auto"/>
            <w:bottom w:val="none" w:sz="0" w:space="0" w:color="auto"/>
            <w:right w:val="none" w:sz="0" w:space="0" w:color="auto"/>
          </w:divBdr>
        </w:div>
        <w:div w:id="698624219">
          <w:marLeft w:val="0"/>
          <w:marRight w:val="0"/>
          <w:marTop w:val="180"/>
          <w:marBottom w:val="45"/>
          <w:divBdr>
            <w:top w:val="none" w:sz="0" w:space="0" w:color="auto"/>
            <w:left w:val="none" w:sz="0" w:space="0" w:color="auto"/>
            <w:bottom w:val="none" w:sz="0" w:space="0" w:color="auto"/>
            <w:right w:val="none" w:sz="0" w:space="0" w:color="auto"/>
          </w:divBdr>
        </w:div>
        <w:div w:id="2113935674">
          <w:marLeft w:val="0"/>
          <w:marRight w:val="0"/>
          <w:marTop w:val="0"/>
          <w:marBottom w:val="0"/>
          <w:divBdr>
            <w:top w:val="none" w:sz="0" w:space="0" w:color="auto"/>
            <w:left w:val="none" w:sz="0" w:space="0" w:color="auto"/>
            <w:bottom w:val="none" w:sz="0" w:space="0" w:color="auto"/>
            <w:right w:val="none" w:sz="0" w:space="0" w:color="auto"/>
          </w:divBdr>
          <w:divsChild>
            <w:div w:id="1804541961">
              <w:marLeft w:val="0"/>
              <w:marRight w:val="0"/>
              <w:marTop w:val="0"/>
              <w:marBottom w:val="0"/>
              <w:divBdr>
                <w:top w:val="none" w:sz="0" w:space="0" w:color="auto"/>
                <w:left w:val="none" w:sz="0" w:space="0" w:color="auto"/>
                <w:bottom w:val="none" w:sz="0" w:space="0" w:color="auto"/>
                <w:right w:val="none" w:sz="0" w:space="0" w:color="auto"/>
              </w:divBdr>
              <w:divsChild>
                <w:div w:id="11299730">
                  <w:marLeft w:val="0"/>
                  <w:marRight w:val="0"/>
                  <w:marTop w:val="180"/>
                  <w:marBottom w:val="45"/>
                  <w:divBdr>
                    <w:top w:val="none" w:sz="0" w:space="0" w:color="auto"/>
                    <w:left w:val="none" w:sz="0" w:space="0" w:color="auto"/>
                    <w:bottom w:val="none" w:sz="0" w:space="0" w:color="auto"/>
                    <w:right w:val="none" w:sz="0" w:space="0" w:color="auto"/>
                  </w:divBdr>
                </w:div>
                <w:div w:id="1632978145">
                  <w:marLeft w:val="0"/>
                  <w:marRight w:val="0"/>
                  <w:marTop w:val="0"/>
                  <w:marBottom w:val="0"/>
                  <w:divBdr>
                    <w:top w:val="none" w:sz="0" w:space="0" w:color="auto"/>
                    <w:left w:val="none" w:sz="0" w:space="0" w:color="auto"/>
                    <w:bottom w:val="none" w:sz="0" w:space="0" w:color="auto"/>
                    <w:right w:val="none" w:sz="0" w:space="0" w:color="auto"/>
                  </w:divBdr>
                </w:div>
                <w:div w:id="110808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655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hdsi.org"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OHDSI/CommonDataMode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omop.org/cdm" TargetMode="External"/><Relationship Id="rId4" Type="http://schemas.openxmlformats.org/officeDocument/2006/relationships/settings" Target="settings.xml"/><Relationship Id="rId9" Type="http://schemas.openxmlformats.org/officeDocument/2006/relationships/hyperlink" Target="https://github.com/OHDSI/CohortMethod"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8996F8-D4BF-4B93-BD52-0B96CE28B9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12</Pages>
  <Words>3857</Words>
  <Characters>21989</Characters>
  <Application>Microsoft Office Word</Application>
  <DocSecurity>0</DocSecurity>
  <Lines>183</Lines>
  <Paragraphs>51</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Johnson &amp; Johnson</Company>
  <LinksUpToDate>false</LinksUpToDate>
  <CharactersWithSpaces>25795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 Ryan</dc:creator>
  <cp:lastModifiedBy>승찬 유</cp:lastModifiedBy>
  <cp:revision>27</cp:revision>
  <dcterms:created xsi:type="dcterms:W3CDTF">2017-07-07T04:52:00Z</dcterms:created>
  <dcterms:modified xsi:type="dcterms:W3CDTF">2018-09-26T11:36:00Z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zotero-version="5.0.55"&gt;&lt;session id="z4GjctHy"/&gt;&lt;style id="http://www.zotero.org/styles/nature" hasBibliography="1" bibliographyStyleHasBeenSet="1"/&gt;&lt;prefs&gt;&lt;pref name="fieldType" value="Field"/&gt;&lt;pref name="storeReferences" value="tr</vt:lpwstr>
  </property>
  <property fmtid="{D5CDD505-2E9C-101B-9397-08002B2CF9AE}" pid="3" name="ZOTERO_PREF_2">
    <vt:lpwstr>ue"/&gt;&lt;pref name="automaticJournalAbbreviations" value="true"/&gt;&lt;/prefs&gt;&lt;/data&gt;</vt:lpwstr>
  </property>
</Properties>
</file>