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 xml:space="preserve">PhD, </w:t>
      </w:r>
      <w:proofErr w:type="spellStart"/>
      <w:r w:rsidR="00F37C28">
        <w:t>Ajou</w:t>
      </w:r>
      <w:proofErr w:type="spellEnd"/>
      <w:r w:rsidR="00F37C28">
        <w:t xml:space="preserve"> University School of Medicine</w:t>
      </w:r>
    </w:p>
    <w:p w14:paraId="4836D49B" w14:textId="77777777" w:rsidR="00EE7B0E" w:rsidRDefault="00EE7B0E" w:rsidP="00EE7B0E">
      <w:r>
        <w:t>Soo-</w:t>
      </w:r>
      <w:proofErr w:type="spellStart"/>
      <w:r>
        <w:t>Yeon</w:t>
      </w:r>
      <w:proofErr w:type="spellEnd"/>
      <w:r>
        <w:t xml:space="preserve"> Cho, </w:t>
      </w:r>
      <w:proofErr w:type="spellStart"/>
      <w:r>
        <w:t>Ajou</w:t>
      </w:r>
      <w:proofErr w:type="spellEnd"/>
      <w:r>
        <w:t xml:space="preserve">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49E23EE4" w:rsidR="00A26520" w:rsidRDefault="00A26520">
      <w:r w:rsidRPr="00554190">
        <w:rPr>
          <w:b/>
        </w:rPr>
        <w:t>Date</w:t>
      </w:r>
      <w:r w:rsidR="0074593E" w:rsidRPr="00554190">
        <w:rPr>
          <w:b/>
        </w:rPr>
        <w:t>:</w:t>
      </w:r>
      <w:r w:rsidR="00EE506E">
        <w:t xml:space="preserve">  </w:t>
      </w:r>
      <w:r w:rsidR="00377179">
        <w:t>20 April 2016</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787D90C8" w14:textId="77777777" w:rsidR="004C261F"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29484217" w:history="1">
            <w:r w:rsidRPr="001802A2">
              <w:rPr>
                <w:rStyle w:val="Hyperlink"/>
                <w:noProof/>
              </w:rPr>
              <w:t>Background</w:t>
            </w:r>
            <w:r>
              <w:rPr>
                <w:noProof/>
                <w:webHidden/>
              </w:rPr>
              <w:tab/>
            </w:r>
            <w:r>
              <w:rPr>
                <w:noProof/>
                <w:webHidden/>
              </w:rPr>
              <w:fldChar w:fldCharType="begin"/>
            </w:r>
            <w:r>
              <w:rPr>
                <w:noProof/>
                <w:webHidden/>
              </w:rPr>
              <w:instrText xml:space="preserve"> PAGEREF _Toc429484217 \h </w:instrText>
            </w:r>
            <w:r>
              <w:rPr>
                <w:noProof/>
                <w:webHidden/>
              </w:rPr>
            </w:r>
            <w:r>
              <w:rPr>
                <w:noProof/>
                <w:webHidden/>
              </w:rPr>
              <w:fldChar w:fldCharType="separate"/>
            </w:r>
            <w:r>
              <w:rPr>
                <w:noProof/>
                <w:webHidden/>
              </w:rPr>
              <w:t>3</w:t>
            </w:r>
            <w:r>
              <w:rPr>
                <w:noProof/>
                <w:webHidden/>
              </w:rPr>
              <w:fldChar w:fldCharType="end"/>
            </w:r>
          </w:hyperlink>
        </w:p>
        <w:p w14:paraId="04283575" w14:textId="77777777" w:rsidR="004C261F" w:rsidRDefault="00C17A9F">
          <w:pPr>
            <w:pStyle w:val="TOC1"/>
            <w:tabs>
              <w:tab w:val="right" w:leader="dot" w:pos="9350"/>
            </w:tabs>
            <w:rPr>
              <w:rFonts w:eastAsiaTheme="minorEastAsia"/>
              <w:noProof/>
              <w:lang w:eastAsia="zh-CN"/>
            </w:rPr>
          </w:pPr>
          <w:hyperlink w:anchor="_Toc429484218" w:history="1">
            <w:r w:rsidR="004C261F" w:rsidRPr="001802A2">
              <w:rPr>
                <w:rStyle w:val="Hyperlink"/>
                <w:noProof/>
              </w:rPr>
              <w:t>Objective</w:t>
            </w:r>
            <w:r w:rsidR="004C261F">
              <w:rPr>
                <w:noProof/>
                <w:webHidden/>
              </w:rPr>
              <w:tab/>
            </w:r>
            <w:r w:rsidR="004C261F">
              <w:rPr>
                <w:noProof/>
                <w:webHidden/>
              </w:rPr>
              <w:fldChar w:fldCharType="begin"/>
            </w:r>
            <w:r w:rsidR="004C261F">
              <w:rPr>
                <w:noProof/>
                <w:webHidden/>
              </w:rPr>
              <w:instrText xml:space="preserve"> PAGEREF _Toc429484218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15977318" w14:textId="77777777" w:rsidR="004C261F" w:rsidRDefault="00C17A9F">
          <w:pPr>
            <w:pStyle w:val="TOC1"/>
            <w:tabs>
              <w:tab w:val="right" w:leader="dot" w:pos="9350"/>
            </w:tabs>
            <w:rPr>
              <w:rFonts w:eastAsiaTheme="minorEastAsia"/>
              <w:noProof/>
              <w:lang w:eastAsia="zh-CN"/>
            </w:rPr>
          </w:pPr>
          <w:hyperlink w:anchor="_Toc429484219" w:history="1">
            <w:r w:rsidR="004C261F" w:rsidRPr="001802A2">
              <w:rPr>
                <w:rStyle w:val="Hyperlink"/>
                <w:noProof/>
              </w:rPr>
              <w:t>Data sources</w:t>
            </w:r>
            <w:r w:rsidR="004C261F">
              <w:rPr>
                <w:noProof/>
                <w:webHidden/>
              </w:rPr>
              <w:tab/>
            </w:r>
            <w:r w:rsidR="004C261F">
              <w:rPr>
                <w:noProof/>
                <w:webHidden/>
              </w:rPr>
              <w:fldChar w:fldCharType="begin"/>
            </w:r>
            <w:r w:rsidR="004C261F">
              <w:rPr>
                <w:noProof/>
                <w:webHidden/>
              </w:rPr>
              <w:instrText xml:space="preserve"> PAGEREF _Toc429484219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E270BED" w14:textId="77777777" w:rsidR="004C261F" w:rsidRDefault="00C17A9F">
          <w:pPr>
            <w:pStyle w:val="TOC2"/>
            <w:tabs>
              <w:tab w:val="right" w:leader="dot" w:pos="9350"/>
            </w:tabs>
            <w:rPr>
              <w:rFonts w:eastAsiaTheme="minorEastAsia"/>
              <w:noProof/>
              <w:lang w:eastAsia="zh-CN"/>
            </w:rPr>
          </w:pPr>
          <w:hyperlink w:anchor="_Toc429484220" w:history="1">
            <w:r w:rsidR="004C261F" w:rsidRPr="001802A2">
              <w:rPr>
                <w:rStyle w:val="Hyperlink"/>
                <w:noProof/>
              </w:rPr>
              <w:t>Ajou University School of Medicine (AUSOM)</w:t>
            </w:r>
            <w:r w:rsidR="004C261F">
              <w:rPr>
                <w:noProof/>
                <w:webHidden/>
              </w:rPr>
              <w:tab/>
            </w:r>
            <w:r w:rsidR="004C261F">
              <w:rPr>
                <w:noProof/>
                <w:webHidden/>
              </w:rPr>
              <w:fldChar w:fldCharType="begin"/>
            </w:r>
            <w:r w:rsidR="004C261F">
              <w:rPr>
                <w:noProof/>
                <w:webHidden/>
              </w:rPr>
              <w:instrText xml:space="preserve"> PAGEREF _Toc429484220 \h </w:instrText>
            </w:r>
            <w:r w:rsidR="004C261F">
              <w:rPr>
                <w:noProof/>
                <w:webHidden/>
              </w:rPr>
            </w:r>
            <w:r w:rsidR="004C261F">
              <w:rPr>
                <w:noProof/>
                <w:webHidden/>
              </w:rPr>
              <w:fldChar w:fldCharType="separate"/>
            </w:r>
            <w:r w:rsidR="004C261F">
              <w:rPr>
                <w:noProof/>
                <w:webHidden/>
              </w:rPr>
              <w:t>3</w:t>
            </w:r>
            <w:r w:rsidR="004C261F">
              <w:rPr>
                <w:noProof/>
                <w:webHidden/>
              </w:rPr>
              <w:fldChar w:fldCharType="end"/>
            </w:r>
          </w:hyperlink>
        </w:p>
        <w:p w14:paraId="6B016361" w14:textId="77777777" w:rsidR="004C261F" w:rsidRDefault="00C17A9F">
          <w:pPr>
            <w:pStyle w:val="TOC2"/>
            <w:tabs>
              <w:tab w:val="right" w:leader="dot" w:pos="9350"/>
            </w:tabs>
            <w:rPr>
              <w:rFonts w:eastAsiaTheme="minorEastAsia"/>
              <w:noProof/>
              <w:lang w:eastAsia="zh-CN"/>
            </w:rPr>
          </w:pPr>
          <w:hyperlink w:anchor="_Toc429484221" w:history="1">
            <w:r w:rsidR="004C261F" w:rsidRPr="001802A2">
              <w:rPr>
                <w:rStyle w:val="Hyperlink"/>
                <w:noProof/>
              </w:rPr>
              <w:t>Hong Kong Clinical Data Analysis and Reporting System (CDARS)</w:t>
            </w:r>
            <w:r w:rsidR="004C261F">
              <w:rPr>
                <w:noProof/>
                <w:webHidden/>
              </w:rPr>
              <w:tab/>
            </w:r>
            <w:r w:rsidR="004C261F">
              <w:rPr>
                <w:noProof/>
                <w:webHidden/>
              </w:rPr>
              <w:fldChar w:fldCharType="begin"/>
            </w:r>
            <w:r w:rsidR="004C261F">
              <w:rPr>
                <w:noProof/>
                <w:webHidden/>
              </w:rPr>
              <w:instrText xml:space="preserve"> PAGEREF _Toc429484221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2F4E69D0" w14:textId="77777777" w:rsidR="004C261F" w:rsidRDefault="00C17A9F">
          <w:pPr>
            <w:pStyle w:val="TOC2"/>
            <w:tabs>
              <w:tab w:val="right" w:leader="dot" w:pos="9350"/>
            </w:tabs>
            <w:rPr>
              <w:rFonts w:eastAsiaTheme="minorEastAsia"/>
              <w:noProof/>
              <w:lang w:eastAsia="zh-CN"/>
            </w:rPr>
          </w:pPr>
          <w:hyperlink w:anchor="_Toc429484222" w:history="1">
            <w:r w:rsidR="004C261F" w:rsidRPr="001802A2">
              <w:rPr>
                <w:rStyle w:val="Hyperlink"/>
                <w:noProof/>
              </w:rPr>
              <w:t>Japan Medical Data Center (JMDC)</w:t>
            </w:r>
            <w:r w:rsidR="004C261F">
              <w:rPr>
                <w:noProof/>
                <w:webHidden/>
              </w:rPr>
              <w:tab/>
            </w:r>
            <w:r w:rsidR="004C261F">
              <w:rPr>
                <w:noProof/>
                <w:webHidden/>
              </w:rPr>
              <w:fldChar w:fldCharType="begin"/>
            </w:r>
            <w:r w:rsidR="004C261F">
              <w:rPr>
                <w:noProof/>
                <w:webHidden/>
              </w:rPr>
              <w:instrText xml:space="preserve"> PAGEREF _Toc429484222 \h </w:instrText>
            </w:r>
            <w:r w:rsidR="004C261F">
              <w:rPr>
                <w:noProof/>
                <w:webHidden/>
              </w:rPr>
            </w:r>
            <w:r w:rsidR="004C261F">
              <w:rPr>
                <w:noProof/>
                <w:webHidden/>
              </w:rPr>
              <w:fldChar w:fldCharType="separate"/>
            </w:r>
            <w:r w:rsidR="004C261F">
              <w:rPr>
                <w:noProof/>
                <w:webHidden/>
              </w:rPr>
              <w:t>4</w:t>
            </w:r>
            <w:r w:rsidR="004C261F">
              <w:rPr>
                <w:noProof/>
                <w:webHidden/>
              </w:rPr>
              <w:fldChar w:fldCharType="end"/>
            </w:r>
          </w:hyperlink>
        </w:p>
        <w:p w14:paraId="6E3E27DA" w14:textId="77777777" w:rsidR="004C261F" w:rsidRDefault="00C17A9F">
          <w:pPr>
            <w:pStyle w:val="TOC2"/>
            <w:tabs>
              <w:tab w:val="right" w:leader="dot" w:pos="9350"/>
            </w:tabs>
            <w:rPr>
              <w:rFonts w:eastAsiaTheme="minorEastAsia"/>
              <w:noProof/>
              <w:lang w:eastAsia="zh-CN"/>
            </w:rPr>
          </w:pPr>
          <w:hyperlink w:anchor="_Toc429484223" w:history="1">
            <w:r w:rsidR="004C261F" w:rsidRPr="001802A2">
              <w:rPr>
                <w:rStyle w:val="Hyperlink"/>
                <w:noProof/>
              </w:rPr>
              <w:t>Taiwan’s National Health Insurance Research Database (NHIRD)</w:t>
            </w:r>
            <w:r w:rsidR="004C261F">
              <w:rPr>
                <w:noProof/>
                <w:webHidden/>
              </w:rPr>
              <w:tab/>
            </w:r>
            <w:r w:rsidR="004C261F">
              <w:rPr>
                <w:noProof/>
                <w:webHidden/>
              </w:rPr>
              <w:fldChar w:fldCharType="begin"/>
            </w:r>
            <w:r w:rsidR="004C261F">
              <w:rPr>
                <w:noProof/>
                <w:webHidden/>
              </w:rPr>
              <w:instrText xml:space="preserve"> PAGEREF _Toc429484223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18BC77C" w14:textId="77777777" w:rsidR="004C261F" w:rsidRDefault="00C17A9F">
          <w:pPr>
            <w:pStyle w:val="TOC2"/>
            <w:tabs>
              <w:tab w:val="right" w:leader="dot" w:pos="9350"/>
            </w:tabs>
            <w:rPr>
              <w:rFonts w:eastAsiaTheme="minorEastAsia"/>
              <w:noProof/>
              <w:lang w:eastAsia="zh-CN"/>
            </w:rPr>
          </w:pPr>
          <w:hyperlink w:anchor="_Toc429484224" w:history="1">
            <w:r w:rsidR="004C261F" w:rsidRPr="001802A2">
              <w:rPr>
                <w:rStyle w:val="Hyperlink"/>
                <w:noProof/>
              </w:rPr>
              <w:t>Australian Pharmaceutical Benefits Scheme (PBS) 10% Sample Data</w:t>
            </w:r>
            <w:r w:rsidR="004C261F">
              <w:rPr>
                <w:noProof/>
                <w:webHidden/>
              </w:rPr>
              <w:tab/>
            </w:r>
            <w:r w:rsidR="004C261F">
              <w:rPr>
                <w:noProof/>
                <w:webHidden/>
              </w:rPr>
              <w:fldChar w:fldCharType="begin"/>
            </w:r>
            <w:r w:rsidR="004C261F">
              <w:rPr>
                <w:noProof/>
                <w:webHidden/>
              </w:rPr>
              <w:instrText xml:space="preserve"> PAGEREF _Toc429484224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4A70D276" w14:textId="77777777" w:rsidR="004C261F" w:rsidRDefault="00C17A9F">
          <w:pPr>
            <w:pStyle w:val="TOC1"/>
            <w:tabs>
              <w:tab w:val="right" w:leader="dot" w:pos="9350"/>
            </w:tabs>
            <w:rPr>
              <w:rFonts w:eastAsiaTheme="minorEastAsia"/>
              <w:noProof/>
              <w:lang w:eastAsia="zh-CN"/>
            </w:rPr>
          </w:pPr>
          <w:hyperlink w:anchor="_Toc429484225" w:history="1">
            <w:r w:rsidR="004C261F" w:rsidRPr="001802A2">
              <w:rPr>
                <w:rStyle w:val="Hyperlink"/>
                <w:noProof/>
              </w:rPr>
              <w:t>Data collection</w:t>
            </w:r>
            <w:r w:rsidR="004C261F">
              <w:rPr>
                <w:noProof/>
                <w:webHidden/>
              </w:rPr>
              <w:tab/>
            </w:r>
            <w:r w:rsidR="004C261F">
              <w:rPr>
                <w:noProof/>
                <w:webHidden/>
              </w:rPr>
              <w:fldChar w:fldCharType="begin"/>
            </w:r>
            <w:r w:rsidR="004C261F">
              <w:rPr>
                <w:noProof/>
                <w:webHidden/>
              </w:rPr>
              <w:instrText xml:space="preserve"> PAGEREF _Toc429484225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546E0B7" w14:textId="77777777" w:rsidR="004C261F" w:rsidRDefault="00C17A9F">
          <w:pPr>
            <w:pStyle w:val="TOC1"/>
            <w:tabs>
              <w:tab w:val="right" w:leader="dot" w:pos="9350"/>
            </w:tabs>
            <w:rPr>
              <w:rFonts w:eastAsiaTheme="minorEastAsia"/>
              <w:noProof/>
              <w:lang w:eastAsia="zh-CN"/>
            </w:rPr>
          </w:pPr>
          <w:hyperlink w:anchor="_Toc429484226" w:history="1">
            <w:r w:rsidR="004C261F" w:rsidRPr="001802A2">
              <w:rPr>
                <w:rStyle w:val="Hyperlink"/>
                <w:noProof/>
              </w:rPr>
              <w:t>Population</w:t>
            </w:r>
            <w:r w:rsidR="004C261F">
              <w:rPr>
                <w:noProof/>
                <w:webHidden/>
              </w:rPr>
              <w:tab/>
            </w:r>
            <w:r w:rsidR="004C261F">
              <w:rPr>
                <w:noProof/>
                <w:webHidden/>
              </w:rPr>
              <w:fldChar w:fldCharType="begin"/>
            </w:r>
            <w:r w:rsidR="004C261F">
              <w:rPr>
                <w:noProof/>
                <w:webHidden/>
              </w:rPr>
              <w:instrText xml:space="preserve"> PAGEREF _Toc429484226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B27C33D" w14:textId="77777777" w:rsidR="004C261F" w:rsidRDefault="00C17A9F">
          <w:pPr>
            <w:pStyle w:val="TOC1"/>
            <w:tabs>
              <w:tab w:val="right" w:leader="dot" w:pos="9350"/>
            </w:tabs>
            <w:rPr>
              <w:rFonts w:eastAsiaTheme="minorEastAsia"/>
              <w:noProof/>
              <w:lang w:eastAsia="zh-CN"/>
            </w:rPr>
          </w:pPr>
          <w:hyperlink w:anchor="_Toc429484227" w:history="1">
            <w:r w:rsidR="004C261F" w:rsidRPr="001802A2">
              <w:rPr>
                <w:rStyle w:val="Hyperlink"/>
                <w:noProof/>
              </w:rPr>
              <w:t>Methods</w:t>
            </w:r>
            <w:r w:rsidR="004C261F">
              <w:rPr>
                <w:noProof/>
                <w:webHidden/>
              </w:rPr>
              <w:tab/>
            </w:r>
            <w:r w:rsidR="004C261F">
              <w:rPr>
                <w:noProof/>
                <w:webHidden/>
              </w:rPr>
              <w:fldChar w:fldCharType="begin"/>
            </w:r>
            <w:r w:rsidR="004C261F">
              <w:rPr>
                <w:noProof/>
                <w:webHidden/>
              </w:rPr>
              <w:instrText xml:space="preserve"> PAGEREF _Toc429484227 \h </w:instrText>
            </w:r>
            <w:r w:rsidR="004C261F">
              <w:rPr>
                <w:noProof/>
                <w:webHidden/>
              </w:rPr>
            </w:r>
            <w:r w:rsidR="004C261F">
              <w:rPr>
                <w:noProof/>
                <w:webHidden/>
              </w:rPr>
              <w:fldChar w:fldCharType="separate"/>
            </w:r>
            <w:r w:rsidR="004C261F">
              <w:rPr>
                <w:noProof/>
                <w:webHidden/>
              </w:rPr>
              <w:t>5</w:t>
            </w:r>
            <w:r w:rsidR="004C261F">
              <w:rPr>
                <w:noProof/>
                <w:webHidden/>
              </w:rPr>
              <w:fldChar w:fldCharType="end"/>
            </w:r>
          </w:hyperlink>
        </w:p>
        <w:p w14:paraId="6F79F78A" w14:textId="77777777" w:rsidR="004C261F" w:rsidRDefault="00C17A9F">
          <w:pPr>
            <w:pStyle w:val="TOC1"/>
            <w:tabs>
              <w:tab w:val="right" w:leader="dot" w:pos="9350"/>
            </w:tabs>
            <w:rPr>
              <w:rFonts w:eastAsiaTheme="minorEastAsia"/>
              <w:noProof/>
              <w:lang w:eastAsia="zh-CN"/>
            </w:rPr>
          </w:pPr>
          <w:hyperlink w:anchor="_Toc429484228" w:history="1">
            <w:r w:rsidR="004C261F" w:rsidRPr="001802A2">
              <w:rPr>
                <w:rStyle w:val="Hyperlink"/>
                <w:noProof/>
              </w:rPr>
              <w:t>Table and figure shells</w:t>
            </w:r>
            <w:r w:rsidR="004C261F">
              <w:rPr>
                <w:noProof/>
                <w:webHidden/>
              </w:rPr>
              <w:tab/>
            </w:r>
            <w:r w:rsidR="004C261F">
              <w:rPr>
                <w:noProof/>
                <w:webHidden/>
              </w:rPr>
              <w:fldChar w:fldCharType="begin"/>
            </w:r>
            <w:r w:rsidR="004C261F">
              <w:rPr>
                <w:noProof/>
                <w:webHidden/>
              </w:rPr>
              <w:instrText xml:space="preserve"> PAGEREF _Toc429484228 \h </w:instrText>
            </w:r>
            <w:r w:rsidR="004C261F">
              <w:rPr>
                <w:noProof/>
                <w:webHidden/>
              </w:rPr>
            </w:r>
            <w:r w:rsidR="004C261F">
              <w:rPr>
                <w:noProof/>
                <w:webHidden/>
              </w:rPr>
              <w:fldChar w:fldCharType="separate"/>
            </w:r>
            <w:r w:rsidR="004C261F">
              <w:rPr>
                <w:noProof/>
                <w:webHidden/>
              </w:rPr>
              <w:t>6</w:t>
            </w:r>
            <w:r w:rsidR="004C261F">
              <w:rPr>
                <w:noProof/>
                <w:webHidden/>
              </w:rPr>
              <w:fldChar w:fldCharType="end"/>
            </w:r>
          </w:hyperlink>
        </w:p>
        <w:p w14:paraId="351A570E" w14:textId="77777777" w:rsidR="004C261F" w:rsidRDefault="00C17A9F">
          <w:pPr>
            <w:pStyle w:val="TOC1"/>
            <w:tabs>
              <w:tab w:val="right" w:leader="dot" w:pos="9350"/>
            </w:tabs>
            <w:rPr>
              <w:rFonts w:eastAsiaTheme="minorEastAsia"/>
              <w:noProof/>
              <w:lang w:eastAsia="zh-CN"/>
            </w:rPr>
          </w:pPr>
          <w:hyperlink w:anchor="_Toc429484229" w:history="1">
            <w:r w:rsidR="004C261F" w:rsidRPr="001802A2">
              <w:rPr>
                <w:rStyle w:val="Hyperlink"/>
                <w:noProof/>
              </w:rPr>
              <w:t>References</w:t>
            </w:r>
            <w:r w:rsidR="004C261F">
              <w:rPr>
                <w:noProof/>
                <w:webHidden/>
              </w:rPr>
              <w:tab/>
            </w:r>
            <w:r w:rsidR="004C261F">
              <w:rPr>
                <w:noProof/>
                <w:webHidden/>
              </w:rPr>
              <w:fldChar w:fldCharType="begin"/>
            </w:r>
            <w:r w:rsidR="004C261F">
              <w:rPr>
                <w:noProof/>
                <w:webHidden/>
              </w:rPr>
              <w:instrText xml:space="preserve"> PAGEREF _Toc429484229 \h </w:instrText>
            </w:r>
            <w:r w:rsidR="004C261F">
              <w:rPr>
                <w:noProof/>
                <w:webHidden/>
              </w:rPr>
            </w:r>
            <w:r w:rsidR="004C261F">
              <w:rPr>
                <w:noProof/>
                <w:webHidden/>
              </w:rPr>
              <w:fldChar w:fldCharType="separate"/>
            </w:r>
            <w:r w:rsidR="004C261F">
              <w:rPr>
                <w:noProof/>
                <w:webHidden/>
              </w:rPr>
              <w:t>13</w:t>
            </w:r>
            <w:r w:rsidR="004C261F">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66C6C724" w14:textId="77777777" w:rsidR="00DD02AA" w:rsidRDefault="00DD02AA" w:rsidP="00DD02AA">
      <w:pPr>
        <w:pStyle w:val="Heading1"/>
      </w:pPr>
      <w:bookmarkStart w:id="0" w:name="_Toc432769752"/>
      <w:bookmarkStart w:id="1" w:name="_Toc405127685"/>
      <w:bookmarkStart w:id="2" w:name="_Toc429484217"/>
      <w:r>
        <w:lastRenderedPageBreak/>
        <w:t>Amendments and Updates</w:t>
      </w:r>
      <w:bookmarkEnd w:id="0"/>
    </w:p>
    <w:tbl>
      <w:tblPr>
        <w:tblStyle w:val="TableGrid"/>
        <w:tblW w:w="9883" w:type="dxa"/>
        <w:tblLook w:val="04A0" w:firstRow="1" w:lastRow="0" w:firstColumn="1" w:lastColumn="0" w:noHBand="0" w:noVBand="1"/>
      </w:tblPr>
      <w:tblGrid>
        <w:gridCol w:w="1005"/>
        <w:gridCol w:w="1970"/>
        <w:gridCol w:w="1909"/>
        <w:gridCol w:w="4999"/>
      </w:tblGrid>
      <w:tr w:rsidR="00DD02AA" w14:paraId="7C3CB659" w14:textId="77777777" w:rsidTr="00DD02AA">
        <w:tc>
          <w:tcPr>
            <w:tcW w:w="1005" w:type="dxa"/>
            <w:shd w:val="clear" w:color="auto" w:fill="C6D9F1" w:themeFill="text2" w:themeFillTint="33"/>
          </w:tcPr>
          <w:p w14:paraId="72D298E6" w14:textId="77777777" w:rsidR="00DD02AA" w:rsidRDefault="00DD02AA" w:rsidP="005C0353">
            <w:r>
              <w:t>Version</w:t>
            </w:r>
          </w:p>
        </w:tc>
        <w:tc>
          <w:tcPr>
            <w:tcW w:w="1970" w:type="dxa"/>
            <w:shd w:val="clear" w:color="auto" w:fill="C6D9F1" w:themeFill="text2" w:themeFillTint="33"/>
          </w:tcPr>
          <w:p w14:paraId="1440B42E" w14:textId="77777777" w:rsidR="00DD02AA" w:rsidRDefault="00DD02AA" w:rsidP="005C0353">
            <w:r>
              <w:t>Date</w:t>
            </w:r>
          </w:p>
        </w:tc>
        <w:tc>
          <w:tcPr>
            <w:tcW w:w="1909" w:type="dxa"/>
            <w:shd w:val="clear" w:color="auto" w:fill="C6D9F1" w:themeFill="text2" w:themeFillTint="33"/>
          </w:tcPr>
          <w:p w14:paraId="114D0F85" w14:textId="77777777" w:rsidR="00DD02AA" w:rsidRDefault="00DD02AA" w:rsidP="005C0353">
            <w:r>
              <w:t>Author(s)</w:t>
            </w:r>
          </w:p>
        </w:tc>
        <w:tc>
          <w:tcPr>
            <w:tcW w:w="4999" w:type="dxa"/>
            <w:shd w:val="clear" w:color="auto" w:fill="C6D9F1" w:themeFill="text2" w:themeFillTint="33"/>
          </w:tcPr>
          <w:p w14:paraId="54592DBE" w14:textId="77777777" w:rsidR="00DD02AA" w:rsidRDefault="00DD02AA" w:rsidP="005C0353">
            <w:r>
              <w:t>Comments</w:t>
            </w:r>
          </w:p>
        </w:tc>
      </w:tr>
      <w:tr w:rsidR="006F40D6" w14:paraId="3A9F6D27" w14:textId="77777777" w:rsidTr="00DD02AA">
        <w:tc>
          <w:tcPr>
            <w:tcW w:w="1005" w:type="dxa"/>
          </w:tcPr>
          <w:p w14:paraId="1C2C02A6" w14:textId="112B4876" w:rsidR="006F40D6" w:rsidRDefault="006F40D6" w:rsidP="005C0353">
            <w:r>
              <w:t>3</w:t>
            </w:r>
          </w:p>
        </w:tc>
        <w:tc>
          <w:tcPr>
            <w:tcW w:w="1970" w:type="dxa"/>
          </w:tcPr>
          <w:p w14:paraId="5F6E6A1A" w14:textId="4487A1CC" w:rsidR="006F40D6" w:rsidRDefault="006F40D6" w:rsidP="005C0353">
            <w:r>
              <w:t>20 April 2016</w:t>
            </w:r>
          </w:p>
        </w:tc>
        <w:tc>
          <w:tcPr>
            <w:tcW w:w="1909" w:type="dxa"/>
          </w:tcPr>
          <w:p w14:paraId="29E95272" w14:textId="6D4CFB1C" w:rsidR="006F40D6" w:rsidRDefault="006F40D6" w:rsidP="005C0353">
            <w:r>
              <w:t>Martijn Schuemie</w:t>
            </w:r>
          </w:p>
        </w:tc>
        <w:tc>
          <w:tcPr>
            <w:tcW w:w="4999" w:type="dxa"/>
          </w:tcPr>
          <w:p w14:paraId="770CA193" w14:textId="3D4A560F" w:rsidR="006F40D6" w:rsidRDefault="006F40D6" w:rsidP="005C0353">
            <w:r>
              <w:t>Changed drug classification from ATC top level to a custom classification. The reason is the ATC classification requires correct classification of the indication for which drugs are given, and that information is currently not readily available.</w:t>
            </w:r>
          </w:p>
        </w:tc>
      </w:tr>
      <w:tr w:rsidR="00DD02AA" w14:paraId="5579C8B5" w14:textId="77777777" w:rsidTr="00DD02AA">
        <w:tc>
          <w:tcPr>
            <w:tcW w:w="1005" w:type="dxa"/>
          </w:tcPr>
          <w:p w14:paraId="27D70834" w14:textId="14836D5C" w:rsidR="00DD02AA" w:rsidRDefault="00DD02AA" w:rsidP="005C0353">
            <w:r>
              <w:t>2</w:t>
            </w:r>
          </w:p>
        </w:tc>
        <w:tc>
          <w:tcPr>
            <w:tcW w:w="1970" w:type="dxa"/>
          </w:tcPr>
          <w:p w14:paraId="7F627127" w14:textId="4D0C63C5" w:rsidR="00DD02AA" w:rsidRDefault="009044FE" w:rsidP="005C0353">
            <w:r>
              <w:t>11 November</w:t>
            </w:r>
            <w:r w:rsidR="00DD02AA">
              <w:t xml:space="preserve"> 2015</w:t>
            </w:r>
          </w:p>
        </w:tc>
        <w:tc>
          <w:tcPr>
            <w:tcW w:w="1909" w:type="dxa"/>
          </w:tcPr>
          <w:p w14:paraId="7E9BE332" w14:textId="77777777" w:rsidR="00DD02AA" w:rsidRDefault="00DD02AA" w:rsidP="005C0353">
            <w:r>
              <w:t>Martijn Schuemie</w:t>
            </w:r>
          </w:p>
        </w:tc>
        <w:tc>
          <w:tcPr>
            <w:tcW w:w="4999" w:type="dxa"/>
          </w:tcPr>
          <w:p w14:paraId="7EEAB798" w14:textId="77777777" w:rsidR="00DD02AA" w:rsidRDefault="00550889" w:rsidP="005C0353">
            <w:r>
              <w:t xml:space="preserve">Modified definition of the denominator: no longer weighting by observed time, and inferring presence in database between observation periods. </w:t>
            </w:r>
          </w:p>
          <w:p w14:paraId="3D67E2EF" w14:textId="3FD711B9" w:rsidR="00550889" w:rsidRDefault="00550889" w:rsidP="005C0353">
            <w:r>
              <w:t>Dropped restriction of having at least 180 days of observation.</w:t>
            </w:r>
          </w:p>
        </w:tc>
      </w:tr>
      <w:tr w:rsidR="00DD02AA" w14:paraId="06A1FB57" w14:textId="77777777" w:rsidTr="00DD02AA">
        <w:tc>
          <w:tcPr>
            <w:tcW w:w="1005" w:type="dxa"/>
          </w:tcPr>
          <w:p w14:paraId="3C15B872" w14:textId="0D9247BF" w:rsidR="00DD02AA" w:rsidRDefault="00DD02AA" w:rsidP="005C0353">
            <w:r>
              <w:t>1</w:t>
            </w:r>
          </w:p>
        </w:tc>
        <w:tc>
          <w:tcPr>
            <w:tcW w:w="1970" w:type="dxa"/>
          </w:tcPr>
          <w:p w14:paraId="2851CE73" w14:textId="563BA61D" w:rsidR="00DD02AA" w:rsidRDefault="00DD02AA" w:rsidP="00DD02AA">
            <w:r>
              <w:t>8 September 2015</w:t>
            </w:r>
          </w:p>
        </w:tc>
        <w:tc>
          <w:tcPr>
            <w:tcW w:w="1909" w:type="dxa"/>
          </w:tcPr>
          <w:p w14:paraId="6569CDDE" w14:textId="0620FD89" w:rsidR="00DD02AA" w:rsidRDefault="00DD02AA" w:rsidP="005C0353">
            <w:r>
              <w:t>All</w:t>
            </w:r>
          </w:p>
        </w:tc>
        <w:tc>
          <w:tcPr>
            <w:tcW w:w="4999" w:type="dxa"/>
          </w:tcPr>
          <w:p w14:paraId="270BB16A" w14:textId="50E9E01E" w:rsidR="00DD02AA" w:rsidRDefault="00DD02AA" w:rsidP="005C0353">
            <w:r>
              <w:t>First version</w:t>
            </w:r>
          </w:p>
        </w:tc>
      </w:tr>
    </w:tbl>
    <w:p w14:paraId="74186425" w14:textId="77777777" w:rsidR="00DD02AA" w:rsidRDefault="00DD02AA" w:rsidP="00C84B89">
      <w:pPr>
        <w:pStyle w:val="Heading1"/>
      </w:pPr>
    </w:p>
    <w:p w14:paraId="16056C6F" w14:textId="77777777" w:rsidR="00EE73B8" w:rsidRDefault="00EE73B8" w:rsidP="00C84B89">
      <w:pPr>
        <w:pStyle w:val="Heading1"/>
      </w:pPr>
      <w:r>
        <w:t>Background</w:t>
      </w:r>
      <w:bookmarkEnd w:id="1"/>
      <w:bookmarkEnd w:id="2"/>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3" w:name="_Toc405127686"/>
      <w:bookmarkStart w:id="4" w:name="_Toc429484218"/>
      <w:r>
        <w:t>Objective</w:t>
      </w:r>
      <w:bookmarkEnd w:id="3"/>
      <w:bookmarkEnd w:id="4"/>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5" w:name="_Toc405127687"/>
      <w:bookmarkStart w:id="6" w:name="_Toc429484219"/>
      <w:r>
        <w:lastRenderedPageBreak/>
        <w:t>Data sources</w:t>
      </w:r>
      <w:bookmarkEnd w:id="5"/>
      <w:bookmarkEnd w:id="6"/>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proofErr w:type="spellStart"/>
      <w:r>
        <w:t>Ajou</w:t>
      </w:r>
      <w:proofErr w:type="spellEnd"/>
      <w:r>
        <w:t xml:space="preserve">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7" w:name="_Toc429484220"/>
      <w:proofErr w:type="spellStart"/>
      <w:r>
        <w:t>Ajou</w:t>
      </w:r>
      <w:proofErr w:type="spellEnd"/>
      <w:r>
        <w:t xml:space="preserve"> University School of Medicine (AUSOM)</w:t>
      </w:r>
      <w:bookmarkEnd w:id="7"/>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t xml:space="preserve">ACHILLES has been used to characterize the database and provide a data quality assessment.  The ACHILLES summary is available at: </w:t>
      </w:r>
    </w:p>
    <w:p w14:paraId="3A12D6F7" w14:textId="549F082A" w:rsidR="00CD762F" w:rsidRDefault="00C17A9F"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8" w:name="_Toc429484221"/>
      <w:r>
        <w:t>Hong Kong Clinical Data</w:t>
      </w:r>
      <w:r w:rsidR="003B63A9">
        <w:t xml:space="preserve"> Analysis</w:t>
      </w:r>
      <w:r>
        <w:t xml:space="preserve"> and Reporting System (CDARS)</w:t>
      </w:r>
      <w:bookmarkEnd w:id="8"/>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lastRenderedPageBreak/>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9" w:name="_Toc429484222"/>
      <w:r>
        <w:t>Japan Medical Data Center (JMDC)</w:t>
      </w:r>
      <w:bookmarkEnd w:id="9"/>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0" w:name="_Toc429484223"/>
      <w:r>
        <w:t>T</w:t>
      </w:r>
      <w:r w:rsidRPr="003C4AF4">
        <w:t>aiwan’s National Health Insurance Research Database (NHIRD)</w:t>
      </w:r>
      <w:bookmarkEnd w:id="10"/>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1" w:name="_Toc429484224"/>
      <w:r>
        <w:t xml:space="preserve">Australian </w:t>
      </w:r>
      <w:r w:rsidR="003A5D01">
        <w:t>Pharmaceutical</w:t>
      </w:r>
      <w:r>
        <w:t xml:space="preserve"> Benefits Scheme</w:t>
      </w:r>
      <w:r w:rsidR="00AD54AE">
        <w:t xml:space="preserve"> (PBS)</w:t>
      </w:r>
      <w:r>
        <w:t xml:space="preserve"> 10% Sample Data</w:t>
      </w:r>
      <w:bookmarkEnd w:id="11"/>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2" w:name="_Toc429484225"/>
      <w:bookmarkStart w:id="13" w:name="_Toc405127688"/>
      <w:r>
        <w:t>Data collection</w:t>
      </w:r>
      <w:bookmarkEnd w:id="12"/>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4" w:name="_Toc429484226"/>
      <w:r>
        <w:lastRenderedPageBreak/>
        <w:t>Population</w:t>
      </w:r>
      <w:bookmarkEnd w:id="13"/>
      <w:bookmarkEnd w:id="14"/>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5" w:name="_Toc405127692"/>
      <w:bookmarkStart w:id="16" w:name="_Toc429484227"/>
      <w:r>
        <w:t>Methods</w:t>
      </w:r>
      <w:bookmarkEnd w:id="15"/>
      <w:bookmarkEnd w:id="16"/>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77777777" w:rsidR="00DD0DD1" w:rsidRDefault="00793430">
      <w:r>
        <w:t>We use the person time accumulated in each calendar year and for each age group as the denominator to calculate prevalence rates. Over the study period, and within a calendar year children could contribute to more than one age category.</w:t>
      </w:r>
      <w:r w:rsidR="00A3358E" w:rsidRPr="00A3358E">
        <w:t xml:space="preserve"> </w:t>
      </w:r>
      <w:r w:rsidR="00A3358E">
        <w:t>We use person years rather than individuals because of the dynamic nature of age and the population.</w:t>
      </w:r>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39067BC5" w:rsidR="009616D5" w:rsidRDefault="0046296F">
      <w:r>
        <w:t xml:space="preserve">Drugs will be classified according to a custom defined drug classification (Appendix A). This classification is based on pharmacological class, and where appropriate aggregated further by indication. </w:t>
      </w:r>
      <w:r w:rsidR="000C71CA">
        <w:t xml:space="preserve">For each </w:t>
      </w:r>
      <w:r w:rsidR="00146F49">
        <w:t>drug</w:t>
      </w:r>
      <w:r w:rsidR="000C71CA">
        <w:t xml:space="preserve">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 xml:space="preserve">prevalence per </w:t>
      </w:r>
      <w:r w:rsidR="00146F49">
        <w:t>drug</w:t>
      </w:r>
      <w:r w:rsidR="008B5BB4">
        <w:t xml:space="preserve"> class in each country.</w:t>
      </w:r>
    </w:p>
    <w:p w14:paraId="6BFF6C89" w14:textId="057483D0" w:rsidR="00C84B89" w:rsidRDefault="00D01B2B" w:rsidP="00D01B2B">
      <w:pPr>
        <w:pStyle w:val="Heading1"/>
      </w:pPr>
      <w:bookmarkStart w:id="17" w:name="_Toc429484228"/>
      <w:r>
        <w:t xml:space="preserve">Table </w:t>
      </w:r>
      <w:r w:rsidR="00854C82">
        <w:t xml:space="preserve">and figure </w:t>
      </w:r>
      <w:r>
        <w:t>shells</w:t>
      </w:r>
      <w:bookmarkEnd w:id="17"/>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3D526DB8" w:rsidR="00776738" w:rsidRDefault="00F402EC" w:rsidP="00AE605B">
            <w:r>
              <w:rPr>
                <w:sz w:val="20"/>
              </w:rPr>
              <w:t>Drug class</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30FCBB3C" w:rsidR="00776738" w:rsidRDefault="00F402EC" w:rsidP="00AE605B">
            <w:proofErr w:type="spellStart"/>
            <w:r w:rsidRPr="00F402EC">
              <w:rPr>
                <w:sz w:val="20"/>
              </w:rPr>
              <w:t>Adrenergics</w:t>
            </w:r>
            <w:proofErr w:type="spellEnd"/>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2147AA3C" w:rsidR="00776738" w:rsidRDefault="00F402EC" w:rsidP="00AE605B">
            <w:r w:rsidRPr="00F402EC">
              <w:rPr>
                <w:sz w:val="20"/>
              </w:rPr>
              <w:t>Analgesics (</w:t>
            </w:r>
            <w:proofErr w:type="spellStart"/>
            <w:r w:rsidRPr="00F402EC">
              <w:rPr>
                <w:sz w:val="20"/>
              </w:rPr>
              <w:t>inc.</w:t>
            </w:r>
            <w:proofErr w:type="spellEnd"/>
            <w:r w:rsidRPr="00F402EC">
              <w:rPr>
                <w:sz w:val="20"/>
              </w:rPr>
              <w:t xml:space="preserve"> NSAIDs)</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F402EC" w14:paraId="7424E72D" w14:textId="77777777" w:rsidTr="00F51FA5">
        <w:tc>
          <w:tcPr>
            <w:tcW w:w="1638" w:type="dxa"/>
          </w:tcPr>
          <w:p w14:paraId="443A9639" w14:textId="766B2AC5" w:rsidR="00F402EC" w:rsidRDefault="00F402EC" w:rsidP="00F51FA5">
            <w:r>
              <w:rPr>
                <w:sz w:val="20"/>
              </w:rPr>
              <w:t>Drug class</w:t>
            </w:r>
          </w:p>
        </w:tc>
        <w:tc>
          <w:tcPr>
            <w:tcW w:w="1029" w:type="dxa"/>
          </w:tcPr>
          <w:p w14:paraId="16A1D7E9" w14:textId="77777777" w:rsidR="00F402EC" w:rsidRDefault="00F402EC" w:rsidP="00F51FA5">
            <w:r>
              <w:t>AUSOM</w:t>
            </w:r>
          </w:p>
        </w:tc>
        <w:tc>
          <w:tcPr>
            <w:tcW w:w="927" w:type="dxa"/>
          </w:tcPr>
          <w:p w14:paraId="59E4B8E5" w14:textId="77777777" w:rsidR="00F402EC" w:rsidRDefault="00F402EC" w:rsidP="00F51FA5">
            <w:r>
              <w:t>CDARS</w:t>
            </w:r>
          </w:p>
        </w:tc>
        <w:tc>
          <w:tcPr>
            <w:tcW w:w="837" w:type="dxa"/>
          </w:tcPr>
          <w:p w14:paraId="36960C53" w14:textId="77777777" w:rsidR="00F402EC" w:rsidRDefault="00F402EC" w:rsidP="00F51FA5">
            <w:r>
              <w:t>JMDC</w:t>
            </w:r>
          </w:p>
        </w:tc>
        <w:tc>
          <w:tcPr>
            <w:tcW w:w="915" w:type="dxa"/>
          </w:tcPr>
          <w:p w14:paraId="35638B8B" w14:textId="77777777" w:rsidR="00F402EC" w:rsidRDefault="00F402EC" w:rsidP="00F51FA5">
            <w:pPr>
              <w:jc w:val="center"/>
            </w:pPr>
            <w:r>
              <w:t>NHIRD</w:t>
            </w:r>
          </w:p>
        </w:tc>
        <w:tc>
          <w:tcPr>
            <w:tcW w:w="1029" w:type="dxa"/>
          </w:tcPr>
          <w:p w14:paraId="46ED2099" w14:textId="77777777" w:rsidR="00F402EC" w:rsidRDefault="00F402EC" w:rsidP="00F51FA5">
            <w:pPr>
              <w:jc w:val="center"/>
            </w:pPr>
            <w:r>
              <w:t>AUSOM</w:t>
            </w:r>
          </w:p>
        </w:tc>
        <w:tc>
          <w:tcPr>
            <w:tcW w:w="927" w:type="dxa"/>
          </w:tcPr>
          <w:p w14:paraId="120863E7" w14:textId="77777777" w:rsidR="00F402EC" w:rsidRDefault="00F402EC" w:rsidP="00F51FA5">
            <w:pPr>
              <w:jc w:val="center"/>
            </w:pPr>
            <w:r>
              <w:t>CDARS</w:t>
            </w:r>
          </w:p>
        </w:tc>
        <w:tc>
          <w:tcPr>
            <w:tcW w:w="837" w:type="dxa"/>
          </w:tcPr>
          <w:p w14:paraId="66ED51FC" w14:textId="77777777" w:rsidR="00F402EC" w:rsidRDefault="00F402EC" w:rsidP="00F51FA5">
            <w:pPr>
              <w:jc w:val="center"/>
            </w:pPr>
            <w:r>
              <w:t>JMDC</w:t>
            </w:r>
          </w:p>
        </w:tc>
        <w:tc>
          <w:tcPr>
            <w:tcW w:w="915" w:type="dxa"/>
          </w:tcPr>
          <w:p w14:paraId="396F0BCF" w14:textId="77777777" w:rsidR="00F402EC" w:rsidRDefault="00F402EC" w:rsidP="00F51FA5">
            <w:pPr>
              <w:jc w:val="center"/>
            </w:pPr>
            <w:r>
              <w:t>NHIRD</w:t>
            </w:r>
          </w:p>
        </w:tc>
      </w:tr>
      <w:tr w:rsidR="00F402EC" w14:paraId="5F9AF27C" w14:textId="77777777" w:rsidTr="00F51FA5">
        <w:tc>
          <w:tcPr>
            <w:tcW w:w="1638" w:type="dxa"/>
          </w:tcPr>
          <w:p w14:paraId="46C5A787" w14:textId="37C2BF44" w:rsidR="00F402EC" w:rsidRDefault="00F402EC" w:rsidP="00F51FA5">
            <w:proofErr w:type="spellStart"/>
            <w:r w:rsidRPr="00F402EC">
              <w:rPr>
                <w:sz w:val="20"/>
              </w:rPr>
              <w:t>Adrenergics</w:t>
            </w:r>
            <w:proofErr w:type="spellEnd"/>
          </w:p>
        </w:tc>
        <w:tc>
          <w:tcPr>
            <w:tcW w:w="1029" w:type="dxa"/>
          </w:tcPr>
          <w:p w14:paraId="27B8BB63" w14:textId="77777777" w:rsidR="00F402EC" w:rsidRDefault="00F402EC" w:rsidP="00F51FA5"/>
        </w:tc>
        <w:tc>
          <w:tcPr>
            <w:tcW w:w="927" w:type="dxa"/>
          </w:tcPr>
          <w:p w14:paraId="74F99A88" w14:textId="77777777" w:rsidR="00F402EC" w:rsidRDefault="00F402EC" w:rsidP="00F51FA5"/>
        </w:tc>
        <w:tc>
          <w:tcPr>
            <w:tcW w:w="837" w:type="dxa"/>
          </w:tcPr>
          <w:p w14:paraId="26AA3DE2" w14:textId="77777777" w:rsidR="00F402EC" w:rsidRDefault="00F402EC" w:rsidP="00F51FA5"/>
        </w:tc>
        <w:tc>
          <w:tcPr>
            <w:tcW w:w="915" w:type="dxa"/>
          </w:tcPr>
          <w:p w14:paraId="6C14BEEC" w14:textId="77777777" w:rsidR="00F402EC" w:rsidRDefault="00F402EC" w:rsidP="00F51FA5"/>
        </w:tc>
        <w:tc>
          <w:tcPr>
            <w:tcW w:w="1029" w:type="dxa"/>
          </w:tcPr>
          <w:p w14:paraId="72ED49EF" w14:textId="77777777" w:rsidR="00F402EC" w:rsidRDefault="00F402EC" w:rsidP="00F51FA5"/>
        </w:tc>
        <w:tc>
          <w:tcPr>
            <w:tcW w:w="927" w:type="dxa"/>
          </w:tcPr>
          <w:p w14:paraId="143A4CBD" w14:textId="77777777" w:rsidR="00F402EC" w:rsidRDefault="00F402EC" w:rsidP="00F51FA5"/>
        </w:tc>
        <w:tc>
          <w:tcPr>
            <w:tcW w:w="837" w:type="dxa"/>
          </w:tcPr>
          <w:p w14:paraId="1B9EAC54" w14:textId="77777777" w:rsidR="00F402EC" w:rsidRDefault="00F402EC" w:rsidP="00F51FA5"/>
        </w:tc>
        <w:tc>
          <w:tcPr>
            <w:tcW w:w="915" w:type="dxa"/>
          </w:tcPr>
          <w:p w14:paraId="3145D8CD" w14:textId="77777777" w:rsidR="00F402EC" w:rsidRDefault="00F402EC" w:rsidP="00F51FA5"/>
        </w:tc>
      </w:tr>
      <w:tr w:rsidR="00F402EC" w14:paraId="2422289B" w14:textId="77777777" w:rsidTr="00F51FA5">
        <w:tc>
          <w:tcPr>
            <w:tcW w:w="1638" w:type="dxa"/>
          </w:tcPr>
          <w:p w14:paraId="565559DC" w14:textId="6B213F1C" w:rsidR="00F402EC" w:rsidRDefault="00F402EC" w:rsidP="00F51FA5">
            <w:r w:rsidRPr="00F402EC">
              <w:rPr>
                <w:sz w:val="20"/>
              </w:rPr>
              <w:t>Analgesics (</w:t>
            </w:r>
            <w:proofErr w:type="spellStart"/>
            <w:r w:rsidRPr="00F402EC">
              <w:rPr>
                <w:sz w:val="20"/>
              </w:rPr>
              <w:t>inc.</w:t>
            </w:r>
            <w:proofErr w:type="spellEnd"/>
            <w:r w:rsidRPr="00F402EC">
              <w:rPr>
                <w:sz w:val="20"/>
              </w:rPr>
              <w:t xml:space="preserve"> NSAIDs)</w:t>
            </w:r>
          </w:p>
        </w:tc>
        <w:tc>
          <w:tcPr>
            <w:tcW w:w="1029" w:type="dxa"/>
          </w:tcPr>
          <w:p w14:paraId="23652C75" w14:textId="77777777" w:rsidR="00F402EC" w:rsidRDefault="00F402EC" w:rsidP="00F51FA5"/>
        </w:tc>
        <w:tc>
          <w:tcPr>
            <w:tcW w:w="927" w:type="dxa"/>
          </w:tcPr>
          <w:p w14:paraId="7B674EAE" w14:textId="77777777" w:rsidR="00F402EC" w:rsidRDefault="00F402EC" w:rsidP="00F51FA5"/>
        </w:tc>
        <w:tc>
          <w:tcPr>
            <w:tcW w:w="837" w:type="dxa"/>
          </w:tcPr>
          <w:p w14:paraId="454262AB" w14:textId="77777777" w:rsidR="00F402EC" w:rsidRDefault="00F402EC" w:rsidP="00F51FA5"/>
        </w:tc>
        <w:tc>
          <w:tcPr>
            <w:tcW w:w="915" w:type="dxa"/>
          </w:tcPr>
          <w:p w14:paraId="1ED024E5" w14:textId="77777777" w:rsidR="00F402EC" w:rsidRDefault="00F402EC" w:rsidP="00F51FA5"/>
        </w:tc>
        <w:tc>
          <w:tcPr>
            <w:tcW w:w="1029" w:type="dxa"/>
          </w:tcPr>
          <w:p w14:paraId="322438D0" w14:textId="77777777" w:rsidR="00F402EC" w:rsidRDefault="00F402EC" w:rsidP="00F51FA5"/>
        </w:tc>
        <w:tc>
          <w:tcPr>
            <w:tcW w:w="927" w:type="dxa"/>
          </w:tcPr>
          <w:p w14:paraId="32A45250" w14:textId="77777777" w:rsidR="00F402EC" w:rsidRDefault="00F402EC" w:rsidP="00F51FA5"/>
        </w:tc>
        <w:tc>
          <w:tcPr>
            <w:tcW w:w="837" w:type="dxa"/>
          </w:tcPr>
          <w:p w14:paraId="64F69D3A" w14:textId="77777777" w:rsidR="00F402EC" w:rsidRDefault="00F402EC" w:rsidP="00F51FA5"/>
        </w:tc>
        <w:tc>
          <w:tcPr>
            <w:tcW w:w="915" w:type="dxa"/>
          </w:tcPr>
          <w:p w14:paraId="63FAB5ED" w14:textId="77777777" w:rsidR="00F402EC" w:rsidRDefault="00F402E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0FE73F8A" w:rsidR="00EF1EA5" w:rsidRPr="00AE605B" w:rsidRDefault="00AA2A51" w:rsidP="00F51FA5">
            <w:pPr>
              <w:rPr>
                <w:sz w:val="16"/>
              </w:rPr>
            </w:pPr>
            <w:r>
              <w:rPr>
                <w:noProof/>
                <w:lang w:eastAsia="zh-CN"/>
              </w:rPr>
              <mc:AlternateContent>
                <mc:Choice Requires="wps">
                  <w:drawing>
                    <wp:anchor distT="0" distB="0" distL="114300" distR="114300" simplePos="0" relativeHeight="251685888" behindDoc="0" locked="0" layoutInCell="1" allowOverlap="1" wp14:anchorId="732D4757" wp14:editId="7AE7F7BD">
                      <wp:simplePos x="0" y="0"/>
                      <wp:positionH relativeFrom="column">
                        <wp:posOffset>399415</wp:posOffset>
                      </wp:positionH>
                      <wp:positionV relativeFrom="paragraph">
                        <wp:posOffset>57150</wp:posOffset>
                      </wp:positionV>
                      <wp:extent cx="5326380" cy="1403985"/>
                      <wp:effectExtent l="0" t="685800" r="0" b="6756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5pt;margin-top:4.5pt;width:419.4pt;height:110.55pt;rotation:-1030923fd;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dwFQIAAAI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g7SgzTOKIX&#10;MQTyAQZSRnV66ytMeraYFgY8jpmxU2+fgP/0xMBDx8xe3DsHfSdYg+yKeDO7uTri+Aiy679Ag2XY&#10;IUACGlqniQMcTZkv5otiUaZj1IZgMRza6TKoyIzj4XxaLqZLDHGMFbN8ulrOU0lWRbRIzzofPgnQ&#10;JP7U1KETEiw7PvkQ2V1TYrqBrVQquUEZ0td0NS/n6cJNRMuAZlVS13SZx2+0T2z6o2nS5cCkGv+x&#10;gDJnFWLjowRh2A2YGKXZQXNCPVLn2Ao+IuTZgftNSY+GrKn/dWBOUKI+G9R0Vcxm0cFpM5u/L3Hj&#10;biO72wgzHKFqGigZfx9Ccv04uXvUfiuTDFcmZ65otKTO+VFEJ9/uU9b16W5eAQAA//8DAFBLAwQU&#10;AAYACAAAACEAATNz8N4AAAAIAQAADwAAAGRycy9kb3ducmV2LnhtbEyPUUvDMBSF3wX/Q7iCby5p&#10;hWlr0yGCsr0ImwNfsyZri81NSLKu3a/3+uQeD+dwzneq1WQHNpoQe4cSsoUAZrBxusdWwv7r/eEZ&#10;WEwKtRocGgmzibCqb28qVWp3xq0Zd6llVIKxVBK6lHzJeWw6Y1VcOG+QvKMLViWSoeU6qDOV24Hn&#10;Qiy5VT3SQqe8eetM87M7WQmj/57ndQyb/XgJ/rLZ2vXx80PK+7vp9QVYMlP6D8MfPqFDTUwHd0Id&#10;2SBhmReUlFDQI7ILkT0BO0jIH0UGvK749YH6FwAA//8DAFBLAQItABQABgAIAAAAIQC2gziS/gAA&#10;AOEBAAATAAAAAAAAAAAAAAAAAAAAAABbQ29udGVudF9UeXBlc10ueG1sUEsBAi0AFAAGAAgAAAAh&#10;ADj9If/WAAAAlAEAAAsAAAAAAAAAAAAAAAAALwEAAF9yZWxzLy5yZWxzUEsBAi0AFAAGAAgAAAAh&#10;AP1ip3AVAgAAAgQAAA4AAAAAAAAAAAAAAAAALgIAAGRycy9lMm9Eb2MueG1sUEsBAi0AFAAGAAgA&#10;AAAhAAEzc/DeAAAACAEAAA8AAAAAAAAAAAAAAAAAbwQAAGRycy9kb3ducmV2LnhtbFBLBQYAAAAA&#10;BAAEAPMAAAB6BQAAAAA=&#10;" filled="f" stroked="f">
                      <v:textbox style="mso-fit-shape-to-text:t">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proofErr w:type="spellStart"/>
            <w:r w:rsidR="00F402EC" w:rsidRPr="00F402EC">
              <w:rPr>
                <w:sz w:val="20"/>
              </w:rPr>
              <w:t>Adrenergics</w:t>
            </w:r>
            <w:proofErr w:type="spellEnd"/>
          </w:p>
        </w:tc>
        <w:tc>
          <w:tcPr>
            <w:tcW w:w="1712" w:type="dxa"/>
            <w:tcBorders>
              <w:right w:val="nil"/>
            </w:tcBorders>
          </w:tcPr>
          <w:p w14:paraId="25BED023" w14:textId="77777777" w:rsidR="00994551" w:rsidRPr="00994551" w:rsidRDefault="00994551" w:rsidP="00994551">
            <w:pPr>
              <w:rPr>
                <w:sz w:val="18"/>
              </w:rPr>
            </w:pPr>
            <w:proofErr w:type="spellStart"/>
            <w:r w:rsidRPr="00994551">
              <w:rPr>
                <w:sz w:val="18"/>
              </w:rPr>
              <w:t>tulobuterol</w:t>
            </w:r>
            <w:proofErr w:type="spellEnd"/>
          </w:p>
          <w:p w14:paraId="24438710" w14:textId="77777777" w:rsidR="00994551" w:rsidRPr="00994551" w:rsidRDefault="00994551" w:rsidP="00994551">
            <w:pPr>
              <w:rPr>
                <w:sz w:val="18"/>
              </w:rPr>
            </w:pPr>
            <w:proofErr w:type="spellStart"/>
            <w:r w:rsidRPr="00994551">
              <w:rPr>
                <w:sz w:val="18"/>
              </w:rPr>
              <w:t>Procaterol</w:t>
            </w:r>
            <w:proofErr w:type="spellEnd"/>
          </w:p>
          <w:p w14:paraId="4DA13B11" w14:textId="77777777" w:rsidR="00994551" w:rsidRPr="00994551" w:rsidRDefault="00994551" w:rsidP="00994551">
            <w:pPr>
              <w:rPr>
                <w:sz w:val="18"/>
              </w:rPr>
            </w:pPr>
            <w:r w:rsidRPr="00994551">
              <w:rPr>
                <w:sz w:val="18"/>
              </w:rPr>
              <w:t>Albuterol</w:t>
            </w:r>
          </w:p>
          <w:p w14:paraId="3D63D53D" w14:textId="77777777" w:rsidR="00994551" w:rsidRPr="00994551" w:rsidRDefault="00994551" w:rsidP="00994551">
            <w:pPr>
              <w:rPr>
                <w:sz w:val="18"/>
              </w:rPr>
            </w:pPr>
            <w:r w:rsidRPr="00994551">
              <w:rPr>
                <w:sz w:val="18"/>
              </w:rPr>
              <w:t>Epinephrine</w:t>
            </w:r>
          </w:p>
          <w:p w14:paraId="0D2C2276" w14:textId="39F86BBD" w:rsidR="00EF1EA5" w:rsidRPr="007F7EAE" w:rsidRDefault="00994551" w:rsidP="00994551">
            <w:pPr>
              <w:rPr>
                <w:sz w:val="18"/>
              </w:rPr>
            </w:pPr>
            <w:r w:rsidRPr="00994551">
              <w:rPr>
                <w:sz w:val="18"/>
              </w:rPr>
              <w:t>Ephedrine</w:t>
            </w:r>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0750373A" w14:textId="77777777" w:rsidR="00994551" w:rsidRPr="00994551" w:rsidRDefault="00994551" w:rsidP="00994551">
            <w:pPr>
              <w:rPr>
                <w:sz w:val="18"/>
              </w:rPr>
            </w:pPr>
            <w:proofErr w:type="spellStart"/>
            <w:r w:rsidRPr="00994551">
              <w:rPr>
                <w:sz w:val="18"/>
              </w:rPr>
              <w:t>tulobuterol</w:t>
            </w:r>
            <w:proofErr w:type="spellEnd"/>
          </w:p>
          <w:p w14:paraId="2B636D42" w14:textId="77777777" w:rsidR="00994551" w:rsidRPr="00994551" w:rsidRDefault="00994551" w:rsidP="00994551">
            <w:pPr>
              <w:rPr>
                <w:sz w:val="18"/>
              </w:rPr>
            </w:pPr>
            <w:proofErr w:type="spellStart"/>
            <w:r w:rsidRPr="00994551">
              <w:rPr>
                <w:sz w:val="18"/>
              </w:rPr>
              <w:t>Procaterol</w:t>
            </w:r>
            <w:proofErr w:type="spellEnd"/>
          </w:p>
          <w:p w14:paraId="206357DE" w14:textId="54886714" w:rsidR="00994551" w:rsidRPr="00994551" w:rsidRDefault="00994551" w:rsidP="00994551">
            <w:pPr>
              <w:rPr>
                <w:sz w:val="18"/>
              </w:rPr>
            </w:pPr>
            <w:r w:rsidRPr="00994551">
              <w:rPr>
                <w:sz w:val="18"/>
              </w:rPr>
              <w:t>Albuterol</w:t>
            </w:r>
          </w:p>
          <w:p w14:paraId="1E2E9FCA" w14:textId="77777777" w:rsidR="00994551" w:rsidRPr="00994551" w:rsidRDefault="00994551" w:rsidP="00994551">
            <w:pPr>
              <w:rPr>
                <w:sz w:val="18"/>
              </w:rPr>
            </w:pPr>
            <w:r w:rsidRPr="00994551">
              <w:rPr>
                <w:sz w:val="18"/>
              </w:rPr>
              <w:t>Epinephrine</w:t>
            </w:r>
          </w:p>
          <w:p w14:paraId="20C66E82" w14:textId="7DB4CE70" w:rsidR="00EF1EA5" w:rsidRPr="007F7EAE" w:rsidRDefault="00994551" w:rsidP="00994551">
            <w:pPr>
              <w:rPr>
                <w:sz w:val="18"/>
              </w:rPr>
            </w:pPr>
            <w:r w:rsidRPr="00994551">
              <w:rPr>
                <w:sz w:val="18"/>
              </w:rPr>
              <w:t>Ephedrine</w:t>
            </w:r>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40C80D7E" w14:textId="77777777" w:rsidR="00994551" w:rsidRPr="00994551" w:rsidRDefault="00994551" w:rsidP="00994551">
            <w:pPr>
              <w:rPr>
                <w:sz w:val="18"/>
              </w:rPr>
            </w:pPr>
            <w:proofErr w:type="spellStart"/>
            <w:r w:rsidRPr="00994551">
              <w:rPr>
                <w:sz w:val="18"/>
              </w:rPr>
              <w:t>tulobuterol</w:t>
            </w:r>
            <w:proofErr w:type="spellEnd"/>
          </w:p>
          <w:p w14:paraId="55BA792F" w14:textId="77777777" w:rsidR="00994551" w:rsidRPr="00994551" w:rsidRDefault="00994551" w:rsidP="00994551">
            <w:pPr>
              <w:rPr>
                <w:sz w:val="18"/>
              </w:rPr>
            </w:pPr>
            <w:proofErr w:type="spellStart"/>
            <w:r w:rsidRPr="00994551">
              <w:rPr>
                <w:sz w:val="18"/>
              </w:rPr>
              <w:t>Procaterol</w:t>
            </w:r>
            <w:proofErr w:type="spellEnd"/>
          </w:p>
          <w:p w14:paraId="6DC7D4D1" w14:textId="77777777" w:rsidR="00994551" w:rsidRPr="00994551" w:rsidRDefault="00994551" w:rsidP="00994551">
            <w:pPr>
              <w:rPr>
                <w:sz w:val="18"/>
              </w:rPr>
            </w:pPr>
            <w:r w:rsidRPr="00994551">
              <w:rPr>
                <w:sz w:val="18"/>
              </w:rPr>
              <w:t>Albuterol</w:t>
            </w:r>
          </w:p>
          <w:p w14:paraId="263C407A" w14:textId="77777777" w:rsidR="00994551" w:rsidRPr="00994551" w:rsidRDefault="00994551" w:rsidP="00994551">
            <w:pPr>
              <w:rPr>
                <w:sz w:val="18"/>
              </w:rPr>
            </w:pPr>
            <w:r w:rsidRPr="00994551">
              <w:rPr>
                <w:sz w:val="18"/>
              </w:rPr>
              <w:t>Epinephrine</w:t>
            </w:r>
          </w:p>
          <w:p w14:paraId="21A295E7" w14:textId="70824708" w:rsidR="00EF1EA5" w:rsidRPr="007F7EAE" w:rsidRDefault="00994551" w:rsidP="00994551">
            <w:pPr>
              <w:rPr>
                <w:sz w:val="18"/>
              </w:rPr>
            </w:pPr>
            <w:r w:rsidRPr="00994551">
              <w:rPr>
                <w:sz w:val="18"/>
              </w:rPr>
              <w:t>Ephedrine</w:t>
            </w:r>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08B127A6" w14:textId="77777777" w:rsidR="00994551" w:rsidRPr="00994551" w:rsidRDefault="00994551" w:rsidP="00994551">
            <w:pPr>
              <w:rPr>
                <w:sz w:val="18"/>
              </w:rPr>
            </w:pPr>
            <w:proofErr w:type="spellStart"/>
            <w:r w:rsidRPr="00994551">
              <w:rPr>
                <w:sz w:val="18"/>
              </w:rPr>
              <w:t>tulobuterol</w:t>
            </w:r>
            <w:proofErr w:type="spellEnd"/>
          </w:p>
          <w:p w14:paraId="0F4AC501" w14:textId="77777777" w:rsidR="00994551" w:rsidRPr="00994551" w:rsidRDefault="00994551" w:rsidP="00994551">
            <w:pPr>
              <w:rPr>
                <w:sz w:val="18"/>
              </w:rPr>
            </w:pPr>
            <w:proofErr w:type="spellStart"/>
            <w:r w:rsidRPr="00994551">
              <w:rPr>
                <w:sz w:val="18"/>
              </w:rPr>
              <w:t>Procaterol</w:t>
            </w:r>
            <w:proofErr w:type="spellEnd"/>
          </w:p>
          <w:p w14:paraId="42746598" w14:textId="77777777" w:rsidR="00994551" w:rsidRPr="00994551" w:rsidRDefault="00994551" w:rsidP="00994551">
            <w:pPr>
              <w:rPr>
                <w:sz w:val="18"/>
              </w:rPr>
            </w:pPr>
            <w:r w:rsidRPr="00994551">
              <w:rPr>
                <w:sz w:val="18"/>
              </w:rPr>
              <w:t>Albuterol</w:t>
            </w:r>
          </w:p>
          <w:p w14:paraId="066A54D5" w14:textId="77777777" w:rsidR="00994551" w:rsidRPr="00994551" w:rsidRDefault="00994551" w:rsidP="00994551">
            <w:pPr>
              <w:rPr>
                <w:sz w:val="18"/>
              </w:rPr>
            </w:pPr>
            <w:r w:rsidRPr="00994551">
              <w:rPr>
                <w:sz w:val="18"/>
              </w:rPr>
              <w:t>Epinephrine</w:t>
            </w:r>
          </w:p>
          <w:p w14:paraId="6B3A2216" w14:textId="38453656" w:rsidR="00EF1EA5" w:rsidRPr="007F7EAE" w:rsidRDefault="00994551" w:rsidP="00994551">
            <w:pPr>
              <w:rPr>
                <w:sz w:val="18"/>
              </w:rPr>
            </w:pPr>
            <w:r w:rsidRPr="00994551">
              <w:rPr>
                <w:sz w:val="18"/>
              </w:rPr>
              <w:t>Ephedrine</w:t>
            </w:r>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3D3F1026" w:rsidR="00EF1EA5" w:rsidRPr="00AE605B" w:rsidRDefault="00F402EC" w:rsidP="00F51FA5">
            <w:pPr>
              <w:rPr>
                <w:sz w:val="16"/>
              </w:rPr>
            </w:pPr>
            <w:r w:rsidRPr="00F402EC">
              <w:rPr>
                <w:sz w:val="20"/>
              </w:rPr>
              <w:t>Analgesics (</w:t>
            </w:r>
            <w:proofErr w:type="spellStart"/>
            <w:r w:rsidRPr="00F402EC">
              <w:rPr>
                <w:sz w:val="20"/>
              </w:rPr>
              <w:t>inc.</w:t>
            </w:r>
            <w:proofErr w:type="spellEnd"/>
            <w:r w:rsidRPr="00F402EC">
              <w:rPr>
                <w:sz w:val="20"/>
              </w:rPr>
              <w:t xml:space="preserve"> NSAIDs)</w:t>
            </w:r>
          </w:p>
        </w:tc>
        <w:tc>
          <w:tcPr>
            <w:tcW w:w="1712" w:type="dxa"/>
            <w:tcBorders>
              <w:right w:val="nil"/>
            </w:tcBorders>
          </w:tcPr>
          <w:p w14:paraId="0C7102AB" w14:textId="77777777" w:rsidR="00994551" w:rsidRPr="00994551" w:rsidRDefault="00994551" w:rsidP="00994551">
            <w:pPr>
              <w:rPr>
                <w:sz w:val="18"/>
              </w:rPr>
            </w:pPr>
            <w:r w:rsidRPr="00994551">
              <w:rPr>
                <w:sz w:val="18"/>
              </w:rPr>
              <w:t>Acetaminophen</w:t>
            </w:r>
          </w:p>
          <w:p w14:paraId="668012EB" w14:textId="77777777" w:rsidR="00994551" w:rsidRPr="00994551" w:rsidRDefault="00994551" w:rsidP="00994551">
            <w:pPr>
              <w:rPr>
                <w:sz w:val="18"/>
              </w:rPr>
            </w:pPr>
            <w:r w:rsidRPr="00994551">
              <w:rPr>
                <w:sz w:val="18"/>
              </w:rPr>
              <w:t>Fentanyl</w:t>
            </w:r>
          </w:p>
          <w:p w14:paraId="0D81C5AB" w14:textId="5A629CBA" w:rsidR="00EF1EA5" w:rsidRDefault="00994551" w:rsidP="00994551">
            <w:proofErr w:type="spellStart"/>
            <w:r w:rsidRPr="00994551">
              <w:rPr>
                <w:sz w:val="18"/>
              </w:rPr>
              <w:t>remifentanil</w:t>
            </w:r>
            <w:proofErr w:type="spellEnd"/>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61C3E302" w14:textId="77777777" w:rsidR="00994551" w:rsidRPr="00994551" w:rsidRDefault="00994551" w:rsidP="00994551">
            <w:pPr>
              <w:rPr>
                <w:sz w:val="18"/>
              </w:rPr>
            </w:pPr>
            <w:r w:rsidRPr="00994551">
              <w:rPr>
                <w:sz w:val="18"/>
              </w:rPr>
              <w:t>Acetaminophen</w:t>
            </w:r>
          </w:p>
          <w:p w14:paraId="32E8B2EC" w14:textId="77777777" w:rsidR="00994551" w:rsidRPr="00994551" w:rsidRDefault="00994551" w:rsidP="00994551">
            <w:pPr>
              <w:rPr>
                <w:sz w:val="18"/>
              </w:rPr>
            </w:pPr>
            <w:r w:rsidRPr="00994551">
              <w:rPr>
                <w:sz w:val="18"/>
              </w:rPr>
              <w:t>Fentanyl</w:t>
            </w:r>
          </w:p>
          <w:p w14:paraId="4C310CFB" w14:textId="2424D07E" w:rsidR="00EF1EA5" w:rsidRDefault="00994551" w:rsidP="00994551">
            <w:proofErr w:type="spellStart"/>
            <w:r w:rsidRPr="00994551">
              <w:rPr>
                <w:sz w:val="18"/>
              </w:rPr>
              <w:t>remifentanil</w:t>
            </w:r>
            <w:proofErr w:type="spellEnd"/>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6649E138" w14:textId="77777777" w:rsidR="00994551" w:rsidRPr="00994551" w:rsidRDefault="00994551" w:rsidP="00994551">
            <w:pPr>
              <w:rPr>
                <w:sz w:val="18"/>
              </w:rPr>
            </w:pPr>
            <w:r w:rsidRPr="00994551">
              <w:rPr>
                <w:sz w:val="18"/>
              </w:rPr>
              <w:t>Acetaminophen</w:t>
            </w:r>
          </w:p>
          <w:p w14:paraId="3B520D3E" w14:textId="77777777" w:rsidR="00994551" w:rsidRPr="00994551" w:rsidRDefault="00994551" w:rsidP="00994551">
            <w:pPr>
              <w:rPr>
                <w:sz w:val="18"/>
              </w:rPr>
            </w:pPr>
            <w:r w:rsidRPr="00994551">
              <w:rPr>
                <w:sz w:val="18"/>
              </w:rPr>
              <w:t>Fentanyl</w:t>
            </w:r>
          </w:p>
          <w:p w14:paraId="638B2129" w14:textId="55D2CC94" w:rsidR="00EF1EA5" w:rsidRDefault="00994551" w:rsidP="00994551">
            <w:proofErr w:type="spellStart"/>
            <w:r w:rsidRPr="00994551">
              <w:rPr>
                <w:sz w:val="18"/>
              </w:rPr>
              <w:t>remifentanil</w:t>
            </w:r>
            <w:proofErr w:type="spellEnd"/>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61985C62" w14:textId="77777777" w:rsidR="00994551" w:rsidRPr="00994551" w:rsidRDefault="00994551" w:rsidP="00994551">
            <w:pPr>
              <w:rPr>
                <w:sz w:val="18"/>
              </w:rPr>
            </w:pPr>
            <w:r w:rsidRPr="00994551">
              <w:rPr>
                <w:sz w:val="18"/>
              </w:rPr>
              <w:t>Acetaminophen</w:t>
            </w:r>
          </w:p>
          <w:p w14:paraId="2D1D0900" w14:textId="77777777" w:rsidR="00994551" w:rsidRPr="00994551" w:rsidRDefault="00994551" w:rsidP="00994551">
            <w:pPr>
              <w:rPr>
                <w:sz w:val="18"/>
              </w:rPr>
            </w:pPr>
            <w:r w:rsidRPr="00994551">
              <w:rPr>
                <w:sz w:val="18"/>
              </w:rPr>
              <w:t>Fentanyl</w:t>
            </w:r>
          </w:p>
          <w:p w14:paraId="0008DF0F" w14:textId="4DEEFFF8" w:rsidR="00EF1EA5" w:rsidRDefault="00994551" w:rsidP="00994551">
            <w:proofErr w:type="spellStart"/>
            <w:r w:rsidRPr="00994551">
              <w:rPr>
                <w:sz w:val="18"/>
              </w:rPr>
              <w:t>remifentanil</w:t>
            </w:r>
            <w:proofErr w:type="spellEnd"/>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F402EC" w14:paraId="2137FCF8" w14:textId="77777777" w:rsidTr="00F51FA5">
        <w:tc>
          <w:tcPr>
            <w:tcW w:w="1186" w:type="dxa"/>
          </w:tcPr>
          <w:p w14:paraId="3D541143" w14:textId="4F2FDFCD" w:rsidR="00F402EC" w:rsidRPr="00AE605B" w:rsidRDefault="00AA2A51" w:rsidP="00F51FA5">
            <w:pPr>
              <w:rPr>
                <w:sz w:val="16"/>
              </w:rPr>
            </w:pPr>
            <w:r>
              <w:rPr>
                <w:noProof/>
                <w:lang w:eastAsia="zh-CN"/>
              </w:rPr>
              <mc:AlternateContent>
                <mc:Choice Requires="wps">
                  <w:drawing>
                    <wp:anchor distT="0" distB="0" distL="114300" distR="114300" simplePos="0" relativeHeight="251687936" behindDoc="0" locked="0" layoutInCell="1" allowOverlap="1" wp14:anchorId="7AA991C9" wp14:editId="564AD5D0">
                      <wp:simplePos x="0" y="0"/>
                      <wp:positionH relativeFrom="column">
                        <wp:posOffset>504190</wp:posOffset>
                      </wp:positionH>
                      <wp:positionV relativeFrom="paragraph">
                        <wp:posOffset>154662</wp:posOffset>
                      </wp:positionV>
                      <wp:extent cx="5326380" cy="1403985"/>
                      <wp:effectExtent l="0" t="685800" r="0" b="6756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12.2pt;width:419.4pt;height:110.55pt;rotation:-1030923fd;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aKGQ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9MpJYZpbNGL&#10;GAL5AAMpozu99RUmPVtMCwMeY5eTUm+fgP/0xMBDx8xe3DsHfSdYg+yKeDO7uTri+Aiy679Ag2XY&#10;IUACGlqniQNsTZkv5otiUaZj9IZgMWza6dKoyIzj4XxaLqZLDHGMFbN8ulrOU0lWRbTYCOt8+CRA&#10;k/hTU4eTkGDZ8cmHyO6aEtMNbKVSaRqUIX1NV/Nyni7cRLQMOKxK6pou8/iN4xNFfzRNuhyYVOM/&#10;FlDm7EIUPloQht2Q7E4WRYd20JzQlmQAKsK3hHQ7cL8p6XEua+p/HZgTlKjPBq1dFbNZHOS0mc3f&#10;l7hxt5HdbYQZjlA1DZSMvw8hDX+U7O09tmArkxtXJmfKOG/JpPPbiAN9u09Z1xe8eQUAAP//AwBQ&#10;SwMEFAAGAAgAAAAhAJCn1ITgAAAACQEAAA8AAABkcnMvZG93bnJldi54bWxMj0FrwkAQhe+F/odl&#10;Cr3VjUFbTbORUmjRS0Er9LomYxKanV1215j46zue6mmYeY8338tXg+lEjz60lhRMJwkIpNJWLdUK&#10;9t8fTwsQIWqqdGcJFYwYYFXc3+U6q+yZttjvYi04hEKmFTQxukzKUDZodJhYh8Ta0XqjI6++lpXX&#10;Zw43nUyT5Fka3RJ/aLTD9wbL393JKOjdzziug9/s+4t3l83WrI9fn0o9PgxvryAiDvHfDFd8RoeC&#10;mQ72RFUQnYKX5YydCtIZT9aX00UK4nA9zOcgi1zeNij+AAAA//8DAFBLAQItABQABgAIAAAAIQC2&#10;gziS/gAAAOEBAAATAAAAAAAAAAAAAAAAAAAAAABbQ29udGVudF9UeXBlc10ueG1sUEsBAi0AFAAG&#10;AAgAAAAhADj9If/WAAAAlAEAAAsAAAAAAAAAAAAAAAAALwEAAF9yZWxzLy5yZWxzUEsBAi0AFAAG&#10;AAgAAAAhAHGbxooZAgAACQQAAA4AAAAAAAAAAAAAAAAALgIAAGRycy9lMm9Eb2MueG1sUEsBAi0A&#10;FAAGAAgAAAAhAJCn1ITgAAAACQEAAA8AAAAAAAAAAAAAAAAAcwQAAGRycy9kb3ducmV2LnhtbFBL&#10;BQYAAAAABAAEAPMAAACABQAAAAA=&#10;" filled="f" stroked="f">
                      <v:textbox style="mso-fit-shape-to-text:t">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proofErr w:type="spellStart"/>
            <w:r w:rsidR="00F402EC" w:rsidRPr="00F402EC">
              <w:rPr>
                <w:sz w:val="20"/>
              </w:rPr>
              <w:t>Adrenergics</w:t>
            </w:r>
            <w:proofErr w:type="spellEnd"/>
          </w:p>
        </w:tc>
        <w:tc>
          <w:tcPr>
            <w:tcW w:w="1712" w:type="dxa"/>
            <w:tcBorders>
              <w:right w:val="nil"/>
            </w:tcBorders>
          </w:tcPr>
          <w:p w14:paraId="56C12565" w14:textId="77777777" w:rsidR="00994551" w:rsidRPr="00994551" w:rsidRDefault="00994551" w:rsidP="00994551">
            <w:pPr>
              <w:rPr>
                <w:sz w:val="18"/>
              </w:rPr>
            </w:pPr>
            <w:proofErr w:type="spellStart"/>
            <w:r w:rsidRPr="00994551">
              <w:rPr>
                <w:sz w:val="18"/>
              </w:rPr>
              <w:t>tulobuterol</w:t>
            </w:r>
            <w:proofErr w:type="spellEnd"/>
          </w:p>
          <w:p w14:paraId="4AC47699" w14:textId="77777777" w:rsidR="00994551" w:rsidRPr="00994551" w:rsidRDefault="00994551" w:rsidP="00994551">
            <w:pPr>
              <w:rPr>
                <w:sz w:val="18"/>
              </w:rPr>
            </w:pPr>
            <w:proofErr w:type="spellStart"/>
            <w:r w:rsidRPr="00994551">
              <w:rPr>
                <w:sz w:val="18"/>
              </w:rPr>
              <w:t>Procaterol</w:t>
            </w:r>
            <w:proofErr w:type="spellEnd"/>
          </w:p>
          <w:p w14:paraId="6E069C6D" w14:textId="77777777" w:rsidR="00994551" w:rsidRPr="00994551" w:rsidRDefault="00994551" w:rsidP="00994551">
            <w:pPr>
              <w:rPr>
                <w:sz w:val="18"/>
              </w:rPr>
            </w:pPr>
            <w:r w:rsidRPr="00994551">
              <w:rPr>
                <w:sz w:val="18"/>
              </w:rPr>
              <w:t>Albuterol</w:t>
            </w:r>
          </w:p>
          <w:p w14:paraId="0EAC016E" w14:textId="77777777" w:rsidR="00994551" w:rsidRPr="00994551" w:rsidRDefault="00994551" w:rsidP="00994551">
            <w:pPr>
              <w:rPr>
                <w:sz w:val="18"/>
              </w:rPr>
            </w:pPr>
            <w:r w:rsidRPr="00994551">
              <w:rPr>
                <w:sz w:val="18"/>
              </w:rPr>
              <w:t>Epinephrine</w:t>
            </w:r>
          </w:p>
          <w:p w14:paraId="560D1792" w14:textId="77BF87CA" w:rsidR="00F402EC" w:rsidRPr="007F7EAE" w:rsidRDefault="00994551" w:rsidP="00994551">
            <w:pPr>
              <w:rPr>
                <w:sz w:val="18"/>
              </w:rPr>
            </w:pPr>
            <w:r w:rsidRPr="00994551">
              <w:rPr>
                <w:sz w:val="18"/>
              </w:rPr>
              <w:t>Ephedrine</w:t>
            </w:r>
          </w:p>
        </w:tc>
        <w:tc>
          <w:tcPr>
            <w:tcW w:w="686" w:type="dxa"/>
            <w:tcBorders>
              <w:left w:val="nil"/>
            </w:tcBorders>
          </w:tcPr>
          <w:p w14:paraId="4F4E1F3E" w14:textId="77777777" w:rsidR="00F402EC" w:rsidRPr="007F7EAE" w:rsidRDefault="00F402EC" w:rsidP="00F51FA5">
            <w:pPr>
              <w:rPr>
                <w:sz w:val="18"/>
              </w:rPr>
            </w:pPr>
            <w:r w:rsidRPr="007F7EAE">
              <w:rPr>
                <w:sz w:val="18"/>
              </w:rPr>
              <w:t>125</w:t>
            </w:r>
          </w:p>
          <w:p w14:paraId="03117A40" w14:textId="77777777" w:rsidR="00F402EC" w:rsidRPr="007F7EAE" w:rsidRDefault="00F402EC" w:rsidP="00F51FA5">
            <w:pPr>
              <w:rPr>
                <w:sz w:val="18"/>
              </w:rPr>
            </w:pPr>
            <w:r w:rsidRPr="007F7EAE">
              <w:rPr>
                <w:sz w:val="18"/>
              </w:rPr>
              <w:t>100</w:t>
            </w:r>
          </w:p>
          <w:p w14:paraId="508B8BDE" w14:textId="77777777" w:rsidR="00F402EC" w:rsidRPr="007F7EAE" w:rsidRDefault="00F402EC" w:rsidP="00F51FA5">
            <w:pPr>
              <w:rPr>
                <w:sz w:val="18"/>
              </w:rPr>
            </w:pPr>
            <w:r w:rsidRPr="007F7EAE">
              <w:rPr>
                <w:sz w:val="18"/>
              </w:rPr>
              <w:t>75</w:t>
            </w:r>
          </w:p>
          <w:p w14:paraId="14819A59" w14:textId="77777777" w:rsidR="00F402EC" w:rsidRPr="007F7EAE" w:rsidRDefault="00F402EC" w:rsidP="00F51FA5">
            <w:pPr>
              <w:rPr>
                <w:sz w:val="18"/>
              </w:rPr>
            </w:pPr>
            <w:r w:rsidRPr="007F7EAE">
              <w:rPr>
                <w:sz w:val="18"/>
              </w:rPr>
              <w:t>50</w:t>
            </w:r>
          </w:p>
          <w:p w14:paraId="4B0AF284" w14:textId="77777777" w:rsidR="00F402EC" w:rsidRPr="007F7EAE" w:rsidRDefault="00F402EC" w:rsidP="00F51FA5">
            <w:pPr>
              <w:rPr>
                <w:sz w:val="18"/>
              </w:rPr>
            </w:pPr>
            <w:r w:rsidRPr="007F7EAE">
              <w:rPr>
                <w:sz w:val="18"/>
              </w:rPr>
              <w:t>25</w:t>
            </w:r>
          </w:p>
        </w:tc>
        <w:tc>
          <w:tcPr>
            <w:tcW w:w="1448" w:type="dxa"/>
            <w:tcBorders>
              <w:right w:val="nil"/>
            </w:tcBorders>
          </w:tcPr>
          <w:p w14:paraId="086ADB98" w14:textId="77777777" w:rsidR="00994551" w:rsidRPr="00994551" w:rsidRDefault="00994551" w:rsidP="00994551">
            <w:pPr>
              <w:rPr>
                <w:sz w:val="18"/>
              </w:rPr>
            </w:pPr>
            <w:proofErr w:type="spellStart"/>
            <w:r w:rsidRPr="00994551">
              <w:rPr>
                <w:sz w:val="18"/>
              </w:rPr>
              <w:t>tulobuterol</w:t>
            </w:r>
            <w:proofErr w:type="spellEnd"/>
          </w:p>
          <w:p w14:paraId="06770D38" w14:textId="77777777" w:rsidR="00994551" w:rsidRPr="00994551" w:rsidRDefault="00994551" w:rsidP="00994551">
            <w:pPr>
              <w:rPr>
                <w:sz w:val="18"/>
              </w:rPr>
            </w:pPr>
            <w:proofErr w:type="spellStart"/>
            <w:r w:rsidRPr="00994551">
              <w:rPr>
                <w:sz w:val="18"/>
              </w:rPr>
              <w:t>Procaterol</w:t>
            </w:r>
            <w:proofErr w:type="spellEnd"/>
          </w:p>
          <w:p w14:paraId="2042DD43" w14:textId="77777777" w:rsidR="00994551" w:rsidRPr="00994551" w:rsidRDefault="00994551" w:rsidP="00994551">
            <w:pPr>
              <w:rPr>
                <w:sz w:val="18"/>
              </w:rPr>
            </w:pPr>
            <w:r w:rsidRPr="00994551">
              <w:rPr>
                <w:sz w:val="18"/>
              </w:rPr>
              <w:t>Albuterol</w:t>
            </w:r>
          </w:p>
          <w:p w14:paraId="402F047E" w14:textId="77777777" w:rsidR="00994551" w:rsidRPr="00994551" w:rsidRDefault="00994551" w:rsidP="00994551">
            <w:pPr>
              <w:rPr>
                <w:sz w:val="18"/>
              </w:rPr>
            </w:pPr>
            <w:r w:rsidRPr="00994551">
              <w:rPr>
                <w:sz w:val="18"/>
              </w:rPr>
              <w:t>Epinephrine</w:t>
            </w:r>
          </w:p>
          <w:p w14:paraId="79E31921" w14:textId="66CC359B" w:rsidR="00F402EC" w:rsidRPr="007F7EAE" w:rsidRDefault="00994551" w:rsidP="00994551">
            <w:pPr>
              <w:rPr>
                <w:sz w:val="18"/>
              </w:rPr>
            </w:pPr>
            <w:r w:rsidRPr="00994551">
              <w:rPr>
                <w:sz w:val="18"/>
              </w:rPr>
              <w:t>Ephedrine</w:t>
            </w:r>
          </w:p>
        </w:tc>
        <w:tc>
          <w:tcPr>
            <w:tcW w:w="681" w:type="dxa"/>
            <w:tcBorders>
              <w:left w:val="nil"/>
            </w:tcBorders>
          </w:tcPr>
          <w:p w14:paraId="18480C83" w14:textId="77777777" w:rsidR="00F402EC" w:rsidRPr="007F7EAE" w:rsidRDefault="00F402EC" w:rsidP="00F51FA5">
            <w:pPr>
              <w:rPr>
                <w:sz w:val="18"/>
              </w:rPr>
            </w:pPr>
            <w:r w:rsidRPr="007F7EAE">
              <w:rPr>
                <w:sz w:val="18"/>
              </w:rPr>
              <w:t>125</w:t>
            </w:r>
          </w:p>
          <w:p w14:paraId="1F14CB71" w14:textId="77777777" w:rsidR="00F402EC" w:rsidRPr="007F7EAE" w:rsidRDefault="00F402EC" w:rsidP="00F51FA5">
            <w:pPr>
              <w:rPr>
                <w:sz w:val="18"/>
              </w:rPr>
            </w:pPr>
            <w:r w:rsidRPr="007F7EAE">
              <w:rPr>
                <w:sz w:val="18"/>
              </w:rPr>
              <w:t>100</w:t>
            </w:r>
          </w:p>
          <w:p w14:paraId="7BCD7D52" w14:textId="77777777" w:rsidR="00F402EC" w:rsidRPr="007F7EAE" w:rsidRDefault="00F402EC" w:rsidP="00F51FA5">
            <w:pPr>
              <w:rPr>
                <w:sz w:val="18"/>
              </w:rPr>
            </w:pPr>
            <w:r w:rsidRPr="007F7EAE">
              <w:rPr>
                <w:sz w:val="18"/>
              </w:rPr>
              <w:t>75</w:t>
            </w:r>
          </w:p>
          <w:p w14:paraId="154DB9BD" w14:textId="77777777" w:rsidR="00F402EC" w:rsidRPr="007F7EAE" w:rsidRDefault="00F402EC" w:rsidP="00F51FA5">
            <w:pPr>
              <w:rPr>
                <w:sz w:val="18"/>
              </w:rPr>
            </w:pPr>
            <w:r w:rsidRPr="007F7EAE">
              <w:rPr>
                <w:sz w:val="18"/>
              </w:rPr>
              <w:t>50</w:t>
            </w:r>
          </w:p>
          <w:p w14:paraId="61DB4061" w14:textId="77777777" w:rsidR="00F402EC" w:rsidRPr="007F7EAE" w:rsidRDefault="00F402EC" w:rsidP="00F51FA5">
            <w:pPr>
              <w:rPr>
                <w:sz w:val="18"/>
              </w:rPr>
            </w:pPr>
            <w:r w:rsidRPr="007F7EAE">
              <w:rPr>
                <w:sz w:val="18"/>
              </w:rPr>
              <w:t>25</w:t>
            </w:r>
          </w:p>
        </w:tc>
        <w:tc>
          <w:tcPr>
            <w:tcW w:w="1468" w:type="dxa"/>
            <w:tcBorders>
              <w:right w:val="nil"/>
            </w:tcBorders>
          </w:tcPr>
          <w:p w14:paraId="5870EF65" w14:textId="77777777" w:rsidR="00994551" w:rsidRPr="00994551" w:rsidRDefault="00994551" w:rsidP="00994551">
            <w:pPr>
              <w:rPr>
                <w:sz w:val="18"/>
              </w:rPr>
            </w:pPr>
            <w:proofErr w:type="spellStart"/>
            <w:r w:rsidRPr="00994551">
              <w:rPr>
                <w:sz w:val="18"/>
              </w:rPr>
              <w:t>tulobuterol</w:t>
            </w:r>
            <w:proofErr w:type="spellEnd"/>
          </w:p>
          <w:p w14:paraId="7F9CE1E2" w14:textId="77777777" w:rsidR="00994551" w:rsidRPr="00994551" w:rsidRDefault="00994551" w:rsidP="00994551">
            <w:pPr>
              <w:rPr>
                <w:sz w:val="18"/>
              </w:rPr>
            </w:pPr>
            <w:proofErr w:type="spellStart"/>
            <w:r w:rsidRPr="00994551">
              <w:rPr>
                <w:sz w:val="18"/>
              </w:rPr>
              <w:t>Procaterol</w:t>
            </w:r>
            <w:proofErr w:type="spellEnd"/>
          </w:p>
          <w:p w14:paraId="4092A665" w14:textId="77777777" w:rsidR="00994551" w:rsidRPr="00994551" w:rsidRDefault="00994551" w:rsidP="00994551">
            <w:pPr>
              <w:rPr>
                <w:sz w:val="18"/>
              </w:rPr>
            </w:pPr>
            <w:r w:rsidRPr="00994551">
              <w:rPr>
                <w:sz w:val="18"/>
              </w:rPr>
              <w:t>Albuterol</w:t>
            </w:r>
          </w:p>
          <w:p w14:paraId="55063DF1" w14:textId="77777777" w:rsidR="00994551" w:rsidRPr="00994551" w:rsidRDefault="00994551" w:rsidP="00994551">
            <w:pPr>
              <w:rPr>
                <w:sz w:val="18"/>
              </w:rPr>
            </w:pPr>
            <w:r w:rsidRPr="00994551">
              <w:rPr>
                <w:sz w:val="18"/>
              </w:rPr>
              <w:t>Epinephrine</w:t>
            </w:r>
          </w:p>
          <w:p w14:paraId="55857399" w14:textId="6B832ACD" w:rsidR="00F402EC" w:rsidRPr="007F7EAE" w:rsidRDefault="00994551" w:rsidP="00994551">
            <w:pPr>
              <w:rPr>
                <w:sz w:val="18"/>
              </w:rPr>
            </w:pPr>
            <w:r w:rsidRPr="00994551">
              <w:rPr>
                <w:sz w:val="18"/>
              </w:rPr>
              <w:t>Ephedrine</w:t>
            </w:r>
          </w:p>
        </w:tc>
        <w:tc>
          <w:tcPr>
            <w:tcW w:w="729" w:type="dxa"/>
            <w:tcBorders>
              <w:left w:val="nil"/>
            </w:tcBorders>
          </w:tcPr>
          <w:p w14:paraId="7BB09D41" w14:textId="77777777" w:rsidR="00F402EC" w:rsidRPr="007F7EAE" w:rsidRDefault="00F402EC" w:rsidP="00F51FA5">
            <w:pPr>
              <w:rPr>
                <w:sz w:val="18"/>
              </w:rPr>
            </w:pPr>
            <w:r w:rsidRPr="007F7EAE">
              <w:rPr>
                <w:sz w:val="18"/>
              </w:rPr>
              <w:t>125</w:t>
            </w:r>
          </w:p>
          <w:p w14:paraId="418DBD4D" w14:textId="77777777" w:rsidR="00F402EC" w:rsidRPr="007F7EAE" w:rsidRDefault="00F402EC" w:rsidP="00F51FA5">
            <w:pPr>
              <w:rPr>
                <w:sz w:val="18"/>
              </w:rPr>
            </w:pPr>
            <w:r w:rsidRPr="007F7EAE">
              <w:rPr>
                <w:sz w:val="18"/>
              </w:rPr>
              <w:t>100</w:t>
            </w:r>
          </w:p>
          <w:p w14:paraId="75A40205" w14:textId="77777777" w:rsidR="00F402EC" w:rsidRPr="007F7EAE" w:rsidRDefault="00F402EC" w:rsidP="00F51FA5">
            <w:pPr>
              <w:rPr>
                <w:sz w:val="18"/>
              </w:rPr>
            </w:pPr>
            <w:r w:rsidRPr="007F7EAE">
              <w:rPr>
                <w:sz w:val="18"/>
              </w:rPr>
              <w:t>75</w:t>
            </w:r>
          </w:p>
          <w:p w14:paraId="2FEE6BDC" w14:textId="77777777" w:rsidR="00F402EC" w:rsidRPr="007F7EAE" w:rsidRDefault="00F402EC" w:rsidP="00F51FA5">
            <w:pPr>
              <w:rPr>
                <w:sz w:val="18"/>
              </w:rPr>
            </w:pPr>
            <w:r w:rsidRPr="007F7EAE">
              <w:rPr>
                <w:sz w:val="18"/>
              </w:rPr>
              <w:t>50</w:t>
            </w:r>
          </w:p>
          <w:p w14:paraId="68AC9C14" w14:textId="77777777" w:rsidR="00F402EC" w:rsidRPr="007F7EAE" w:rsidRDefault="00F402EC" w:rsidP="00F51FA5">
            <w:pPr>
              <w:rPr>
                <w:sz w:val="18"/>
              </w:rPr>
            </w:pPr>
            <w:r w:rsidRPr="007F7EAE">
              <w:rPr>
                <w:sz w:val="18"/>
              </w:rPr>
              <w:t>25</w:t>
            </w:r>
          </w:p>
        </w:tc>
        <w:tc>
          <w:tcPr>
            <w:tcW w:w="1468" w:type="dxa"/>
            <w:tcBorders>
              <w:right w:val="nil"/>
            </w:tcBorders>
          </w:tcPr>
          <w:p w14:paraId="0D8A4E45" w14:textId="77777777" w:rsidR="00994551" w:rsidRPr="00994551" w:rsidRDefault="00994551" w:rsidP="00994551">
            <w:pPr>
              <w:rPr>
                <w:sz w:val="18"/>
              </w:rPr>
            </w:pPr>
            <w:proofErr w:type="spellStart"/>
            <w:r w:rsidRPr="00994551">
              <w:rPr>
                <w:sz w:val="18"/>
              </w:rPr>
              <w:t>tulobuterol</w:t>
            </w:r>
            <w:proofErr w:type="spellEnd"/>
          </w:p>
          <w:p w14:paraId="0DE9699D" w14:textId="77777777" w:rsidR="00994551" w:rsidRPr="00994551" w:rsidRDefault="00994551" w:rsidP="00994551">
            <w:pPr>
              <w:rPr>
                <w:sz w:val="18"/>
              </w:rPr>
            </w:pPr>
            <w:proofErr w:type="spellStart"/>
            <w:r w:rsidRPr="00994551">
              <w:rPr>
                <w:sz w:val="18"/>
              </w:rPr>
              <w:t>Procaterol</w:t>
            </w:r>
            <w:proofErr w:type="spellEnd"/>
          </w:p>
          <w:p w14:paraId="4E855685" w14:textId="77777777" w:rsidR="00994551" w:rsidRPr="00994551" w:rsidRDefault="00994551" w:rsidP="00994551">
            <w:pPr>
              <w:rPr>
                <w:sz w:val="18"/>
              </w:rPr>
            </w:pPr>
            <w:r w:rsidRPr="00994551">
              <w:rPr>
                <w:sz w:val="18"/>
              </w:rPr>
              <w:t>Albuterol</w:t>
            </w:r>
          </w:p>
          <w:p w14:paraId="6C5505C7" w14:textId="77777777" w:rsidR="00994551" w:rsidRPr="00994551" w:rsidRDefault="00994551" w:rsidP="00994551">
            <w:pPr>
              <w:rPr>
                <w:sz w:val="18"/>
              </w:rPr>
            </w:pPr>
            <w:r w:rsidRPr="00994551">
              <w:rPr>
                <w:sz w:val="18"/>
              </w:rPr>
              <w:t>Epinephrine</w:t>
            </w:r>
          </w:p>
          <w:p w14:paraId="3054AB5B" w14:textId="14CB9EDA" w:rsidR="00F402EC" w:rsidRPr="007F7EAE" w:rsidRDefault="00994551" w:rsidP="00994551">
            <w:pPr>
              <w:rPr>
                <w:sz w:val="18"/>
              </w:rPr>
            </w:pPr>
            <w:r w:rsidRPr="00994551">
              <w:rPr>
                <w:sz w:val="18"/>
              </w:rPr>
              <w:t>Ephedrine</w:t>
            </w:r>
          </w:p>
        </w:tc>
        <w:tc>
          <w:tcPr>
            <w:tcW w:w="729" w:type="dxa"/>
            <w:tcBorders>
              <w:left w:val="nil"/>
            </w:tcBorders>
          </w:tcPr>
          <w:p w14:paraId="3B3E90A9" w14:textId="77777777" w:rsidR="00F402EC" w:rsidRPr="007F7EAE" w:rsidRDefault="00F402EC" w:rsidP="00F51FA5">
            <w:pPr>
              <w:rPr>
                <w:sz w:val="18"/>
              </w:rPr>
            </w:pPr>
            <w:r w:rsidRPr="007F7EAE">
              <w:rPr>
                <w:sz w:val="18"/>
              </w:rPr>
              <w:t>125</w:t>
            </w:r>
          </w:p>
          <w:p w14:paraId="6A406BA0" w14:textId="77777777" w:rsidR="00F402EC" w:rsidRPr="007F7EAE" w:rsidRDefault="00F402EC" w:rsidP="00F51FA5">
            <w:pPr>
              <w:rPr>
                <w:sz w:val="18"/>
              </w:rPr>
            </w:pPr>
            <w:r w:rsidRPr="007F7EAE">
              <w:rPr>
                <w:sz w:val="18"/>
              </w:rPr>
              <w:t>100</w:t>
            </w:r>
          </w:p>
          <w:p w14:paraId="446DB6DC" w14:textId="77777777" w:rsidR="00F402EC" w:rsidRPr="007F7EAE" w:rsidRDefault="00F402EC" w:rsidP="00F51FA5">
            <w:pPr>
              <w:rPr>
                <w:sz w:val="18"/>
              </w:rPr>
            </w:pPr>
            <w:r w:rsidRPr="007F7EAE">
              <w:rPr>
                <w:sz w:val="18"/>
              </w:rPr>
              <w:t>75</w:t>
            </w:r>
          </w:p>
          <w:p w14:paraId="400CF8AD" w14:textId="77777777" w:rsidR="00F402EC" w:rsidRPr="007F7EAE" w:rsidRDefault="00F402EC" w:rsidP="00F51FA5">
            <w:pPr>
              <w:rPr>
                <w:sz w:val="18"/>
              </w:rPr>
            </w:pPr>
            <w:r w:rsidRPr="007F7EAE">
              <w:rPr>
                <w:sz w:val="18"/>
              </w:rPr>
              <w:t>50</w:t>
            </w:r>
          </w:p>
          <w:p w14:paraId="4CACEE1F" w14:textId="77777777" w:rsidR="00F402EC" w:rsidRPr="007F7EAE" w:rsidRDefault="00F402EC" w:rsidP="00F51FA5">
            <w:pPr>
              <w:rPr>
                <w:sz w:val="18"/>
              </w:rPr>
            </w:pPr>
            <w:r w:rsidRPr="007F7EAE">
              <w:rPr>
                <w:sz w:val="18"/>
              </w:rPr>
              <w:t>25</w:t>
            </w:r>
          </w:p>
        </w:tc>
        <w:bookmarkStart w:id="18" w:name="_GoBack"/>
        <w:bookmarkEnd w:id="18"/>
      </w:tr>
      <w:tr w:rsidR="00F402EC" w14:paraId="29CD7C01" w14:textId="77777777" w:rsidTr="00F51FA5">
        <w:tc>
          <w:tcPr>
            <w:tcW w:w="1186" w:type="dxa"/>
          </w:tcPr>
          <w:p w14:paraId="7BF08A89" w14:textId="41D956F6" w:rsidR="00F402EC" w:rsidRPr="00AE605B" w:rsidRDefault="00F402EC" w:rsidP="00F51FA5">
            <w:pPr>
              <w:rPr>
                <w:sz w:val="16"/>
              </w:rPr>
            </w:pPr>
            <w:r w:rsidRPr="00F402EC">
              <w:rPr>
                <w:sz w:val="20"/>
              </w:rPr>
              <w:t>Analgesics (</w:t>
            </w:r>
            <w:proofErr w:type="spellStart"/>
            <w:r w:rsidRPr="00F402EC">
              <w:rPr>
                <w:sz w:val="20"/>
              </w:rPr>
              <w:t>inc.</w:t>
            </w:r>
            <w:proofErr w:type="spellEnd"/>
            <w:r w:rsidRPr="00F402EC">
              <w:rPr>
                <w:sz w:val="20"/>
              </w:rPr>
              <w:t xml:space="preserve"> NSAIDs)</w:t>
            </w:r>
          </w:p>
        </w:tc>
        <w:tc>
          <w:tcPr>
            <w:tcW w:w="1712" w:type="dxa"/>
            <w:tcBorders>
              <w:right w:val="nil"/>
            </w:tcBorders>
          </w:tcPr>
          <w:p w14:paraId="5B3213FC" w14:textId="77777777" w:rsidR="00994551" w:rsidRPr="00994551" w:rsidRDefault="00994551" w:rsidP="00994551">
            <w:pPr>
              <w:rPr>
                <w:sz w:val="18"/>
              </w:rPr>
            </w:pPr>
            <w:r w:rsidRPr="00994551">
              <w:rPr>
                <w:sz w:val="18"/>
              </w:rPr>
              <w:t>Acetaminophen</w:t>
            </w:r>
          </w:p>
          <w:p w14:paraId="2B35812A" w14:textId="77777777" w:rsidR="00994551" w:rsidRPr="00994551" w:rsidRDefault="00994551" w:rsidP="00994551">
            <w:pPr>
              <w:rPr>
                <w:sz w:val="18"/>
              </w:rPr>
            </w:pPr>
            <w:r w:rsidRPr="00994551">
              <w:rPr>
                <w:sz w:val="18"/>
              </w:rPr>
              <w:t>Fentanyl</w:t>
            </w:r>
          </w:p>
          <w:p w14:paraId="1ADEF46A" w14:textId="3EA90133" w:rsidR="00F402EC" w:rsidRDefault="00994551" w:rsidP="00994551">
            <w:proofErr w:type="spellStart"/>
            <w:r w:rsidRPr="00994551">
              <w:rPr>
                <w:sz w:val="18"/>
              </w:rPr>
              <w:t>remifentanil</w:t>
            </w:r>
            <w:proofErr w:type="spellEnd"/>
          </w:p>
        </w:tc>
        <w:tc>
          <w:tcPr>
            <w:tcW w:w="686" w:type="dxa"/>
            <w:tcBorders>
              <w:left w:val="nil"/>
            </w:tcBorders>
          </w:tcPr>
          <w:p w14:paraId="76533B08" w14:textId="77777777" w:rsidR="00F402EC" w:rsidRPr="007F7EAE" w:rsidRDefault="00F402EC" w:rsidP="00F51FA5">
            <w:pPr>
              <w:rPr>
                <w:sz w:val="18"/>
              </w:rPr>
            </w:pPr>
            <w:r w:rsidRPr="007F7EAE">
              <w:rPr>
                <w:sz w:val="18"/>
              </w:rPr>
              <w:t>100</w:t>
            </w:r>
          </w:p>
          <w:p w14:paraId="720C8868" w14:textId="77777777" w:rsidR="00F402EC" w:rsidRPr="007F7EAE" w:rsidRDefault="00F402EC" w:rsidP="00F51FA5">
            <w:pPr>
              <w:rPr>
                <w:sz w:val="18"/>
              </w:rPr>
            </w:pPr>
            <w:r w:rsidRPr="007F7EAE">
              <w:rPr>
                <w:sz w:val="18"/>
              </w:rPr>
              <w:t>70</w:t>
            </w:r>
          </w:p>
          <w:p w14:paraId="65D9EA33" w14:textId="77777777" w:rsidR="00F402EC" w:rsidRDefault="00F402EC" w:rsidP="00F51FA5">
            <w:r w:rsidRPr="007F7EAE">
              <w:rPr>
                <w:sz w:val="18"/>
              </w:rPr>
              <w:t>40</w:t>
            </w:r>
          </w:p>
        </w:tc>
        <w:tc>
          <w:tcPr>
            <w:tcW w:w="1448" w:type="dxa"/>
            <w:tcBorders>
              <w:right w:val="nil"/>
            </w:tcBorders>
          </w:tcPr>
          <w:p w14:paraId="3801C77E" w14:textId="77777777" w:rsidR="00994551" w:rsidRPr="00994551" w:rsidRDefault="00994551" w:rsidP="00994551">
            <w:pPr>
              <w:rPr>
                <w:sz w:val="18"/>
              </w:rPr>
            </w:pPr>
            <w:r w:rsidRPr="00994551">
              <w:rPr>
                <w:sz w:val="18"/>
              </w:rPr>
              <w:t>Acetaminophen</w:t>
            </w:r>
          </w:p>
          <w:p w14:paraId="374EEEB6" w14:textId="77777777" w:rsidR="00994551" w:rsidRPr="00994551" w:rsidRDefault="00994551" w:rsidP="00994551">
            <w:pPr>
              <w:rPr>
                <w:sz w:val="18"/>
              </w:rPr>
            </w:pPr>
            <w:r w:rsidRPr="00994551">
              <w:rPr>
                <w:sz w:val="18"/>
              </w:rPr>
              <w:t>Fentanyl</w:t>
            </w:r>
          </w:p>
          <w:p w14:paraId="5023C608" w14:textId="6A288FF6" w:rsidR="00F402EC" w:rsidRDefault="00994551" w:rsidP="00994551">
            <w:proofErr w:type="spellStart"/>
            <w:r w:rsidRPr="00994551">
              <w:rPr>
                <w:sz w:val="18"/>
              </w:rPr>
              <w:t>remifentanil</w:t>
            </w:r>
            <w:proofErr w:type="spellEnd"/>
          </w:p>
        </w:tc>
        <w:tc>
          <w:tcPr>
            <w:tcW w:w="681" w:type="dxa"/>
            <w:tcBorders>
              <w:left w:val="nil"/>
            </w:tcBorders>
          </w:tcPr>
          <w:p w14:paraId="0771040A" w14:textId="77777777" w:rsidR="00F402EC" w:rsidRPr="007F7EAE" w:rsidRDefault="00F402EC" w:rsidP="00F51FA5">
            <w:pPr>
              <w:rPr>
                <w:sz w:val="18"/>
              </w:rPr>
            </w:pPr>
            <w:r w:rsidRPr="007F7EAE">
              <w:rPr>
                <w:sz w:val="18"/>
              </w:rPr>
              <w:t>100</w:t>
            </w:r>
          </w:p>
          <w:p w14:paraId="15B4B306" w14:textId="77777777" w:rsidR="00F402EC" w:rsidRPr="007F7EAE" w:rsidRDefault="00F402EC" w:rsidP="00F51FA5">
            <w:pPr>
              <w:rPr>
                <w:sz w:val="18"/>
              </w:rPr>
            </w:pPr>
            <w:r w:rsidRPr="007F7EAE">
              <w:rPr>
                <w:sz w:val="18"/>
              </w:rPr>
              <w:t>70</w:t>
            </w:r>
          </w:p>
          <w:p w14:paraId="5044BA48" w14:textId="77777777" w:rsidR="00F402EC" w:rsidRDefault="00F402EC" w:rsidP="00F51FA5">
            <w:r w:rsidRPr="007F7EAE">
              <w:rPr>
                <w:sz w:val="18"/>
              </w:rPr>
              <w:t>40</w:t>
            </w:r>
          </w:p>
        </w:tc>
        <w:tc>
          <w:tcPr>
            <w:tcW w:w="1468" w:type="dxa"/>
            <w:tcBorders>
              <w:right w:val="nil"/>
            </w:tcBorders>
          </w:tcPr>
          <w:p w14:paraId="55897B9B" w14:textId="77777777" w:rsidR="00994551" w:rsidRPr="00994551" w:rsidRDefault="00994551" w:rsidP="00994551">
            <w:pPr>
              <w:rPr>
                <w:sz w:val="18"/>
              </w:rPr>
            </w:pPr>
            <w:r w:rsidRPr="00994551">
              <w:rPr>
                <w:sz w:val="18"/>
              </w:rPr>
              <w:t>Acetaminophen</w:t>
            </w:r>
          </w:p>
          <w:p w14:paraId="1657C1BA" w14:textId="77777777" w:rsidR="00994551" w:rsidRPr="00994551" w:rsidRDefault="00994551" w:rsidP="00994551">
            <w:pPr>
              <w:rPr>
                <w:sz w:val="18"/>
              </w:rPr>
            </w:pPr>
            <w:r w:rsidRPr="00994551">
              <w:rPr>
                <w:sz w:val="18"/>
              </w:rPr>
              <w:t>Fentanyl</w:t>
            </w:r>
          </w:p>
          <w:p w14:paraId="3772C44E" w14:textId="3FAFBCEF" w:rsidR="00F402EC" w:rsidRDefault="00994551" w:rsidP="00994551">
            <w:proofErr w:type="spellStart"/>
            <w:r w:rsidRPr="00994551">
              <w:rPr>
                <w:sz w:val="18"/>
              </w:rPr>
              <w:t>remifentanil</w:t>
            </w:r>
            <w:proofErr w:type="spellEnd"/>
          </w:p>
        </w:tc>
        <w:tc>
          <w:tcPr>
            <w:tcW w:w="729" w:type="dxa"/>
            <w:tcBorders>
              <w:left w:val="nil"/>
            </w:tcBorders>
          </w:tcPr>
          <w:p w14:paraId="48E1A7FF" w14:textId="77777777" w:rsidR="00F402EC" w:rsidRPr="007F7EAE" w:rsidRDefault="00F402EC" w:rsidP="00F51FA5">
            <w:pPr>
              <w:rPr>
                <w:sz w:val="18"/>
              </w:rPr>
            </w:pPr>
            <w:r w:rsidRPr="007F7EAE">
              <w:rPr>
                <w:sz w:val="18"/>
              </w:rPr>
              <w:t>100</w:t>
            </w:r>
          </w:p>
          <w:p w14:paraId="13F6BC4E" w14:textId="77777777" w:rsidR="00F402EC" w:rsidRPr="007F7EAE" w:rsidRDefault="00F402EC" w:rsidP="00F51FA5">
            <w:pPr>
              <w:rPr>
                <w:sz w:val="18"/>
              </w:rPr>
            </w:pPr>
            <w:r w:rsidRPr="007F7EAE">
              <w:rPr>
                <w:sz w:val="18"/>
              </w:rPr>
              <w:t>70</w:t>
            </w:r>
          </w:p>
          <w:p w14:paraId="7BA2A791" w14:textId="77777777" w:rsidR="00F402EC" w:rsidRDefault="00F402EC" w:rsidP="00F51FA5">
            <w:r w:rsidRPr="007F7EAE">
              <w:rPr>
                <w:sz w:val="18"/>
              </w:rPr>
              <w:t>40</w:t>
            </w:r>
          </w:p>
        </w:tc>
        <w:tc>
          <w:tcPr>
            <w:tcW w:w="1468" w:type="dxa"/>
            <w:tcBorders>
              <w:right w:val="nil"/>
            </w:tcBorders>
          </w:tcPr>
          <w:p w14:paraId="4C6F13BB" w14:textId="77777777" w:rsidR="00994551" w:rsidRPr="00994551" w:rsidRDefault="00994551" w:rsidP="00994551">
            <w:pPr>
              <w:rPr>
                <w:sz w:val="18"/>
              </w:rPr>
            </w:pPr>
            <w:r w:rsidRPr="00994551">
              <w:rPr>
                <w:sz w:val="18"/>
              </w:rPr>
              <w:t>Acetaminophen</w:t>
            </w:r>
          </w:p>
          <w:p w14:paraId="5C54BA42" w14:textId="77777777" w:rsidR="00994551" w:rsidRPr="00994551" w:rsidRDefault="00994551" w:rsidP="00994551">
            <w:pPr>
              <w:rPr>
                <w:sz w:val="18"/>
              </w:rPr>
            </w:pPr>
            <w:r w:rsidRPr="00994551">
              <w:rPr>
                <w:sz w:val="18"/>
              </w:rPr>
              <w:t>Fentanyl</w:t>
            </w:r>
          </w:p>
          <w:p w14:paraId="175AB45C" w14:textId="397A6133" w:rsidR="00F402EC" w:rsidRDefault="00994551" w:rsidP="00994551">
            <w:proofErr w:type="spellStart"/>
            <w:r w:rsidRPr="00994551">
              <w:rPr>
                <w:sz w:val="18"/>
              </w:rPr>
              <w:t>remifentanil</w:t>
            </w:r>
            <w:proofErr w:type="spellEnd"/>
          </w:p>
        </w:tc>
        <w:tc>
          <w:tcPr>
            <w:tcW w:w="729" w:type="dxa"/>
            <w:tcBorders>
              <w:left w:val="nil"/>
            </w:tcBorders>
          </w:tcPr>
          <w:p w14:paraId="0DC5FCED" w14:textId="77777777" w:rsidR="00F402EC" w:rsidRPr="007F7EAE" w:rsidRDefault="00F402EC" w:rsidP="00F51FA5">
            <w:pPr>
              <w:rPr>
                <w:sz w:val="18"/>
              </w:rPr>
            </w:pPr>
            <w:r w:rsidRPr="007F7EAE">
              <w:rPr>
                <w:sz w:val="18"/>
              </w:rPr>
              <w:t>100</w:t>
            </w:r>
          </w:p>
          <w:p w14:paraId="7F84B8DB" w14:textId="77777777" w:rsidR="00F402EC" w:rsidRPr="007F7EAE" w:rsidRDefault="00F402EC" w:rsidP="00F51FA5">
            <w:pPr>
              <w:rPr>
                <w:sz w:val="18"/>
              </w:rPr>
            </w:pPr>
            <w:r w:rsidRPr="007F7EAE">
              <w:rPr>
                <w:sz w:val="18"/>
              </w:rPr>
              <w:t>70</w:t>
            </w:r>
          </w:p>
          <w:p w14:paraId="21B4A292" w14:textId="77777777" w:rsidR="00F402EC" w:rsidRDefault="00F402EC"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20751483"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32F7136" wp14:editId="6BD9E00C">
            <wp:extent cx="5943600" cy="3305175"/>
            <wp:effectExtent l="0" t="0" r="0" b="9525"/>
            <wp:docPr id="17" name="Picture 17"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0737C9DC"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0836115A" wp14:editId="7A3CBD51">
            <wp:extent cx="5943600" cy="3305175"/>
            <wp:effectExtent l="0" t="0" r="0" b="9525"/>
            <wp:docPr id="18" name="Picture 18"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BAC01FA" w14:textId="77777777" w:rsidR="00024432" w:rsidRDefault="00024432">
      <w:r>
        <w:br w:type="page"/>
      </w:r>
    </w:p>
    <w:p w14:paraId="20D4A81E" w14:textId="02A964D1"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4000FC">
        <w:rPr>
          <w:noProof/>
          <w:lang w:eastAsia="zh-CN"/>
        </w:rPr>
        <w:drawing>
          <wp:inline distT="0" distB="0" distL="0" distR="0" wp14:anchorId="09636ED1" wp14:editId="37A9A846">
            <wp:extent cx="5943600" cy="3305175"/>
            <wp:effectExtent l="0" t="0" r="0" b="9525"/>
            <wp:docPr id="19" name="Picture 19"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46C9462"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8062765" wp14:editId="2980FCBC">
            <wp:extent cx="5943600" cy="3305175"/>
            <wp:effectExtent l="0" t="0" r="0" b="9525"/>
            <wp:docPr id="20" name="Picture 20"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22594A0E"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proofErr w:type="gramStart"/>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proofErr w:type="gramEnd"/>
      <w:r w:rsidR="00486483" w:rsidRPr="00486483">
        <w:rPr>
          <w:noProof/>
          <w:lang w:eastAsia="zh-CN"/>
        </w:rPr>
        <w:t xml:space="preserve"> </w:t>
      </w:r>
      <w:r w:rsidR="004000FC">
        <w:rPr>
          <w:noProof/>
          <w:lang w:eastAsia="zh-CN"/>
        </w:rPr>
        <w:drawing>
          <wp:inline distT="0" distB="0" distL="0" distR="0" wp14:anchorId="73F6CA99" wp14:editId="6FD03A4B">
            <wp:extent cx="5943600" cy="6791325"/>
            <wp:effectExtent l="0" t="0" r="0" b="9525"/>
            <wp:docPr id="21" name="Picture 21"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proofErr w:type="gramStart"/>
      <w:r>
        <w:lastRenderedPageBreak/>
        <w:t xml:space="preserve">Figures </w:t>
      </w:r>
      <w:r w:rsidR="00CA6C7E">
        <w:t>3</w:t>
      </w:r>
      <w:r>
        <w:t>b: User prevalence, per anatomical class, age group, calendar year, and database in an ambulatory care setting.</w:t>
      </w:r>
      <w:proofErr w:type="gramEnd"/>
    </w:p>
    <w:p w14:paraId="49B980C8" w14:textId="3A6C5DA6" w:rsidR="001C0B3D" w:rsidRDefault="005F3305" w:rsidP="000F74A6">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1D6AFC94" wp14:editId="1B2A2223">
            <wp:extent cx="5943600" cy="6791325"/>
            <wp:effectExtent l="0" t="0" r="0" b="9525"/>
            <wp:docPr id="22" name="Picture 22"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19" w:name="_Toc429484229"/>
      <w:r>
        <w:lastRenderedPageBreak/>
        <w:t>References</w:t>
      </w:r>
      <w:bookmarkEnd w:id="19"/>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20"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20"/>
    </w:p>
    <w:p w14:paraId="038E069E" w14:textId="77777777" w:rsidR="00862BD7" w:rsidRPr="00862BD7" w:rsidRDefault="00862BD7" w:rsidP="00862BD7">
      <w:pPr>
        <w:spacing w:after="0" w:line="240" w:lineRule="auto"/>
        <w:rPr>
          <w:rFonts w:ascii="Calibri" w:hAnsi="Calibri" w:cs="Calibri"/>
          <w:noProof/>
        </w:rPr>
      </w:pPr>
      <w:bookmarkStart w:id="21"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1"/>
    </w:p>
    <w:p w14:paraId="54235055" w14:textId="77777777" w:rsidR="00862BD7" w:rsidRPr="00862BD7" w:rsidRDefault="00862BD7" w:rsidP="00862BD7">
      <w:pPr>
        <w:spacing w:after="0" w:line="240" w:lineRule="auto"/>
        <w:rPr>
          <w:rFonts w:ascii="Calibri" w:hAnsi="Calibri" w:cs="Calibri"/>
          <w:noProof/>
        </w:rPr>
      </w:pPr>
      <w:bookmarkStart w:id="22"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2"/>
    </w:p>
    <w:p w14:paraId="13E3171A" w14:textId="77777777" w:rsidR="00862BD7" w:rsidRPr="00862BD7" w:rsidRDefault="00862BD7" w:rsidP="00862BD7">
      <w:pPr>
        <w:spacing w:after="0" w:line="240" w:lineRule="auto"/>
        <w:rPr>
          <w:rFonts w:ascii="Calibri" w:hAnsi="Calibri" w:cs="Calibri"/>
          <w:noProof/>
        </w:rPr>
      </w:pPr>
      <w:bookmarkStart w:id="23"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3"/>
    </w:p>
    <w:p w14:paraId="2F7FCD25" w14:textId="77777777" w:rsidR="00862BD7" w:rsidRPr="00862BD7" w:rsidRDefault="00862BD7" w:rsidP="00862BD7">
      <w:pPr>
        <w:spacing w:line="240" w:lineRule="auto"/>
        <w:rPr>
          <w:rFonts w:ascii="Calibri" w:hAnsi="Calibri" w:cs="Calibri"/>
          <w:noProof/>
        </w:rPr>
      </w:pPr>
      <w:bookmarkStart w:id="24"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4"/>
    </w:p>
    <w:p w14:paraId="428F4BF9" w14:textId="6C8EB8FD" w:rsidR="00862BD7" w:rsidRDefault="00FE439F" w:rsidP="00FE439F">
      <w:pPr>
        <w:pStyle w:val="Heading1"/>
        <w:rPr>
          <w:noProof/>
        </w:rPr>
      </w:pPr>
      <w:r>
        <w:rPr>
          <w:noProof/>
        </w:rPr>
        <w:t>Appendix A. Drug classification</w:t>
      </w:r>
    </w:p>
    <w:p w14:paraId="2A17C289" w14:textId="6E667E58" w:rsidR="00FE439F" w:rsidRPr="00FE439F" w:rsidRDefault="00BE5D91" w:rsidP="00FE439F">
      <w:r>
        <w:object w:dxaOrig="1551" w:dyaOrig="1004" w14:anchorId="6D09E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20" o:title=""/>
          </v:shape>
          <o:OLEObject Type="Embed" ProgID="Excel.SheetMacroEnabled.12" ShapeID="_x0000_i1025" DrawAspect="Icon" ObjectID="_1522664853" r:id="rId21"/>
        </w:object>
      </w:r>
    </w:p>
    <w:p w14:paraId="6AC531E3" w14:textId="77777777" w:rsidR="00FE439F" w:rsidRDefault="00FE439F" w:rsidP="00862BD7">
      <w:pPr>
        <w:spacing w:line="240" w:lineRule="auto"/>
        <w:rPr>
          <w:rFonts w:ascii="Calibri" w:hAnsi="Calibri" w:cs="Calibri"/>
          <w:noProof/>
        </w:rPr>
      </w:pPr>
    </w:p>
    <w:p w14:paraId="45E4C70A" w14:textId="72B2DCE2" w:rsidR="003E1AF7" w:rsidRPr="003E1AF7" w:rsidRDefault="003A4336" w:rsidP="0070625C">
      <w:r>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F3584E" w14:textId="77777777" w:rsidR="00C17A9F" w:rsidRDefault="00C17A9F" w:rsidP="0074593E">
      <w:pPr>
        <w:spacing w:after="0" w:line="240" w:lineRule="auto"/>
      </w:pPr>
      <w:r>
        <w:separator/>
      </w:r>
    </w:p>
  </w:endnote>
  <w:endnote w:type="continuationSeparator" w:id="0">
    <w:p w14:paraId="092DEB3E" w14:textId="77777777" w:rsidR="00C17A9F" w:rsidRDefault="00C17A9F"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AA2A51">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CB120" w14:textId="77777777" w:rsidR="00C17A9F" w:rsidRDefault="00C17A9F" w:rsidP="0074593E">
      <w:pPr>
        <w:spacing w:after="0" w:line="240" w:lineRule="auto"/>
      </w:pPr>
      <w:r>
        <w:separator/>
      </w:r>
    </w:p>
  </w:footnote>
  <w:footnote w:type="continuationSeparator" w:id="0">
    <w:p w14:paraId="01B514B7" w14:textId="77777777" w:rsidR="00C17A9F" w:rsidRDefault="00C17A9F"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14F6"/>
    <w:rsid w:val="000B6860"/>
    <w:rsid w:val="000C71CA"/>
    <w:rsid w:val="000E3637"/>
    <w:rsid w:val="000F74A6"/>
    <w:rsid w:val="0011101D"/>
    <w:rsid w:val="00120D64"/>
    <w:rsid w:val="00133B1A"/>
    <w:rsid w:val="0013766E"/>
    <w:rsid w:val="00146F49"/>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77179"/>
    <w:rsid w:val="003838E9"/>
    <w:rsid w:val="00393D7E"/>
    <w:rsid w:val="003A04F0"/>
    <w:rsid w:val="003A4336"/>
    <w:rsid w:val="003A5D01"/>
    <w:rsid w:val="003B4830"/>
    <w:rsid w:val="003B63A9"/>
    <w:rsid w:val="003C3045"/>
    <w:rsid w:val="003C4AF4"/>
    <w:rsid w:val="003E1AF7"/>
    <w:rsid w:val="003E4E89"/>
    <w:rsid w:val="004000FC"/>
    <w:rsid w:val="00413F36"/>
    <w:rsid w:val="00444A4E"/>
    <w:rsid w:val="00452220"/>
    <w:rsid w:val="004577BF"/>
    <w:rsid w:val="0046296F"/>
    <w:rsid w:val="0048252B"/>
    <w:rsid w:val="00482548"/>
    <w:rsid w:val="00486483"/>
    <w:rsid w:val="00492972"/>
    <w:rsid w:val="00496346"/>
    <w:rsid w:val="00497669"/>
    <w:rsid w:val="004A6CB9"/>
    <w:rsid w:val="004B21EC"/>
    <w:rsid w:val="004C12E6"/>
    <w:rsid w:val="004C261F"/>
    <w:rsid w:val="004F3DA1"/>
    <w:rsid w:val="004F4CEB"/>
    <w:rsid w:val="00505F97"/>
    <w:rsid w:val="005120DC"/>
    <w:rsid w:val="005462D0"/>
    <w:rsid w:val="00550889"/>
    <w:rsid w:val="00554190"/>
    <w:rsid w:val="005670FD"/>
    <w:rsid w:val="00571F4A"/>
    <w:rsid w:val="005720C7"/>
    <w:rsid w:val="0057212D"/>
    <w:rsid w:val="00584EBA"/>
    <w:rsid w:val="00586E44"/>
    <w:rsid w:val="0059177A"/>
    <w:rsid w:val="0059591B"/>
    <w:rsid w:val="005B78B9"/>
    <w:rsid w:val="005C74A2"/>
    <w:rsid w:val="005D1ABA"/>
    <w:rsid w:val="005D5F85"/>
    <w:rsid w:val="005E3080"/>
    <w:rsid w:val="005F3305"/>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6F40D6"/>
    <w:rsid w:val="00704D14"/>
    <w:rsid w:val="0070625C"/>
    <w:rsid w:val="00706CDE"/>
    <w:rsid w:val="007230C6"/>
    <w:rsid w:val="00723CDC"/>
    <w:rsid w:val="007346DD"/>
    <w:rsid w:val="0074593E"/>
    <w:rsid w:val="00750DF8"/>
    <w:rsid w:val="00776738"/>
    <w:rsid w:val="00785B28"/>
    <w:rsid w:val="00793430"/>
    <w:rsid w:val="007A3783"/>
    <w:rsid w:val="007B46C8"/>
    <w:rsid w:val="007B7A6F"/>
    <w:rsid w:val="007C266F"/>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90149B"/>
    <w:rsid w:val="009044FE"/>
    <w:rsid w:val="0091408B"/>
    <w:rsid w:val="009172E3"/>
    <w:rsid w:val="00933BF2"/>
    <w:rsid w:val="0094625E"/>
    <w:rsid w:val="0096169D"/>
    <w:rsid w:val="009616D5"/>
    <w:rsid w:val="009712F2"/>
    <w:rsid w:val="00980A6D"/>
    <w:rsid w:val="009831D6"/>
    <w:rsid w:val="00984B36"/>
    <w:rsid w:val="00984DC6"/>
    <w:rsid w:val="00986E27"/>
    <w:rsid w:val="00992682"/>
    <w:rsid w:val="00994551"/>
    <w:rsid w:val="009A0DEC"/>
    <w:rsid w:val="009A2F96"/>
    <w:rsid w:val="009A612E"/>
    <w:rsid w:val="009B7960"/>
    <w:rsid w:val="009C7230"/>
    <w:rsid w:val="009E0282"/>
    <w:rsid w:val="009F2EC1"/>
    <w:rsid w:val="00A0091C"/>
    <w:rsid w:val="00A10ABB"/>
    <w:rsid w:val="00A26520"/>
    <w:rsid w:val="00A3358E"/>
    <w:rsid w:val="00A356C1"/>
    <w:rsid w:val="00A419B4"/>
    <w:rsid w:val="00A63880"/>
    <w:rsid w:val="00A73ED1"/>
    <w:rsid w:val="00A765EE"/>
    <w:rsid w:val="00A84FDC"/>
    <w:rsid w:val="00AA2A51"/>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41E01"/>
    <w:rsid w:val="00B620A2"/>
    <w:rsid w:val="00B86661"/>
    <w:rsid w:val="00B96E25"/>
    <w:rsid w:val="00BA012B"/>
    <w:rsid w:val="00BA5509"/>
    <w:rsid w:val="00BA5C9F"/>
    <w:rsid w:val="00BC1BFC"/>
    <w:rsid w:val="00BC66AC"/>
    <w:rsid w:val="00BC7861"/>
    <w:rsid w:val="00BD71E0"/>
    <w:rsid w:val="00BE41A2"/>
    <w:rsid w:val="00BE5D91"/>
    <w:rsid w:val="00BF0181"/>
    <w:rsid w:val="00C16C49"/>
    <w:rsid w:val="00C17A9F"/>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4F55"/>
    <w:rsid w:val="00CF5F0A"/>
    <w:rsid w:val="00CF6286"/>
    <w:rsid w:val="00CF6D27"/>
    <w:rsid w:val="00D01B2B"/>
    <w:rsid w:val="00D02017"/>
    <w:rsid w:val="00D0213F"/>
    <w:rsid w:val="00D060EC"/>
    <w:rsid w:val="00D06772"/>
    <w:rsid w:val="00D176E8"/>
    <w:rsid w:val="00D32BC1"/>
    <w:rsid w:val="00D42F5F"/>
    <w:rsid w:val="00D456DC"/>
    <w:rsid w:val="00D757C9"/>
    <w:rsid w:val="00D92EA9"/>
    <w:rsid w:val="00DA0D94"/>
    <w:rsid w:val="00DB59DA"/>
    <w:rsid w:val="00DC1888"/>
    <w:rsid w:val="00DD02AA"/>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534D"/>
    <w:rsid w:val="00F06CC7"/>
    <w:rsid w:val="00F174CC"/>
    <w:rsid w:val="00F2460C"/>
    <w:rsid w:val="00F30209"/>
    <w:rsid w:val="00F305A6"/>
    <w:rsid w:val="00F32C86"/>
    <w:rsid w:val="00F37C28"/>
    <w:rsid w:val="00F402EC"/>
    <w:rsid w:val="00F64F66"/>
    <w:rsid w:val="00F65DCD"/>
    <w:rsid w:val="00F7104A"/>
    <w:rsid w:val="00F84428"/>
    <w:rsid w:val="00F951AA"/>
    <w:rsid w:val="00F96847"/>
    <w:rsid w:val="00FB166A"/>
    <w:rsid w:val="00FC27A3"/>
    <w:rsid w:val="00FC4420"/>
    <w:rsid w:val="00FE0955"/>
    <w:rsid w:val="00FE0C97"/>
    <w:rsid w:val="00FE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672801833">
      <w:bodyDiv w:val="1"/>
      <w:marLeft w:val="0"/>
      <w:marRight w:val="0"/>
      <w:marTop w:val="0"/>
      <w:marBottom w:val="0"/>
      <w:divBdr>
        <w:top w:val="none" w:sz="0" w:space="0" w:color="auto"/>
        <w:left w:val="none" w:sz="0" w:space="0" w:color="auto"/>
        <w:bottom w:val="none" w:sz="0" w:space="0" w:color="auto"/>
        <w:right w:val="none" w:sz="0" w:space="0" w:color="auto"/>
      </w:divBdr>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545293111">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package" Target="embeddings/Microsoft_Excel_Macro-Enabled_Worksheet1.xlsm"/><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36AA5-A229-45CE-8233-77B61B4E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60</cp:revision>
  <dcterms:created xsi:type="dcterms:W3CDTF">2015-09-08T03:06:00Z</dcterms:created>
  <dcterms:modified xsi:type="dcterms:W3CDTF">2016-04-20T11:41:00Z</dcterms:modified>
</cp:coreProperties>
</file>