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6.png" ContentType="image/png"/>
  <Override PartName="/word/media/rId35.png" ContentType="image/png"/>
  <Override PartName="/word/media/rId29.png" ContentType="image/png"/>
  <Override PartName="/word/media/rId30.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Alendronate</w:t>
      </w:r>
      <w:r>
        <w:t xml:space="preserve"> </w:t>
      </w:r>
      <w:r>
        <w:t xml:space="preserve">vs</w:t>
      </w:r>
      <w:r>
        <w:t xml:space="preserve"> </w:t>
      </w:r>
      <w:r>
        <w:t xml:space="preserve">Raloxifen</w:t>
      </w:r>
      <w:r>
        <w:t xml:space="preserve"> </w:t>
      </w:r>
      <w:r>
        <w:t xml:space="preserve">study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reports describes the results from a comparative effectiveness study comparing new users of alendronate to new users of raloxifen Propensity scores were generated using large scale regression, and stratification and trimming on propensity scores was performed. Effect sizes were estimated using a univariate Cox regression, conditioned on the matched sets. A set of negative control outcomes was included to estimate residual bias and calibrate p-values.</w:t>
      </w:r>
    </w:p>
    <w:p>
      <w:pPr>
        <w:pStyle w:val="Heading2"/>
      </w:pPr>
      <w:bookmarkStart w:id="22" w:name="population-characteristics"/>
      <w:bookmarkEnd w:id="22"/>
      <w:r>
        <w:t xml:space="preserve">Population characteristics</w:t>
      </w:r>
    </w:p>
    <w:p>
      <w:pPr>
        <w:pStyle w:val="TableCaption"/>
      </w:pPr>
      <w:r>
        <w:t xml:space="preserve">Key characteristics of the study population, stratified by treatment group.</w:t>
      </w:r>
    </w:p>
    <w:tbl>
      <w:tblPr>
        <w:tblStyle w:val="TableNormal"/>
        <w:tblW w:type="pct" w:w="0.0"/>
        <w:tblLook w:firstRow="1"/>
        <w:tblCaption w:val="Key characteristics of the study population, stratified by treatment group."/>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Number in treated (%)</w:t>
            </w:r>
          </w:p>
        </w:tc>
        <w:tc>
          <w:tcPr>
            <w:tcBorders>
              <w:bottom w:val="single"/>
            </w:tcBorders>
            <w:vAlign w:val="bottom"/>
          </w:tcPr>
          <w:p>
            <w:pPr>
              <w:pStyle w:val="Compact"/>
              <w:jc w:val="left"/>
            </w:pPr>
            <w:r>
              <w:t xml:space="preserve">Number in comparator (%)</w:t>
            </w:r>
          </w:p>
        </w:tc>
      </w:tr>
      <w:tr>
        <w:tc>
          <w:p>
            <w:pPr>
              <w:pStyle w:val="Compact"/>
              <w:jc w:val="left"/>
            </w:pPr>
            <w:r>
              <w:t xml:space="preserve">Age group: 45-49</w:t>
            </w:r>
          </w:p>
        </w:tc>
        <w:tc>
          <w:p>
            <w:pPr>
              <w:pStyle w:val="Compact"/>
              <w:jc w:val="left"/>
            </w:pPr>
            <w:r>
              <w:t xml:space="preserve">297 (6)</w:t>
            </w:r>
          </w:p>
        </w:tc>
        <w:tc>
          <w:p>
            <w:pPr>
              <w:pStyle w:val="Compact"/>
              <w:jc w:val="left"/>
            </w:pPr>
            <w:r>
              <w:t xml:space="preserve">27 (6.3)</w:t>
            </w:r>
          </w:p>
        </w:tc>
      </w:tr>
      <w:tr>
        <w:tc>
          <w:p>
            <w:pPr>
              <w:pStyle w:val="Compact"/>
              <w:jc w:val="left"/>
            </w:pPr>
            <w:r>
              <w:t xml:space="preserve">Age group: 50-54</w:t>
            </w:r>
          </w:p>
        </w:tc>
        <w:tc>
          <w:p>
            <w:pPr>
              <w:pStyle w:val="Compact"/>
              <w:jc w:val="left"/>
            </w:pPr>
            <w:r>
              <w:t xml:space="preserve">722 (14.5)</w:t>
            </w:r>
          </w:p>
        </w:tc>
        <w:tc>
          <w:p>
            <w:pPr>
              <w:pStyle w:val="Compact"/>
              <w:jc w:val="left"/>
            </w:pPr>
            <w:r>
              <w:t xml:space="preserve">65 (15.1)</w:t>
            </w:r>
          </w:p>
        </w:tc>
      </w:tr>
      <w:tr>
        <w:tc>
          <w:p>
            <w:pPr>
              <w:pStyle w:val="Compact"/>
              <w:jc w:val="left"/>
            </w:pPr>
            <w:r>
              <w:t xml:space="preserve">Age group: 55-59</w:t>
            </w:r>
          </w:p>
        </w:tc>
        <w:tc>
          <w:p>
            <w:pPr>
              <w:pStyle w:val="Compact"/>
              <w:jc w:val="left"/>
            </w:pPr>
            <w:r>
              <w:t xml:space="preserve">948 (19)</w:t>
            </w:r>
          </w:p>
        </w:tc>
        <w:tc>
          <w:p>
            <w:pPr>
              <w:pStyle w:val="Compact"/>
              <w:jc w:val="left"/>
            </w:pPr>
            <w:r>
              <w:t xml:space="preserve">79 (18.3)</w:t>
            </w:r>
          </w:p>
        </w:tc>
      </w:tr>
      <w:tr>
        <w:tc>
          <w:p>
            <w:pPr>
              <w:pStyle w:val="Compact"/>
              <w:jc w:val="left"/>
            </w:pPr>
            <w:r>
              <w:t xml:space="preserve">Age group: 60-64</w:t>
            </w:r>
          </w:p>
        </w:tc>
        <w:tc>
          <w:p>
            <w:pPr>
              <w:pStyle w:val="Compact"/>
              <w:jc w:val="left"/>
            </w:pPr>
            <w:r>
              <w:t xml:space="preserve">1,066 (21.4)</w:t>
            </w:r>
          </w:p>
        </w:tc>
        <w:tc>
          <w:p>
            <w:pPr>
              <w:pStyle w:val="Compact"/>
              <w:jc w:val="left"/>
            </w:pPr>
            <w:r>
              <w:t xml:space="preserve">80 (18.6)</w:t>
            </w:r>
          </w:p>
        </w:tc>
      </w:tr>
      <w:tr>
        <w:tc>
          <w:p>
            <w:pPr>
              <w:pStyle w:val="Compact"/>
              <w:jc w:val="left"/>
            </w:pPr>
            <w:r>
              <w:t xml:space="preserve">Age group: 65-69</w:t>
            </w:r>
          </w:p>
        </w:tc>
        <w:tc>
          <w:p>
            <w:pPr>
              <w:pStyle w:val="Compact"/>
              <w:jc w:val="left"/>
            </w:pPr>
            <w:r>
              <w:t xml:space="preserve">629 (12.6)</w:t>
            </w:r>
          </w:p>
        </w:tc>
        <w:tc>
          <w:p>
            <w:pPr>
              <w:pStyle w:val="Compact"/>
              <w:jc w:val="left"/>
            </w:pPr>
            <w:r>
              <w:t xml:space="preserve">44 (10.2)</w:t>
            </w:r>
          </w:p>
        </w:tc>
      </w:tr>
      <w:tr>
        <w:tc>
          <w:p>
            <w:pPr>
              <w:pStyle w:val="Compact"/>
              <w:jc w:val="left"/>
            </w:pPr>
            <w:r>
              <w:t xml:space="preserve">Age group: 70-74</w:t>
            </w:r>
          </w:p>
        </w:tc>
        <w:tc>
          <w:p>
            <w:pPr>
              <w:pStyle w:val="Compact"/>
              <w:jc w:val="left"/>
            </w:pPr>
            <w:r>
              <w:t xml:space="preserve">459 (9.2)</w:t>
            </w:r>
          </w:p>
        </w:tc>
        <w:tc>
          <w:p>
            <w:pPr>
              <w:pStyle w:val="Compact"/>
              <w:jc w:val="left"/>
            </w:pPr>
            <w:r>
              <w:t xml:space="preserve">53 (12.3)</w:t>
            </w:r>
          </w:p>
        </w:tc>
      </w:tr>
      <w:tr>
        <w:tc>
          <w:p>
            <w:pPr>
              <w:pStyle w:val="Compact"/>
              <w:jc w:val="left"/>
            </w:pPr>
            <w:r>
              <w:t xml:space="preserve">Age group: 75-79</w:t>
            </w:r>
          </w:p>
        </w:tc>
        <w:tc>
          <w:p>
            <w:pPr>
              <w:pStyle w:val="Compact"/>
              <w:jc w:val="left"/>
            </w:pPr>
            <w:r>
              <w:t xml:space="preserve">356 (7.2)</w:t>
            </w:r>
          </w:p>
        </w:tc>
        <w:tc>
          <w:p>
            <w:pPr>
              <w:pStyle w:val="Compact"/>
              <w:jc w:val="left"/>
            </w:pPr>
            <w:r>
              <w:t xml:space="preserve">25 (5.8)</w:t>
            </w:r>
          </w:p>
        </w:tc>
      </w:tr>
      <w:tr>
        <w:tc>
          <w:p>
            <w:pPr>
              <w:pStyle w:val="Compact"/>
              <w:jc w:val="left"/>
            </w:pPr>
            <w:r>
              <w:t xml:space="preserve">Age group: 80-84</w:t>
            </w:r>
          </w:p>
        </w:tc>
        <w:tc>
          <w:p>
            <w:pPr>
              <w:pStyle w:val="Compact"/>
              <w:jc w:val="left"/>
            </w:pPr>
            <w:r>
              <w:t xml:space="preserve">297 (6)</w:t>
            </w:r>
          </w:p>
        </w:tc>
        <w:tc>
          <w:p>
            <w:pPr>
              <w:pStyle w:val="Compact"/>
              <w:jc w:val="left"/>
            </w:pPr>
            <w:r>
              <w:t xml:space="preserve">31 (7.2)</w:t>
            </w:r>
          </w:p>
        </w:tc>
      </w:tr>
      <w:tr>
        <w:tc>
          <w:p>
            <w:pPr>
              <w:pStyle w:val="Compact"/>
              <w:jc w:val="left"/>
            </w:pPr>
            <w:r>
              <w:t xml:space="preserve">Age group: 85-89</w:t>
            </w:r>
          </w:p>
        </w:tc>
        <w:tc>
          <w:p>
            <w:pPr>
              <w:pStyle w:val="Compact"/>
              <w:jc w:val="left"/>
            </w:pPr>
            <w:r>
              <w:t xml:space="preserve">193 (3.9)</w:t>
            </w:r>
          </w:p>
        </w:tc>
        <w:tc>
          <w:p>
            <w:pPr>
              <w:pStyle w:val="Compact"/>
              <w:jc w:val="left"/>
            </w:pPr>
            <w:r>
              <w:t xml:space="preserve">25 (5.8)</w:t>
            </w:r>
          </w:p>
        </w:tc>
      </w:tr>
      <w:tr>
        <w:tc>
          <w:p>
            <w:pPr>
              <w:pStyle w:val="Compact"/>
              <w:jc w:val="left"/>
            </w:pPr>
            <w:r>
              <w:t xml:space="preserve">FEMALE</w:t>
            </w:r>
          </w:p>
        </w:tc>
        <w:tc>
          <w:p>
            <w:pPr>
              <w:pStyle w:val="Compact"/>
              <w:jc w:val="left"/>
            </w:pPr>
            <w:r>
              <w:t xml:space="preserve">NA (100)</w:t>
            </w:r>
          </w:p>
        </w:tc>
        <w:tc>
          <w:p>
            <w:pPr>
              <w:pStyle w:val="Compact"/>
              <w:jc w:val="left"/>
            </w:pPr>
            <w:r>
              <w:t xml:space="preserve">NA (100)</w:t>
            </w:r>
          </w:p>
        </w:tc>
      </w:tr>
      <w:tr>
        <w:tc>
          <w:p>
            <w:pPr>
              <w:pStyle w:val="Compact"/>
              <w:jc w:val="left"/>
            </w:pPr>
            <w:r>
              <w:t xml:space="preserve">2007</w:t>
            </w:r>
          </w:p>
        </w:tc>
        <w:tc>
          <w:p>
            <w:pPr>
              <w:pStyle w:val="Compact"/>
              <w:jc w:val="left"/>
            </w:pPr>
            <w:r>
              <w:t xml:space="preserve">1,044 (21)</w:t>
            </w:r>
          </w:p>
        </w:tc>
        <w:tc>
          <w:p>
            <w:pPr>
              <w:pStyle w:val="Compact"/>
              <w:jc w:val="left"/>
            </w:pPr>
            <w:r>
              <w:t xml:space="preserve">127 (29.5)</w:t>
            </w:r>
          </w:p>
        </w:tc>
      </w:tr>
      <w:tr>
        <w:tc>
          <w:p>
            <w:pPr>
              <w:pStyle w:val="Compact"/>
              <w:jc w:val="left"/>
            </w:pPr>
            <w:r>
              <w:t xml:space="preserve">2008</w:t>
            </w:r>
          </w:p>
        </w:tc>
        <w:tc>
          <w:p>
            <w:pPr>
              <w:pStyle w:val="Compact"/>
              <w:jc w:val="left"/>
            </w:pPr>
            <w:r>
              <w:t xml:space="preserve">829 (16.7)</w:t>
            </w:r>
          </w:p>
        </w:tc>
        <w:tc>
          <w:p>
            <w:pPr>
              <w:pStyle w:val="Compact"/>
              <w:jc w:val="left"/>
            </w:pPr>
            <w:r>
              <w:t xml:space="preserve">98 (22.7)</w:t>
            </w:r>
          </w:p>
        </w:tc>
      </w:tr>
      <w:tr>
        <w:tc>
          <w:p>
            <w:pPr>
              <w:pStyle w:val="Compact"/>
              <w:jc w:val="left"/>
            </w:pPr>
            <w:r>
              <w:t xml:space="preserve">2009</w:t>
            </w:r>
          </w:p>
        </w:tc>
        <w:tc>
          <w:p>
            <w:pPr>
              <w:pStyle w:val="Compact"/>
              <w:jc w:val="left"/>
            </w:pPr>
            <w:r>
              <w:t xml:space="preserve">1,141 (22.9)</w:t>
            </w:r>
          </w:p>
        </w:tc>
        <w:tc>
          <w:p>
            <w:pPr>
              <w:pStyle w:val="Compact"/>
              <w:jc w:val="left"/>
            </w:pPr>
            <w:r>
              <w:t xml:space="preserve">93 (21.6)</w:t>
            </w:r>
          </w:p>
        </w:tc>
      </w:tr>
      <w:tr>
        <w:tc>
          <w:p>
            <w:pPr>
              <w:pStyle w:val="Compact"/>
              <w:jc w:val="left"/>
            </w:pPr>
            <w:r>
              <w:t xml:space="preserve">2010</w:t>
            </w:r>
          </w:p>
        </w:tc>
        <w:tc>
          <w:p>
            <w:pPr>
              <w:pStyle w:val="Compact"/>
              <w:jc w:val="left"/>
            </w:pPr>
            <w:r>
              <w:t xml:space="preserve">1,199 (24.1)</w:t>
            </w:r>
          </w:p>
        </w:tc>
        <w:tc>
          <w:p>
            <w:pPr>
              <w:pStyle w:val="Compact"/>
              <w:jc w:val="left"/>
            </w:pPr>
            <w:r>
              <w:t xml:space="preserve">75 (17.4)</w:t>
            </w:r>
          </w:p>
        </w:tc>
      </w:tr>
      <w:tr>
        <w:tc>
          <w:p>
            <w:pPr>
              <w:pStyle w:val="Compact"/>
              <w:jc w:val="left"/>
            </w:pPr>
            <w:r>
              <w:t xml:space="preserve">2011</w:t>
            </w:r>
          </w:p>
        </w:tc>
        <w:tc>
          <w:p>
            <w:pPr>
              <w:pStyle w:val="Compact"/>
              <w:jc w:val="left"/>
            </w:pPr>
            <w:r>
              <w:t xml:space="preserve">707 (14.2)</w:t>
            </w:r>
          </w:p>
        </w:tc>
        <w:tc>
          <w:p>
            <w:pPr>
              <w:pStyle w:val="Compact"/>
              <w:jc w:val="left"/>
            </w:pPr>
            <w:r>
              <w:t xml:space="preserve">35 (8.1)</w:t>
            </w:r>
          </w:p>
        </w:tc>
      </w:tr>
    </w:tbl>
    <w:p>
      <w:pPr>
        <w:pStyle w:val="Heading2"/>
      </w:pPr>
      <w:bookmarkStart w:id="23" w:name="analysis-variations"/>
      <w:bookmarkEnd w:id="23"/>
      <w:r>
        <w:t xml:space="preserve">Analysis variations</w:t>
      </w:r>
    </w:p>
    <w:p>
      <w:pPr>
        <w:pStyle w:val="FirstParagraph"/>
      </w:pPr>
      <w:r>
        <w:t xml:space="preserve">In total, 1 analyses variation was executed:</w:t>
      </w:r>
    </w:p>
    <w:p>
      <w:pPr>
        <w:pStyle w:val="Compact"/>
        <w:numPr>
          <w:numId w:val="1001"/>
          <w:ilvl w:val="0"/>
        </w:numPr>
      </w:pPr>
      <w:r>
        <w:t xml:space="preserve">Sisyphus challenge: Comparative effectiveness of alendronate vs. raloxifene in patients with osteoporosis for the risk of hip fracture</w:t>
      </w:r>
    </w:p>
    <w:p>
      <w:pPr>
        <w:pStyle w:val="Heading1"/>
      </w:pPr>
      <w:bookmarkStart w:id="24" w:name="model-diagnostics"/>
      <w:bookmarkEnd w:id="24"/>
      <w:r>
        <w:t xml:space="preserve">Model diagnostics</w:t>
      </w:r>
    </w:p>
    <w:p>
      <w:pPr>
        <w:pStyle w:val="Heading2"/>
      </w:pPr>
      <w:bookmarkStart w:id="25" w:name="propensity-score-distribution"/>
      <w:bookmarkEnd w:id="25"/>
      <w:r>
        <w:t xml:space="preserve">Propensity score distribution</w:t>
      </w:r>
    </w:p>
    <w:p>
      <w:pPr>
        <w:pStyle w:val="FigureWithCaption"/>
      </w:pPr>
      <w:r>
        <w:drawing>
          <wp:inline>
            <wp:extent cx="4583458" cy="3208421"/>
            <wp:effectExtent b="0" l="0" r="0" t="0"/>
            <wp:docPr descr="Propensity score distribution plot. This plot shows the propensity score distribution using the preference score scale." id="1" name="Picture"/>
            <a:graphic>
              <a:graphicData uri="http://schemas.openxmlformats.org/drawingml/2006/picture">
                <pic:pic>
                  <pic:nvPicPr>
                    <pic:cNvPr descr="S:/temp/AlendronateVsRaloxifenMdcd/export/PsPrefScale.png" id="0" name="Picture"/>
                    <pic:cNvPicPr>
                      <a:picLocks noChangeArrowheads="1" noChangeAspect="1"/>
                    </pic:cNvPicPr>
                  </pic:nvPicPr>
                  <pic:blipFill>
                    <a:blip r:embed="rId26"/>
                    <a:stretch>
                      <a:fillRect/>
                    </a:stretch>
                  </pic:blipFill>
                  <pic:spPr bwMode="auto">
                    <a:xfrm>
                      <a:off x="0" y="0"/>
                      <a:ext cx="4583458" cy="3208421"/>
                    </a:xfrm>
                    <a:prstGeom prst="rect">
                      <a:avLst/>
                    </a:prstGeom>
                    <a:noFill/>
                    <a:ln w="9525">
                      <a:noFill/>
                      <a:headEnd/>
                      <a:tailEnd/>
                    </a:ln>
                  </pic:spPr>
                </pic:pic>
              </a:graphicData>
            </a:graphic>
          </wp:inline>
        </w:drawing>
      </w:r>
    </w:p>
    <w:p>
      <w:pPr>
        <w:pStyle w:val="ImageCaption"/>
      </w:pPr>
      <w:r>
        <w:t xml:space="preserve">Propensity score distribution plot. This plot shows the propensity score distribution using the preference score scale.</w:t>
      </w:r>
    </w:p>
    <w:p>
      <w:pPr>
        <w:pStyle w:val="Heading2"/>
      </w:pPr>
      <w:bookmarkStart w:id="27" w:name="covariate-balance"/>
      <w:bookmarkEnd w:id="27"/>
      <w:r>
        <w:t xml:space="preserve">Covariate balance</w:t>
      </w:r>
    </w:p>
    <w:p>
      <w:pPr>
        <w:pStyle w:val="Heading3"/>
      </w:pPr>
      <w:bookmarkStart w:id="28" w:name="after-stratification"/>
      <w:bookmarkEnd w:id="28"/>
      <w:r>
        <w:t xml:space="preserve">After stratification</w:t>
      </w:r>
    </w:p>
    <w:p>
      <w:pPr>
        <w:pStyle w:val="FigureWithCaption"/>
      </w:pPr>
      <w:r>
        <w:drawing>
          <wp:inline>
            <wp:extent cx="3666766" cy="3666766"/>
            <wp:effectExtent b="0" l="0" r="0" t="0"/>
            <wp:docPr descr="Balance scatter plot. This plot shows the standardized difference before and after matching for all covariates used in the propensity score model." id="1" name="Picture"/>
            <a:graphic>
              <a:graphicData uri="http://schemas.openxmlformats.org/drawingml/2006/picture">
                <pic:pic>
                  <pic:nvPicPr>
                    <pic:cNvPr descr="S:/temp/AlendronateVsRaloxifenMdcd/export/tablesAndFigures/BalanceScatterPlot.png" id="0" name="Picture"/>
                    <pic:cNvPicPr>
                      <a:picLocks noChangeArrowheads="1" noChangeAspect="1"/>
                    </pic:cNvPicPr>
                  </pic:nvPicPr>
                  <pic:blipFill>
                    <a:blip r:embed="rId29"/>
                    <a:stretch>
                      <a:fillRect/>
                    </a:stretch>
                  </pic:blipFill>
                  <pic:spPr bwMode="auto">
                    <a:xfrm>
                      <a:off x="0" y="0"/>
                      <a:ext cx="3666766" cy="3666766"/>
                    </a:xfrm>
                    <a:prstGeom prst="rect">
                      <a:avLst/>
                    </a:prstGeom>
                    <a:noFill/>
                    <a:ln w="9525">
                      <a:noFill/>
                      <a:headEnd/>
                      <a:tailEnd/>
                    </a:ln>
                  </pic:spPr>
                </pic:pic>
              </a:graphicData>
            </a:graphic>
          </wp:inline>
        </w:drawing>
      </w:r>
    </w:p>
    <w:p>
      <w:pPr>
        <w:pStyle w:val="ImageCaption"/>
      </w:pPr>
      <w:r>
        <w:t xml:space="preserve">Balance scatter plot. This plot shows the standardized difference before and after matching for all covariates used in the propensity score model.</w:t>
      </w:r>
    </w:p>
    <w:p>
      <w:pPr>
        <w:pStyle w:val="FigureWithCaption"/>
      </w:pPr>
      <w:r>
        <w:drawing>
          <wp:inline>
            <wp:extent cx="5334000" cy="3200399"/>
            <wp:effectExtent b="0" l="0" r="0" t="0"/>
            <wp:docPr descr="Balance plot for top covariates. This plot shows the standardized difference before and after stratification for those covariates with the largest difference before matching (top) and after matching (bottom). A negative difference means the value in the treated group was lower than in the comparator group." id="1" name="Picture"/>
            <a:graphic>
              <a:graphicData uri="http://schemas.openxmlformats.org/drawingml/2006/picture">
                <pic:pic>
                  <pic:nvPicPr>
                    <pic:cNvPr descr="S:/temp/AlendronateVsRaloxifenMdcd/export/tablesAndFigures/BalanceTopVariables.png" id="0" name="Picture"/>
                    <pic:cNvPicPr>
                      <a:picLocks noChangeArrowheads="1" noChangeAspect="1"/>
                    </pic:cNvPicPr>
                  </pic:nvPicPr>
                  <pic:blipFill>
                    <a:blip r:embed="rId30"/>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Balance plot for top covariates. This plot shows the standardized difference before and after stratification for those covariates with the largest difference before matching (top) and after matching (bottom). A negative difference means the value in the treated group was lower than in the comparator group.</w:t>
      </w:r>
    </w:p>
    <w:p>
      <w:pPr>
        <w:pStyle w:val="Heading2"/>
      </w:pPr>
      <w:bookmarkStart w:id="31" w:name="empirical-calibration"/>
      <w:bookmarkEnd w:id="31"/>
      <w:r>
        <w:t xml:space="preserve">Empirical calibration</w:t>
      </w:r>
    </w:p>
    <w:p>
      <w:pPr>
        <w:pStyle w:val="Heading3"/>
      </w:pPr>
      <w:bookmarkStart w:id="32" w:name="analysis-1-sisyphus-challenge-comparative-effectiveness-of-alendronate-vs.-raloxifene-in-patients-with-osteoporosis-for-the-risk-of-hip-fracture"/>
      <w:bookmarkEnd w:id="32"/>
      <w:r>
        <w:t xml:space="preserve">Analysis 1: Sisyphus challenge: Comparative effectiveness of alendronate vs. raloxifene in patients with osteoporosis for the risk of hip fracture</w:t>
      </w:r>
    </w:p>
    <w:p>
      <w:pPr>
        <w:pStyle w:val="FigureWithCaption"/>
      </w:pPr>
      <w:r>
        <w:drawing>
          <wp:inline>
            <wp:extent cx="5334000" cy="4000500"/>
            <wp:effectExtent b="0" l="0" r="0" t="0"/>
            <wp:docPr descr="Calibration effect plot. Blue dots represent the negative controls used in this study. The dashed line indicates the boundary below which p &lt; 0.05 using traditional p-value computation. The orange area indicated the area where p &lt; 0.05 using calibrated p-value computation." id="1" name="Picture"/>
            <a:graphic>
              <a:graphicData uri="http://schemas.openxmlformats.org/drawingml/2006/picture">
                <pic:pic>
                  <pic:nvPicPr>
                    <pic:cNvPr descr="S:/temp/AlendronateVsRaloxifenMdcd/export/tablesAndFigures/CalEffectNoHoi_a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Calibration effect plot. Blue dots represent the negative controls used in this study. The dashed line indicates the boundary below which p &lt; 0.05 using traditional p-value computation. The orange area indicated the area where p &lt; 0.05 using calibrated p-value computation.</w:t>
      </w:r>
    </w:p>
    <w:p>
      <w:pPr>
        <w:pStyle w:val="BodyText"/>
      </w:pPr>
      <w:r>
        <w:drawing>
          <wp:inline>
            <wp:extent cx="5334000" cy="4000500"/>
            <wp:effectExtent b="0" l="0" r="0" t="0"/>
            <wp:docPr descr="Calibration plot. This plot shows the fraction of negative controls with p-values below alpha, for every level of alpha. Ideally, the plots should follow the diagonal. This plot has been generated using leave-one-out: when computing the calibrated p-value for a negative control, the bias distribution was fitted using all other negative controls." id="1" name="Picture"/>
            <a:graphic>
              <a:graphicData uri="http://schemas.openxmlformats.org/drawingml/2006/picture">
                <pic:pic>
                  <pic:nvPicPr>
                    <pic:cNvPr descr="S:/temp/AlendronateVsRaloxifenMdcd/export/tablesAndFigures/Cal_a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Attrition</w:t>
      </w:r>
    </w:p>
    <w:p>
      <w:pPr>
        <w:pStyle w:val="FigureWithCaption"/>
      </w:pPr>
      <w:r>
        <w:drawing>
          <wp:inline>
            <wp:extent cx="5334000" cy="6223000"/>
            <wp:effectExtent b="0" l="0" r="0" t="0"/>
            <wp:docPr descr="Attrition diagram when using 1-on-1 matching on propensity scores. Original cohorts are the treatment and comparator cohorts as defined in CIRCE." id="1" name="Picture"/>
            <a:graphic>
              <a:graphicData uri="http://schemas.openxmlformats.org/drawingml/2006/picture">
                <pic:pic>
                  <pic:nvPicPr>
                    <pic:cNvPr descr="S:/temp/AlendronateVsRaloxifenMdcd/export/tablesAndFigures/Attrition.png" id="0" name="Picture"/>
                    <pic:cNvPicPr>
                      <a:picLocks noChangeArrowheads="1" noChangeAspect="1"/>
                    </pic:cNvPicPr>
                  </pic:nvPicPr>
                  <pic:blipFill>
                    <a:blip r:embed="rId3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Attrition diagram when using 1-on-1 matching on propensity scores. Original cohorts are the treatment and comparator cohorts as defined in CIRCE.</w:t>
      </w:r>
    </w:p>
    <w:p>
      <w:pPr>
        <w:pStyle w:val="Heading1"/>
      </w:pPr>
      <w:bookmarkStart w:id="36" w:name="main-results"/>
      <w:bookmarkEnd w:id="36"/>
      <w:r>
        <w:t xml:space="preserve">Main results</w:t>
      </w:r>
    </w:p>
    <w:p>
      <w:pPr>
        <w:pStyle w:val="Compact"/>
        <w:numPr>
          <w:numId w:val="1002"/>
          <w:ilvl w:val="0"/>
        </w:numPr>
      </w:pPr>
      <w:r>
        <w:t xml:space="preserve">Sisyphus challenge: Comparative effectiveness of alendronate vs. raloxifene in patients with osteoporosis for the risk of hip fracture</w:t>
      </w:r>
    </w:p>
    <w:p>
      <w:pPr>
        <w:pStyle w:val="TableCaption"/>
      </w:pPr>
      <w:r>
        <w:t xml:space="preserve">Counts of subjects and events for the treated and comparator groups.</w:t>
      </w:r>
    </w:p>
    <w:tbl>
      <w:tblPr>
        <w:tblStyle w:val="TableNormal"/>
        <w:tblW w:type="pct" w:w="0.0"/>
        <w:tblLook w:firstRow="1"/>
        <w:tblCaption w:val="Counts of subjects and events for the treated and comparator groups."/>
      </w:tblPr>
      <w:tblGrid/>
      <w:tr>
        <w:trPr>
          <w:cnfStyle w:firstRow="1"/>
        </w:trPr>
        <w:tc>
          <w:tcPr>
            <w:tcBorders>
              <w:bottom w:val="single"/>
            </w:tcBorders>
            <w:vAlign w:val="bottom"/>
          </w:tcPr>
          <w:p>
            <w:pPr>
              <w:pStyle w:val="Compact"/>
              <w:jc w:val="right"/>
            </w:pPr>
            <w:r>
              <w:t xml:space="preserve">Analysis ID</w:t>
            </w:r>
          </w:p>
        </w:tc>
        <w:tc>
          <w:tcPr>
            <w:tcBorders>
              <w:bottom w:val="single"/>
            </w:tcBorders>
            <w:vAlign w:val="bottom"/>
          </w:tcPr>
          <w:p>
            <w:pPr>
              <w:pStyle w:val="Compact"/>
              <w:jc w:val="right"/>
            </w:pPr>
            <w:r>
              <w:t xml:space="preserve"># treated</w:t>
            </w:r>
          </w:p>
        </w:tc>
        <w:tc>
          <w:tcPr>
            <w:tcBorders>
              <w:bottom w:val="single"/>
            </w:tcBorders>
            <w:vAlign w:val="bottom"/>
          </w:tcPr>
          <w:p>
            <w:pPr>
              <w:pStyle w:val="Compact"/>
              <w:jc w:val="right"/>
            </w:pPr>
            <w:r>
              <w:t xml:space="preserve"># comparator</w:t>
            </w:r>
          </w:p>
        </w:tc>
        <w:tc>
          <w:tcPr>
            <w:tcBorders>
              <w:bottom w:val="single"/>
            </w:tcBorders>
            <w:vAlign w:val="bottom"/>
          </w:tcPr>
          <w:p>
            <w:pPr>
              <w:pStyle w:val="Compact"/>
              <w:jc w:val="left"/>
            </w:pPr>
            <w:r>
              <w:t xml:space="preserve"># treated with event</w:t>
            </w:r>
          </w:p>
        </w:tc>
        <w:tc>
          <w:tcPr>
            <w:tcBorders>
              <w:bottom w:val="single"/>
            </w:tcBorders>
            <w:vAlign w:val="bottom"/>
          </w:tcPr>
          <w:p>
            <w:pPr>
              <w:pStyle w:val="Compact"/>
              <w:jc w:val="left"/>
            </w:pPr>
            <w:r>
              <w:t xml:space="preserve"># comparator with event</w:t>
            </w:r>
          </w:p>
        </w:tc>
      </w:tr>
      <w:tr>
        <w:tc>
          <w:p>
            <w:pPr>
              <w:pStyle w:val="Compact"/>
              <w:jc w:val="right"/>
            </w:pPr>
            <w:r>
              <w:t xml:space="preserve">1</w:t>
            </w:r>
          </w:p>
        </w:tc>
        <w:tc>
          <w:p>
            <w:pPr>
              <w:pStyle w:val="Compact"/>
              <w:jc w:val="right"/>
            </w:pPr>
            <w:r>
              <w:t xml:space="preserve">4,571</w:t>
            </w:r>
          </w:p>
        </w:tc>
        <w:tc>
          <w:p>
            <w:pPr>
              <w:pStyle w:val="Compact"/>
              <w:jc w:val="right"/>
            </w:pPr>
            <w:r>
              <w:t xml:space="preserve">370</w:t>
            </w:r>
          </w:p>
        </w:tc>
        <w:tc>
          <w:p>
            <w:pPr>
              <w:pStyle w:val="Compact"/>
              <w:jc w:val="left"/>
            </w:pPr>
            <w:r>
              <w:t xml:space="preserve">209</w:t>
            </w:r>
          </w:p>
        </w:tc>
        <w:tc>
          <w:p>
            <w:pPr>
              <w:pStyle w:val="Compact"/>
              <w:jc w:val="left"/>
            </w:pPr>
            <w:r>
              <w:t xml:space="preserve">19</w:t>
            </w:r>
          </w:p>
        </w:tc>
      </w:tr>
    </w:tbl>
    <w:p>
      <w:pPr>
        <w:pStyle w:val="TableCaption"/>
      </w:pPr>
      <w:r>
        <w:t xml:space="preserve">Harard ratios for angioedema in the levetiracetam group compared to the phenytoin group. Also included are traditional and calibrated p-values, as well as the 95% credible interval for the calibrated p-value.</w:t>
      </w:r>
    </w:p>
    <w:tbl>
      <w:tblPr>
        <w:tblStyle w:val="TableNormal"/>
        <w:tblW w:type="pct" w:w="0.0"/>
        <w:tblLook w:firstRow="1"/>
        <w:tblCaption w:val="Harard ratios for angioedema in the levetiracetam group compared to the phenytoin group. Also included are traditional and calibrated p-values, as well as the 95% credible interval for the calibrated p-value."/>
      </w:tblPr>
      <w:tblGrid/>
      <w:tr>
        <w:trPr>
          <w:cnfStyle w:firstRow="1"/>
        </w:trPr>
        <w:tc>
          <w:tcPr>
            <w:tcBorders>
              <w:bottom w:val="single"/>
            </w:tcBorders>
            <w:vAlign w:val="bottom"/>
          </w:tcPr>
          <w:p>
            <w:pPr>
              <w:pStyle w:val="Compact"/>
              <w:jc w:val="right"/>
            </w:pPr>
            <w:r>
              <w:t xml:space="preserve">Analysis ID</w:t>
            </w:r>
          </w:p>
        </w:tc>
        <w:tc>
          <w:tcPr>
            <w:tcBorders>
              <w:bottom w:val="single"/>
            </w:tcBorders>
            <w:vAlign w:val="bottom"/>
          </w:tcPr>
          <w:p>
            <w:pPr>
              <w:pStyle w:val="Compact"/>
              <w:jc w:val="right"/>
            </w:pPr>
            <w:r>
              <w:t xml:space="preserve">Hazard Ratio</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Calibrated P</w:t>
            </w:r>
          </w:p>
        </w:tc>
        <w:tc>
          <w:tcPr>
            <w:tcBorders>
              <w:bottom w:val="single"/>
            </w:tcBorders>
            <w:vAlign w:val="bottom"/>
          </w:tcPr>
          <w:p>
            <w:pPr>
              <w:pStyle w:val="Compact"/>
              <w:jc w:val="right"/>
            </w:pPr>
            <w:r>
              <w:t xml:space="preserve">Cal. P 95% CI LB</w:t>
            </w:r>
          </w:p>
        </w:tc>
        <w:tc>
          <w:tcPr>
            <w:tcBorders>
              <w:bottom w:val="single"/>
            </w:tcBorders>
            <w:vAlign w:val="bottom"/>
          </w:tcPr>
          <w:p>
            <w:pPr>
              <w:pStyle w:val="Compact"/>
              <w:jc w:val="right"/>
            </w:pPr>
            <w:r>
              <w:t xml:space="preserve">Cal. P 95% CI UB</w:t>
            </w:r>
          </w:p>
        </w:tc>
      </w:tr>
      <w:tr>
        <w:tc>
          <w:p>
            <w:pPr>
              <w:pStyle w:val="Compact"/>
              <w:jc w:val="right"/>
            </w:pPr>
            <w:r>
              <w:t xml:space="preserve">1</w:t>
            </w:r>
          </w:p>
        </w:tc>
        <w:tc>
          <w:p>
            <w:pPr>
              <w:pStyle w:val="Compact"/>
              <w:jc w:val="right"/>
            </w:pPr>
            <w:r>
              <w:t xml:space="preserve">0.99</w:t>
            </w:r>
          </w:p>
        </w:tc>
        <w:tc>
          <w:p>
            <w:pPr>
              <w:pStyle w:val="Compact"/>
              <w:jc w:val="right"/>
            </w:pPr>
            <w:r>
              <w:t xml:space="preserve">0.63</w:t>
            </w:r>
          </w:p>
        </w:tc>
        <w:tc>
          <w:p>
            <w:pPr>
              <w:pStyle w:val="Compact"/>
              <w:jc w:val="right"/>
            </w:pPr>
            <w:r>
              <w:t xml:space="preserve">1.66</w:t>
            </w:r>
          </w:p>
        </w:tc>
        <w:tc>
          <w:p>
            <w:pPr>
              <w:pStyle w:val="Compact"/>
              <w:jc w:val="right"/>
            </w:pPr>
            <w:r>
              <w:t xml:space="preserve">0.98</w:t>
            </w:r>
          </w:p>
        </w:tc>
        <w:tc>
          <w:p>
            <w:pPr>
              <w:pStyle w:val="Compact"/>
              <w:jc w:val="right"/>
            </w:pPr>
            <w:r>
              <w:t xml:space="preserve">0.87</w:t>
            </w:r>
          </w:p>
        </w:tc>
        <w:tc>
          <w:p>
            <w:pPr>
              <w:pStyle w:val="Compact"/>
              <w:jc w:val="right"/>
            </w:pPr>
            <w:r>
              <w:t xml:space="preserve">0.68</w:t>
            </w:r>
          </w:p>
        </w:tc>
        <w:tc>
          <w:p>
            <w:pPr>
              <w:pStyle w:val="Compact"/>
              <w:jc w:val="right"/>
            </w:pPr>
            <w:r>
              <w:t xml:space="preserve">0.99</w:t>
            </w:r>
          </w:p>
        </w:tc>
      </w:tr>
    </w:tbl>
    <w:p>
      <w:pPr>
        <w:pStyle w:val="Heading2"/>
      </w:pPr>
      <w:bookmarkStart w:id="37" w:name="kaplan-meier-plots"/>
      <w:bookmarkEnd w:id="37"/>
      <w:r>
        <w:t xml:space="preserve">Kaplan-Meier plots</w:t>
      </w:r>
    </w:p>
    <w:p>
      <w:pPr>
        <w:pStyle w:val="FigureWithCaption"/>
      </w:pPr>
      <w:r>
        <w:drawing>
          <wp:inline>
            <wp:extent cx="5334000" cy="3810000"/>
            <wp:effectExtent b="0" l="0" r="0" t="0"/>
            <wp:docPr descr="Kaplan-Meier plot. Shaded areas indicate the 95% confidence interval. Note that this plot does not take into account stratification, as done when fitting the Cox model." id="1" name="Picture"/>
            <a:graphic>
              <a:graphicData uri="http://schemas.openxmlformats.org/drawingml/2006/picture">
                <pic:pic>
                  <pic:nvPicPr>
                    <pic:cNvPr descr="S:/temp/AlendronateVsRaloxifenMdcd/export/KaplanMeier.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Kaplan-Meier plot. Shaded areas indicate the 95% confidence interval. Note that this plot does not take into account stratification, as done when fitting the Cox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b595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85c0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Alendronate vs Raloxifen study</dc:title>
  <dc:creator/>
  <dcterms:created xsi:type="dcterms:W3CDTF">2017-03-29T12:36:08Z</dcterms:created>
  <dcterms:modified xsi:type="dcterms:W3CDTF">2017-03-29T12:36:08Z</dcterms:modified>
</cp:coreProperties>
</file>