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0B0DB1C6" w:rsidR="00A26520" w:rsidRDefault="00A26520" w:rsidP="00554190">
      <w:pPr>
        <w:pStyle w:val="Title"/>
        <w:jc w:val="center"/>
      </w:pPr>
      <w:r>
        <w:t xml:space="preserve">OHDSI </w:t>
      </w:r>
      <w:r w:rsidR="00640D6C">
        <w:t xml:space="preserve">Comparison of </w:t>
      </w:r>
      <w:r w:rsidR="00EC6819">
        <w:t>ticagrelor</w:t>
      </w:r>
      <w:r w:rsidR="00043224">
        <w:t xml:space="preserve"> and </w:t>
      </w:r>
      <w:proofErr w:type="spellStart"/>
      <w:r w:rsidR="00EC6819">
        <w:t>clopidogrel</w:t>
      </w:r>
      <w:proofErr w:type="spellEnd"/>
      <w:r w:rsidR="00043224">
        <w:t xml:space="preserve"> </w:t>
      </w:r>
      <w:r w:rsidR="00640D6C">
        <w:t xml:space="preserve">in </w:t>
      </w:r>
      <w:r w:rsidR="00EC6819">
        <w:t>patients with Acute Coronary Syndrome</w:t>
      </w:r>
    </w:p>
    <w:p w14:paraId="4EE5C3B0" w14:textId="19596D57" w:rsidR="00DA5BC8" w:rsidRPr="00DA5BC8" w:rsidRDefault="0092461C">
      <w:r>
        <w:rPr>
          <w:b/>
        </w:rPr>
        <w:t>Version</w:t>
      </w:r>
      <w:r w:rsidR="00FE2F14">
        <w:rPr>
          <w:b/>
        </w:rPr>
        <w:t>:</w:t>
      </w:r>
      <w:r>
        <w:rPr>
          <w:b/>
        </w:rPr>
        <w:t xml:space="preserve"> </w:t>
      </w:r>
      <w:r w:rsidR="002E5446">
        <w:t>0</w:t>
      </w:r>
      <w:r w:rsidR="00A40668">
        <w:t>.1</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2B125B95" w14:textId="79388FE4" w:rsidR="00EC6819" w:rsidRDefault="00EC6819" w:rsidP="00CA21CE">
      <w:pPr>
        <w:rPr>
          <w:lang w:eastAsia="ko-KR"/>
        </w:rPr>
      </w:pPr>
      <w:proofErr w:type="spellStart"/>
      <w:r>
        <w:rPr>
          <w:lang w:eastAsia="ko-KR"/>
        </w:rPr>
        <w:t>Ye</w:t>
      </w:r>
      <w:r w:rsidR="00153673">
        <w:rPr>
          <w:lang w:eastAsia="ko-KR"/>
        </w:rPr>
        <w:t>u</w:t>
      </w:r>
      <w:r>
        <w:rPr>
          <w:lang w:eastAsia="ko-KR"/>
        </w:rPr>
        <w:t>nsook</w:t>
      </w:r>
      <w:proofErr w:type="spellEnd"/>
      <w:r>
        <w:rPr>
          <w:lang w:eastAsia="ko-KR"/>
        </w:rPr>
        <w:t xml:space="preserve">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proofErr w:type="spellStart"/>
      <w:r>
        <w:rPr>
          <w:lang w:eastAsia="ko-KR"/>
        </w:rPr>
        <w:t>Jiwoo</w:t>
      </w:r>
      <w:proofErr w:type="spellEnd"/>
      <w:r>
        <w:rPr>
          <w:lang w:eastAsia="ko-KR"/>
        </w:rPr>
        <w:t xml:space="preserve">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proofErr w:type="spellStart"/>
      <w:r>
        <w:rPr>
          <w:lang w:eastAsia="ko-KR"/>
        </w:rPr>
        <w:t>Jaehyeong</w:t>
      </w:r>
      <w:proofErr w:type="spellEnd"/>
      <w:r>
        <w:rPr>
          <w:lang w:eastAsia="ko-KR"/>
        </w:rPr>
        <w:t xml:space="preserve"> Cho, BS, </w:t>
      </w:r>
      <w:proofErr w:type="spellStart"/>
      <w:r>
        <w:rPr>
          <w:lang w:eastAsia="ko-KR"/>
        </w:rPr>
        <w:t>Ajou</w:t>
      </w:r>
      <w:proofErr w:type="spellEnd"/>
      <w:r>
        <w:rPr>
          <w:lang w:eastAsia="ko-KR"/>
        </w:rPr>
        <w:t xml:space="preserve"> University, Korea</w:t>
      </w:r>
    </w:p>
    <w:p w14:paraId="47D69398" w14:textId="4C744EA4" w:rsidR="00EC6819" w:rsidRDefault="009955E4" w:rsidP="00CA21CE">
      <w:pPr>
        <w:rPr>
          <w:lang w:eastAsia="ko-KR"/>
        </w:rPr>
      </w:pPr>
      <w:proofErr w:type="spellStart"/>
      <w:r>
        <w:rPr>
          <w:lang w:eastAsia="ko-KR"/>
        </w:rPr>
        <w:t>Jimyung</w:t>
      </w:r>
      <w:proofErr w:type="spellEnd"/>
      <w:r>
        <w:rPr>
          <w:lang w:eastAsia="ko-KR"/>
        </w:rPr>
        <w:t xml:space="preserve"> Park, </w:t>
      </w:r>
      <w:proofErr w:type="spellStart"/>
      <w:r>
        <w:rPr>
          <w:lang w:eastAsia="ko-KR"/>
        </w:rPr>
        <w:t>Ajou</w:t>
      </w:r>
      <w:proofErr w:type="spellEnd"/>
      <w:r>
        <w:rPr>
          <w:lang w:eastAsia="ko-KR"/>
        </w:rPr>
        <w:t xml:space="preserve"> University, Korea</w:t>
      </w:r>
    </w:p>
    <w:p w14:paraId="6052C5B3" w14:textId="7AFF0AEA" w:rsidR="002E5446" w:rsidRDefault="00EC6819" w:rsidP="00CA21CE">
      <w:pPr>
        <w:rPr>
          <w:lang w:eastAsia="ko-KR"/>
        </w:rPr>
      </w:pPr>
      <w:r>
        <w:rPr>
          <w:lang w:eastAsia="ko-KR"/>
        </w:rPr>
        <w:t xml:space="preserve">Harlan M. </w:t>
      </w:r>
      <w:proofErr w:type="spellStart"/>
      <w:r>
        <w:rPr>
          <w:lang w:eastAsia="ko-KR"/>
        </w:rPr>
        <w:t>Krumholz</w:t>
      </w:r>
      <w:proofErr w:type="spellEnd"/>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 xml:space="preserve">Rae </w:t>
      </w:r>
      <w:proofErr w:type="spellStart"/>
      <w:r>
        <w:t>Woong</w:t>
      </w:r>
      <w:proofErr w:type="spellEnd"/>
      <w:r>
        <w:t xml:space="preserve"> Park, MD, PhD, </w:t>
      </w:r>
      <w:proofErr w:type="spellStart"/>
      <w:r>
        <w:t>Ajou</w:t>
      </w:r>
      <w:proofErr w:type="spellEnd"/>
      <w:r>
        <w:t xml:space="preserve"> University, Korea</w:t>
      </w:r>
    </w:p>
    <w:p w14:paraId="5E922FC6" w14:textId="77777777" w:rsidR="00CA21CE" w:rsidRPr="00CB5628" w:rsidRDefault="00CA21CE"/>
    <w:p w14:paraId="6B1D3C49" w14:textId="4312F318" w:rsidR="009D45C8" w:rsidRDefault="00A26520">
      <w:r w:rsidRPr="00554190">
        <w:rPr>
          <w:b/>
        </w:rPr>
        <w:t>Date</w:t>
      </w:r>
      <w:r w:rsidR="0074593E" w:rsidRPr="00554190">
        <w:rPr>
          <w:b/>
        </w:rPr>
        <w:t>:</w:t>
      </w:r>
      <w:r w:rsidR="00EE506E">
        <w:t xml:space="preserve"> </w:t>
      </w:r>
      <w:r w:rsidR="00EC6819">
        <w:rPr>
          <w:lang w:eastAsia="ko-KR"/>
        </w:rPr>
        <w:t>December</w:t>
      </w:r>
      <w:r w:rsidR="00F7418F">
        <w:rPr>
          <w:lang w:eastAsia="ko-KR"/>
        </w:rPr>
        <w:t xml:space="preserve"> </w:t>
      </w:r>
      <w:r w:rsidR="00EC6819">
        <w:rPr>
          <w:lang w:eastAsia="ko-KR"/>
        </w:rPr>
        <w:t>11</w:t>
      </w:r>
      <w:r w:rsidR="00F7418F">
        <w:rPr>
          <w:lang w:eastAsia="ko-KR"/>
        </w:rPr>
        <w:t>, 201</w:t>
      </w:r>
      <w:r w:rsidR="002E5446">
        <w:rPr>
          <w:lang w:eastAsia="ko-KR"/>
        </w:rPr>
        <w:t>8</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6163939C" w14:textId="7479053D" w:rsidR="0006023B"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Hyperlink"/>
                <w:noProof/>
              </w:rPr>
              <w:t>2</w:t>
            </w:r>
            <w:r w:rsidR="0006023B">
              <w:rPr>
                <w:rFonts w:eastAsiaTheme="minorEastAsia"/>
                <w:noProof/>
                <w:kern w:val="2"/>
                <w:sz w:val="20"/>
                <w:lang w:eastAsia="ko-KR"/>
              </w:rPr>
              <w:tab/>
            </w:r>
            <w:r w:rsidR="0006023B" w:rsidRPr="00465382">
              <w:rPr>
                <w:rStyle w:val="Hyperlink"/>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EB26C4">
          <w:pPr>
            <w:pStyle w:val="TOC1"/>
            <w:tabs>
              <w:tab w:val="left" w:pos="440"/>
              <w:tab w:val="right" w:leader="dot" w:pos="9350"/>
            </w:tabs>
            <w:rPr>
              <w:rFonts w:eastAsiaTheme="minorEastAsia"/>
              <w:noProof/>
              <w:kern w:val="2"/>
              <w:sz w:val="20"/>
              <w:lang w:eastAsia="ko-KR"/>
            </w:rPr>
          </w:pPr>
          <w:hyperlink w:anchor="_Toc470944204" w:history="1">
            <w:r w:rsidR="0006023B" w:rsidRPr="00465382">
              <w:rPr>
                <w:rStyle w:val="Hyperlink"/>
                <w:noProof/>
              </w:rPr>
              <w:t>3</w:t>
            </w:r>
            <w:r w:rsidR="0006023B">
              <w:rPr>
                <w:rFonts w:eastAsiaTheme="minorEastAsia"/>
                <w:noProof/>
                <w:kern w:val="2"/>
                <w:sz w:val="20"/>
                <w:lang w:eastAsia="ko-KR"/>
              </w:rPr>
              <w:tab/>
            </w:r>
            <w:r w:rsidR="0006023B" w:rsidRPr="00465382">
              <w:rPr>
                <w:rStyle w:val="Hyperlink"/>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EB26C4">
          <w:pPr>
            <w:pStyle w:val="TOC1"/>
            <w:tabs>
              <w:tab w:val="left" w:pos="440"/>
              <w:tab w:val="right" w:leader="dot" w:pos="9350"/>
            </w:tabs>
            <w:rPr>
              <w:rFonts w:eastAsiaTheme="minorEastAsia"/>
              <w:noProof/>
              <w:kern w:val="2"/>
              <w:sz w:val="20"/>
              <w:lang w:eastAsia="ko-KR"/>
            </w:rPr>
          </w:pPr>
          <w:hyperlink w:anchor="_Toc470944205" w:history="1">
            <w:r w:rsidR="0006023B" w:rsidRPr="00465382">
              <w:rPr>
                <w:rStyle w:val="Hyperlink"/>
                <w:noProof/>
              </w:rPr>
              <w:t>4</w:t>
            </w:r>
            <w:r w:rsidR="0006023B">
              <w:rPr>
                <w:rFonts w:eastAsiaTheme="minorEastAsia"/>
                <w:noProof/>
                <w:kern w:val="2"/>
                <w:sz w:val="20"/>
                <w:lang w:eastAsia="ko-KR"/>
              </w:rPr>
              <w:tab/>
            </w:r>
            <w:r w:rsidR="0006023B" w:rsidRPr="00465382">
              <w:rPr>
                <w:rStyle w:val="Hyperlink"/>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EB26C4">
          <w:pPr>
            <w:pStyle w:val="TOC1"/>
            <w:tabs>
              <w:tab w:val="left" w:pos="440"/>
              <w:tab w:val="right" w:leader="dot" w:pos="9350"/>
            </w:tabs>
            <w:rPr>
              <w:rFonts w:eastAsiaTheme="minorEastAsia"/>
              <w:noProof/>
              <w:kern w:val="2"/>
              <w:sz w:val="20"/>
              <w:lang w:eastAsia="ko-KR"/>
            </w:rPr>
          </w:pPr>
          <w:hyperlink w:anchor="_Toc470944206" w:history="1">
            <w:r w:rsidR="0006023B" w:rsidRPr="00465382">
              <w:rPr>
                <w:rStyle w:val="Hyperlink"/>
                <w:noProof/>
              </w:rPr>
              <w:t>5</w:t>
            </w:r>
            <w:r w:rsidR="0006023B">
              <w:rPr>
                <w:rFonts w:eastAsiaTheme="minorEastAsia"/>
                <w:noProof/>
                <w:kern w:val="2"/>
                <w:sz w:val="20"/>
                <w:lang w:eastAsia="ko-KR"/>
              </w:rPr>
              <w:tab/>
            </w:r>
            <w:r w:rsidR="0006023B" w:rsidRPr="00465382">
              <w:rPr>
                <w:rStyle w:val="Hyperlink"/>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EB26C4">
          <w:pPr>
            <w:pStyle w:val="TOC2"/>
            <w:tabs>
              <w:tab w:val="left" w:pos="800"/>
              <w:tab w:val="right" w:leader="dot" w:pos="9350"/>
            </w:tabs>
            <w:rPr>
              <w:rFonts w:eastAsiaTheme="minorEastAsia"/>
              <w:noProof/>
              <w:kern w:val="2"/>
              <w:sz w:val="20"/>
              <w:lang w:eastAsia="ko-KR"/>
            </w:rPr>
          </w:pPr>
          <w:hyperlink w:anchor="_Toc470944207" w:history="1">
            <w:r w:rsidR="0006023B" w:rsidRPr="00465382">
              <w:rPr>
                <w:rStyle w:val="Hyperlink"/>
                <w:noProof/>
              </w:rPr>
              <w:t>5.1</w:t>
            </w:r>
            <w:r w:rsidR="0006023B">
              <w:rPr>
                <w:rFonts w:eastAsiaTheme="minorEastAsia"/>
                <w:noProof/>
                <w:kern w:val="2"/>
                <w:sz w:val="20"/>
                <w:lang w:eastAsia="ko-KR"/>
              </w:rPr>
              <w:tab/>
            </w:r>
            <w:r w:rsidR="0006023B" w:rsidRPr="00465382">
              <w:rPr>
                <w:rStyle w:val="Hyperlink"/>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EB26C4">
          <w:pPr>
            <w:pStyle w:val="TOC2"/>
            <w:tabs>
              <w:tab w:val="left" w:pos="800"/>
              <w:tab w:val="right" w:leader="dot" w:pos="9350"/>
            </w:tabs>
            <w:rPr>
              <w:rFonts w:eastAsiaTheme="minorEastAsia"/>
              <w:noProof/>
              <w:kern w:val="2"/>
              <w:sz w:val="20"/>
              <w:lang w:eastAsia="ko-KR"/>
            </w:rPr>
          </w:pPr>
          <w:hyperlink w:anchor="_Toc470944208" w:history="1">
            <w:r w:rsidR="0006023B" w:rsidRPr="00465382">
              <w:rPr>
                <w:rStyle w:val="Hyperlink"/>
                <w:noProof/>
              </w:rPr>
              <w:t>5.2</w:t>
            </w:r>
            <w:r w:rsidR="0006023B">
              <w:rPr>
                <w:rFonts w:eastAsiaTheme="minorEastAsia"/>
                <w:noProof/>
                <w:kern w:val="2"/>
                <w:sz w:val="20"/>
                <w:lang w:eastAsia="ko-KR"/>
              </w:rPr>
              <w:tab/>
            </w:r>
            <w:r w:rsidR="0006023B" w:rsidRPr="00465382">
              <w:rPr>
                <w:rStyle w:val="Hyperlink"/>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EB26C4">
          <w:pPr>
            <w:pStyle w:val="TOC1"/>
            <w:tabs>
              <w:tab w:val="left" w:pos="440"/>
              <w:tab w:val="right" w:leader="dot" w:pos="9350"/>
            </w:tabs>
            <w:rPr>
              <w:rFonts w:eastAsiaTheme="minorEastAsia"/>
              <w:noProof/>
              <w:kern w:val="2"/>
              <w:sz w:val="20"/>
              <w:lang w:eastAsia="ko-KR"/>
            </w:rPr>
          </w:pPr>
          <w:hyperlink w:anchor="_Toc470944209" w:history="1">
            <w:r w:rsidR="0006023B" w:rsidRPr="00465382">
              <w:rPr>
                <w:rStyle w:val="Hyperlink"/>
                <w:noProof/>
              </w:rPr>
              <w:t>6</w:t>
            </w:r>
            <w:r w:rsidR="0006023B">
              <w:rPr>
                <w:rFonts w:eastAsiaTheme="minorEastAsia"/>
                <w:noProof/>
                <w:kern w:val="2"/>
                <w:sz w:val="20"/>
                <w:lang w:eastAsia="ko-KR"/>
              </w:rPr>
              <w:tab/>
            </w:r>
            <w:r w:rsidR="0006023B" w:rsidRPr="00465382">
              <w:rPr>
                <w:rStyle w:val="Hyperlink"/>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EB26C4">
          <w:pPr>
            <w:pStyle w:val="TOC2"/>
            <w:tabs>
              <w:tab w:val="left" w:pos="800"/>
              <w:tab w:val="right" w:leader="dot" w:pos="9350"/>
            </w:tabs>
            <w:rPr>
              <w:rFonts w:eastAsiaTheme="minorEastAsia"/>
              <w:noProof/>
              <w:kern w:val="2"/>
              <w:sz w:val="20"/>
              <w:lang w:eastAsia="ko-KR"/>
            </w:rPr>
          </w:pPr>
          <w:hyperlink w:anchor="_Toc470944210" w:history="1">
            <w:r w:rsidR="0006023B" w:rsidRPr="00465382">
              <w:rPr>
                <w:rStyle w:val="Hyperlink"/>
                <w:noProof/>
              </w:rPr>
              <w:t>6.1</w:t>
            </w:r>
            <w:r w:rsidR="0006023B">
              <w:rPr>
                <w:rFonts w:eastAsiaTheme="minorEastAsia"/>
                <w:noProof/>
                <w:kern w:val="2"/>
                <w:sz w:val="20"/>
                <w:lang w:eastAsia="ko-KR"/>
              </w:rPr>
              <w:tab/>
            </w:r>
            <w:r w:rsidR="0006023B" w:rsidRPr="00465382">
              <w:rPr>
                <w:rStyle w:val="Hyperlink"/>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EB26C4">
          <w:pPr>
            <w:pStyle w:val="TOC3"/>
            <w:tabs>
              <w:tab w:val="left" w:pos="1200"/>
              <w:tab w:val="right" w:leader="dot" w:pos="9350"/>
            </w:tabs>
            <w:rPr>
              <w:rFonts w:eastAsiaTheme="minorEastAsia"/>
              <w:noProof/>
              <w:kern w:val="2"/>
              <w:sz w:val="20"/>
              <w:lang w:eastAsia="ko-KR"/>
            </w:rPr>
          </w:pPr>
          <w:hyperlink w:anchor="_Toc470944211" w:history="1">
            <w:r w:rsidR="0006023B" w:rsidRPr="00465382">
              <w:rPr>
                <w:rStyle w:val="Hyperlink"/>
                <w:noProof/>
              </w:rPr>
              <w:t>6.1.1</w:t>
            </w:r>
            <w:r w:rsidR="0006023B">
              <w:rPr>
                <w:rFonts w:eastAsiaTheme="minorEastAsia"/>
                <w:noProof/>
                <w:kern w:val="2"/>
                <w:sz w:val="20"/>
                <w:lang w:eastAsia="ko-KR"/>
              </w:rPr>
              <w:tab/>
            </w:r>
            <w:r w:rsidR="0006023B" w:rsidRPr="00465382">
              <w:rPr>
                <w:rStyle w:val="Hyperlink"/>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EB26C4">
          <w:pPr>
            <w:pStyle w:val="TOC3"/>
            <w:tabs>
              <w:tab w:val="left" w:pos="1200"/>
              <w:tab w:val="right" w:leader="dot" w:pos="9350"/>
            </w:tabs>
            <w:rPr>
              <w:rFonts w:eastAsiaTheme="minorEastAsia"/>
              <w:noProof/>
              <w:kern w:val="2"/>
              <w:sz w:val="20"/>
              <w:lang w:eastAsia="ko-KR"/>
            </w:rPr>
          </w:pPr>
          <w:hyperlink w:anchor="_Toc470944212" w:history="1">
            <w:r w:rsidR="0006023B" w:rsidRPr="00465382">
              <w:rPr>
                <w:rStyle w:val="Hyperlink"/>
                <w:noProof/>
              </w:rPr>
              <w:t>6.1.2</w:t>
            </w:r>
            <w:r w:rsidR="0006023B">
              <w:rPr>
                <w:rFonts w:eastAsiaTheme="minorEastAsia"/>
                <w:noProof/>
                <w:kern w:val="2"/>
                <w:sz w:val="20"/>
                <w:lang w:eastAsia="ko-KR"/>
              </w:rPr>
              <w:tab/>
            </w:r>
            <w:r w:rsidR="0006023B" w:rsidRPr="00465382">
              <w:rPr>
                <w:rStyle w:val="Hyperlink"/>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EB26C4">
          <w:pPr>
            <w:pStyle w:val="TOC3"/>
            <w:tabs>
              <w:tab w:val="left" w:pos="1200"/>
              <w:tab w:val="right" w:leader="dot" w:pos="9350"/>
            </w:tabs>
            <w:rPr>
              <w:rFonts w:eastAsiaTheme="minorEastAsia"/>
              <w:noProof/>
              <w:kern w:val="2"/>
              <w:sz w:val="20"/>
              <w:lang w:eastAsia="ko-KR"/>
            </w:rPr>
          </w:pPr>
          <w:hyperlink w:anchor="_Toc470944213" w:history="1">
            <w:r w:rsidR="0006023B" w:rsidRPr="00465382">
              <w:rPr>
                <w:rStyle w:val="Hyperlink"/>
                <w:noProof/>
              </w:rPr>
              <w:t>6.1.3</w:t>
            </w:r>
            <w:r w:rsidR="0006023B">
              <w:rPr>
                <w:rFonts w:eastAsiaTheme="minorEastAsia"/>
                <w:noProof/>
                <w:kern w:val="2"/>
                <w:sz w:val="20"/>
                <w:lang w:eastAsia="ko-KR"/>
              </w:rPr>
              <w:tab/>
            </w:r>
            <w:r w:rsidR="0006023B" w:rsidRPr="00465382">
              <w:rPr>
                <w:rStyle w:val="Hyperlink"/>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EB26C4">
          <w:pPr>
            <w:pStyle w:val="TOC3"/>
            <w:tabs>
              <w:tab w:val="left" w:pos="1200"/>
              <w:tab w:val="right" w:leader="dot" w:pos="9350"/>
            </w:tabs>
            <w:rPr>
              <w:rFonts w:eastAsiaTheme="minorEastAsia"/>
              <w:noProof/>
              <w:kern w:val="2"/>
              <w:sz w:val="20"/>
              <w:lang w:eastAsia="ko-KR"/>
            </w:rPr>
          </w:pPr>
          <w:hyperlink w:anchor="_Toc470944214" w:history="1">
            <w:r w:rsidR="0006023B" w:rsidRPr="00465382">
              <w:rPr>
                <w:rStyle w:val="Hyperlink"/>
                <w:noProof/>
              </w:rPr>
              <w:t>6.1.4</w:t>
            </w:r>
            <w:r w:rsidR="0006023B">
              <w:rPr>
                <w:rFonts w:eastAsiaTheme="minorEastAsia"/>
                <w:noProof/>
                <w:kern w:val="2"/>
                <w:sz w:val="20"/>
                <w:lang w:eastAsia="ko-KR"/>
              </w:rPr>
              <w:tab/>
            </w:r>
            <w:r w:rsidR="0006023B" w:rsidRPr="00465382">
              <w:rPr>
                <w:rStyle w:val="Hyperlink"/>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EB26C4">
          <w:pPr>
            <w:pStyle w:val="TOC2"/>
            <w:tabs>
              <w:tab w:val="left" w:pos="800"/>
              <w:tab w:val="right" w:leader="dot" w:pos="9350"/>
            </w:tabs>
            <w:rPr>
              <w:rFonts w:eastAsiaTheme="minorEastAsia"/>
              <w:noProof/>
              <w:kern w:val="2"/>
              <w:sz w:val="20"/>
              <w:lang w:eastAsia="ko-KR"/>
            </w:rPr>
          </w:pPr>
          <w:hyperlink w:anchor="_Toc470944215" w:history="1">
            <w:r w:rsidR="0006023B" w:rsidRPr="00465382">
              <w:rPr>
                <w:rStyle w:val="Hyperlink"/>
                <w:noProof/>
              </w:rPr>
              <w:t>6.2</w:t>
            </w:r>
            <w:r w:rsidR="0006023B">
              <w:rPr>
                <w:rFonts w:eastAsiaTheme="minorEastAsia"/>
                <w:noProof/>
                <w:kern w:val="2"/>
                <w:sz w:val="20"/>
                <w:lang w:eastAsia="ko-KR"/>
              </w:rPr>
              <w:tab/>
            </w:r>
            <w:r w:rsidR="0006023B" w:rsidRPr="00465382">
              <w:rPr>
                <w:rStyle w:val="Hyperlink"/>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EB26C4">
          <w:pPr>
            <w:pStyle w:val="TOC3"/>
            <w:tabs>
              <w:tab w:val="left" w:pos="1200"/>
              <w:tab w:val="right" w:leader="dot" w:pos="9350"/>
            </w:tabs>
            <w:rPr>
              <w:rFonts w:eastAsiaTheme="minorEastAsia"/>
              <w:noProof/>
              <w:kern w:val="2"/>
              <w:sz w:val="20"/>
              <w:lang w:eastAsia="ko-KR"/>
            </w:rPr>
          </w:pPr>
          <w:hyperlink w:anchor="_Toc470944216" w:history="1">
            <w:r w:rsidR="0006023B" w:rsidRPr="00465382">
              <w:rPr>
                <w:rStyle w:val="Hyperlink"/>
                <w:noProof/>
              </w:rPr>
              <w:t>6.2.1</w:t>
            </w:r>
            <w:r w:rsidR="0006023B">
              <w:rPr>
                <w:rFonts w:eastAsiaTheme="minorEastAsia"/>
                <w:noProof/>
                <w:kern w:val="2"/>
                <w:sz w:val="20"/>
                <w:lang w:eastAsia="ko-KR"/>
              </w:rPr>
              <w:tab/>
            </w:r>
            <w:r w:rsidR="0006023B" w:rsidRPr="00465382">
              <w:rPr>
                <w:rStyle w:val="Hyperlink"/>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EB26C4">
          <w:pPr>
            <w:pStyle w:val="TOC3"/>
            <w:tabs>
              <w:tab w:val="left" w:pos="1200"/>
              <w:tab w:val="right" w:leader="dot" w:pos="9350"/>
            </w:tabs>
            <w:rPr>
              <w:rFonts w:eastAsiaTheme="minorEastAsia"/>
              <w:noProof/>
              <w:kern w:val="2"/>
              <w:sz w:val="20"/>
              <w:lang w:eastAsia="ko-KR"/>
            </w:rPr>
          </w:pPr>
          <w:hyperlink w:anchor="_Toc470944217" w:history="1">
            <w:r w:rsidR="0006023B" w:rsidRPr="00465382">
              <w:rPr>
                <w:rStyle w:val="Hyperlink"/>
                <w:noProof/>
              </w:rPr>
              <w:t>6.2.2</w:t>
            </w:r>
            <w:r w:rsidR="0006023B">
              <w:rPr>
                <w:rFonts w:eastAsiaTheme="minorEastAsia"/>
                <w:noProof/>
                <w:kern w:val="2"/>
                <w:sz w:val="20"/>
                <w:lang w:eastAsia="ko-KR"/>
              </w:rPr>
              <w:tab/>
            </w:r>
            <w:r w:rsidR="0006023B" w:rsidRPr="00465382">
              <w:rPr>
                <w:rStyle w:val="Hyperlink"/>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EB26C4">
          <w:pPr>
            <w:pStyle w:val="TOC3"/>
            <w:tabs>
              <w:tab w:val="left" w:pos="1200"/>
              <w:tab w:val="right" w:leader="dot" w:pos="9350"/>
            </w:tabs>
            <w:rPr>
              <w:rFonts w:eastAsiaTheme="minorEastAsia"/>
              <w:noProof/>
              <w:kern w:val="2"/>
              <w:sz w:val="20"/>
              <w:lang w:eastAsia="ko-KR"/>
            </w:rPr>
          </w:pPr>
          <w:hyperlink w:anchor="_Toc470944218" w:history="1">
            <w:r w:rsidR="0006023B" w:rsidRPr="00465382">
              <w:rPr>
                <w:rStyle w:val="Hyperlink"/>
                <w:noProof/>
              </w:rPr>
              <w:t>6.2.3</w:t>
            </w:r>
            <w:r w:rsidR="0006023B">
              <w:rPr>
                <w:rFonts w:eastAsiaTheme="minorEastAsia"/>
                <w:noProof/>
                <w:kern w:val="2"/>
                <w:sz w:val="20"/>
                <w:lang w:eastAsia="ko-KR"/>
              </w:rPr>
              <w:tab/>
            </w:r>
            <w:r w:rsidR="0006023B" w:rsidRPr="00465382">
              <w:rPr>
                <w:rStyle w:val="Hyperlink"/>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EB26C4">
          <w:pPr>
            <w:pStyle w:val="TOC3"/>
            <w:tabs>
              <w:tab w:val="left" w:pos="1200"/>
              <w:tab w:val="right" w:leader="dot" w:pos="9350"/>
            </w:tabs>
            <w:rPr>
              <w:rFonts w:eastAsiaTheme="minorEastAsia"/>
              <w:noProof/>
              <w:kern w:val="2"/>
              <w:sz w:val="20"/>
              <w:lang w:eastAsia="ko-KR"/>
            </w:rPr>
          </w:pPr>
          <w:hyperlink w:anchor="_Toc470944219" w:history="1">
            <w:r w:rsidR="0006023B" w:rsidRPr="00465382">
              <w:rPr>
                <w:rStyle w:val="Hyperlink"/>
                <w:noProof/>
              </w:rPr>
              <w:t>6.2.4</w:t>
            </w:r>
            <w:r w:rsidR="0006023B">
              <w:rPr>
                <w:rFonts w:eastAsiaTheme="minorEastAsia"/>
                <w:noProof/>
                <w:kern w:val="2"/>
                <w:sz w:val="20"/>
                <w:lang w:eastAsia="ko-KR"/>
              </w:rPr>
              <w:tab/>
            </w:r>
            <w:r w:rsidR="0006023B" w:rsidRPr="00465382">
              <w:rPr>
                <w:rStyle w:val="Hyperlink"/>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EB26C4">
          <w:pPr>
            <w:pStyle w:val="TOC3"/>
            <w:tabs>
              <w:tab w:val="left" w:pos="1200"/>
              <w:tab w:val="right" w:leader="dot" w:pos="9350"/>
            </w:tabs>
            <w:rPr>
              <w:rFonts w:eastAsiaTheme="minorEastAsia"/>
              <w:noProof/>
              <w:kern w:val="2"/>
              <w:sz w:val="20"/>
              <w:lang w:eastAsia="ko-KR"/>
            </w:rPr>
          </w:pPr>
          <w:hyperlink w:anchor="_Toc470944220" w:history="1">
            <w:r w:rsidR="0006023B" w:rsidRPr="00465382">
              <w:rPr>
                <w:rStyle w:val="Hyperlink"/>
                <w:noProof/>
              </w:rPr>
              <w:t>6.2.5</w:t>
            </w:r>
            <w:r w:rsidR="0006023B">
              <w:rPr>
                <w:rFonts w:eastAsiaTheme="minorEastAsia"/>
                <w:noProof/>
                <w:kern w:val="2"/>
                <w:sz w:val="20"/>
                <w:lang w:eastAsia="ko-KR"/>
              </w:rPr>
              <w:tab/>
            </w:r>
            <w:r w:rsidR="0006023B" w:rsidRPr="00465382">
              <w:rPr>
                <w:rStyle w:val="Hyperlink"/>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EB26C4">
          <w:pPr>
            <w:pStyle w:val="TOC2"/>
            <w:tabs>
              <w:tab w:val="left" w:pos="800"/>
              <w:tab w:val="right" w:leader="dot" w:pos="9350"/>
            </w:tabs>
            <w:rPr>
              <w:rFonts w:eastAsiaTheme="minorEastAsia"/>
              <w:noProof/>
              <w:kern w:val="2"/>
              <w:sz w:val="20"/>
              <w:lang w:eastAsia="ko-KR"/>
            </w:rPr>
          </w:pPr>
          <w:hyperlink w:anchor="_Toc470944221" w:history="1">
            <w:r w:rsidR="0006023B" w:rsidRPr="00465382">
              <w:rPr>
                <w:rStyle w:val="Hyperlink"/>
                <w:noProof/>
              </w:rPr>
              <w:t>6.3</w:t>
            </w:r>
            <w:r w:rsidR="0006023B">
              <w:rPr>
                <w:rFonts w:eastAsiaTheme="minorEastAsia"/>
                <w:noProof/>
                <w:kern w:val="2"/>
                <w:sz w:val="20"/>
                <w:lang w:eastAsia="ko-KR"/>
              </w:rPr>
              <w:tab/>
            </w:r>
            <w:r w:rsidR="0006023B" w:rsidRPr="00465382">
              <w:rPr>
                <w:rStyle w:val="Hyperlink"/>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EB26C4">
          <w:pPr>
            <w:pStyle w:val="TOC2"/>
            <w:tabs>
              <w:tab w:val="left" w:pos="800"/>
              <w:tab w:val="right" w:leader="dot" w:pos="9350"/>
            </w:tabs>
            <w:rPr>
              <w:rFonts w:eastAsiaTheme="minorEastAsia"/>
              <w:noProof/>
              <w:kern w:val="2"/>
              <w:sz w:val="20"/>
              <w:lang w:eastAsia="ko-KR"/>
            </w:rPr>
          </w:pPr>
          <w:hyperlink w:anchor="_Toc470944222" w:history="1">
            <w:r w:rsidR="0006023B" w:rsidRPr="00465382">
              <w:rPr>
                <w:rStyle w:val="Hyperlink"/>
                <w:noProof/>
              </w:rPr>
              <w:t>6.4</w:t>
            </w:r>
            <w:r w:rsidR="0006023B">
              <w:rPr>
                <w:rFonts w:eastAsiaTheme="minorEastAsia"/>
                <w:noProof/>
                <w:kern w:val="2"/>
                <w:sz w:val="20"/>
                <w:lang w:eastAsia="ko-KR"/>
              </w:rPr>
              <w:tab/>
            </w:r>
            <w:r w:rsidR="0006023B" w:rsidRPr="00465382">
              <w:rPr>
                <w:rStyle w:val="Hyperlink"/>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EB26C4">
          <w:pPr>
            <w:pStyle w:val="TOC2"/>
            <w:tabs>
              <w:tab w:val="left" w:pos="800"/>
              <w:tab w:val="right" w:leader="dot" w:pos="9350"/>
            </w:tabs>
            <w:rPr>
              <w:rFonts w:eastAsiaTheme="minorEastAsia"/>
              <w:noProof/>
              <w:kern w:val="2"/>
              <w:sz w:val="20"/>
              <w:lang w:eastAsia="ko-KR"/>
            </w:rPr>
          </w:pPr>
          <w:hyperlink w:anchor="_Toc470944223" w:history="1">
            <w:r w:rsidR="0006023B" w:rsidRPr="00465382">
              <w:rPr>
                <w:rStyle w:val="Hyperlink"/>
                <w:noProof/>
              </w:rPr>
              <w:t>6.5</w:t>
            </w:r>
            <w:r w:rsidR="0006023B">
              <w:rPr>
                <w:rFonts w:eastAsiaTheme="minorEastAsia"/>
                <w:noProof/>
                <w:kern w:val="2"/>
                <w:sz w:val="20"/>
                <w:lang w:eastAsia="ko-KR"/>
              </w:rPr>
              <w:tab/>
            </w:r>
            <w:r w:rsidR="0006023B" w:rsidRPr="00465382">
              <w:rPr>
                <w:rStyle w:val="Hyperlink"/>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EB26C4">
          <w:pPr>
            <w:pStyle w:val="TOC2"/>
            <w:tabs>
              <w:tab w:val="left" w:pos="800"/>
              <w:tab w:val="right" w:leader="dot" w:pos="9350"/>
            </w:tabs>
            <w:rPr>
              <w:rFonts w:eastAsiaTheme="minorEastAsia"/>
              <w:noProof/>
              <w:kern w:val="2"/>
              <w:sz w:val="20"/>
              <w:lang w:eastAsia="ko-KR"/>
            </w:rPr>
          </w:pPr>
          <w:hyperlink w:anchor="_Toc470944224" w:history="1">
            <w:r w:rsidR="0006023B" w:rsidRPr="00465382">
              <w:rPr>
                <w:rStyle w:val="Hyperlink"/>
                <w:noProof/>
              </w:rPr>
              <w:t>6.6</w:t>
            </w:r>
            <w:r w:rsidR="0006023B">
              <w:rPr>
                <w:rFonts w:eastAsiaTheme="minorEastAsia"/>
                <w:noProof/>
                <w:kern w:val="2"/>
                <w:sz w:val="20"/>
                <w:lang w:eastAsia="ko-KR"/>
              </w:rPr>
              <w:tab/>
            </w:r>
            <w:r w:rsidR="0006023B" w:rsidRPr="00465382">
              <w:rPr>
                <w:rStyle w:val="Hyperlink"/>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EB26C4">
          <w:pPr>
            <w:pStyle w:val="TOC1"/>
            <w:tabs>
              <w:tab w:val="left" w:pos="440"/>
              <w:tab w:val="right" w:leader="dot" w:pos="9350"/>
            </w:tabs>
            <w:rPr>
              <w:rFonts w:eastAsiaTheme="minorEastAsia"/>
              <w:noProof/>
              <w:kern w:val="2"/>
              <w:sz w:val="20"/>
              <w:lang w:eastAsia="ko-KR"/>
            </w:rPr>
          </w:pPr>
          <w:hyperlink w:anchor="_Toc470944225" w:history="1">
            <w:r w:rsidR="0006023B" w:rsidRPr="00465382">
              <w:rPr>
                <w:rStyle w:val="Hyperlink"/>
                <w:noProof/>
              </w:rPr>
              <w:t>7</w:t>
            </w:r>
            <w:r w:rsidR="0006023B">
              <w:rPr>
                <w:rFonts w:eastAsiaTheme="minorEastAsia"/>
                <w:noProof/>
                <w:kern w:val="2"/>
                <w:sz w:val="20"/>
                <w:lang w:eastAsia="ko-KR"/>
              </w:rPr>
              <w:tab/>
            </w:r>
            <w:r w:rsidR="0006023B" w:rsidRPr="00465382">
              <w:rPr>
                <w:rStyle w:val="Hyperlink"/>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EB26C4">
          <w:pPr>
            <w:pStyle w:val="TOC1"/>
            <w:tabs>
              <w:tab w:val="left" w:pos="440"/>
              <w:tab w:val="right" w:leader="dot" w:pos="9350"/>
            </w:tabs>
            <w:rPr>
              <w:rFonts w:eastAsiaTheme="minorEastAsia"/>
              <w:noProof/>
              <w:kern w:val="2"/>
              <w:sz w:val="20"/>
              <w:lang w:eastAsia="ko-KR"/>
            </w:rPr>
          </w:pPr>
          <w:hyperlink w:anchor="_Toc470944226" w:history="1">
            <w:r w:rsidR="0006023B" w:rsidRPr="00465382">
              <w:rPr>
                <w:rStyle w:val="Hyperlink"/>
                <w:noProof/>
              </w:rPr>
              <w:t>8</w:t>
            </w:r>
            <w:r w:rsidR="0006023B">
              <w:rPr>
                <w:rFonts w:eastAsiaTheme="minorEastAsia"/>
                <w:noProof/>
                <w:kern w:val="2"/>
                <w:sz w:val="20"/>
                <w:lang w:eastAsia="ko-KR"/>
              </w:rPr>
              <w:tab/>
            </w:r>
            <w:r w:rsidR="0006023B" w:rsidRPr="00465382">
              <w:rPr>
                <w:rStyle w:val="Hyperlink"/>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EB26C4">
          <w:pPr>
            <w:pStyle w:val="TOC1"/>
            <w:tabs>
              <w:tab w:val="left" w:pos="440"/>
              <w:tab w:val="right" w:leader="dot" w:pos="9350"/>
            </w:tabs>
            <w:rPr>
              <w:rFonts w:eastAsiaTheme="minorEastAsia"/>
              <w:noProof/>
              <w:kern w:val="2"/>
              <w:sz w:val="20"/>
              <w:lang w:eastAsia="ko-KR"/>
            </w:rPr>
          </w:pPr>
          <w:hyperlink w:anchor="_Toc470944227" w:history="1">
            <w:r w:rsidR="0006023B" w:rsidRPr="00465382">
              <w:rPr>
                <w:rStyle w:val="Hyperlink"/>
                <w:noProof/>
              </w:rPr>
              <w:t>9</w:t>
            </w:r>
            <w:r w:rsidR="0006023B">
              <w:rPr>
                <w:rFonts w:eastAsiaTheme="minorEastAsia"/>
                <w:noProof/>
                <w:kern w:val="2"/>
                <w:sz w:val="20"/>
                <w:lang w:eastAsia="ko-KR"/>
              </w:rPr>
              <w:tab/>
            </w:r>
            <w:r w:rsidR="0006023B" w:rsidRPr="00465382">
              <w:rPr>
                <w:rStyle w:val="Hyperlink"/>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Heading1"/>
      </w:pPr>
      <w:bookmarkStart w:id="0" w:name="_Toc470944203"/>
      <w:bookmarkStart w:id="1" w:name="_Toc405127685"/>
      <w:r>
        <w:t>List of abbreviations</w:t>
      </w:r>
      <w:bookmarkEnd w:id="0"/>
    </w:p>
    <w:p w14:paraId="48F41910" w14:textId="6218BB74" w:rsidR="00E511A6" w:rsidRDefault="00845040" w:rsidP="00E61242">
      <w:pPr>
        <w:pStyle w:val="NoSpacing"/>
      </w:pPr>
      <w:r>
        <w:t>ACC</w:t>
      </w:r>
      <w:r w:rsidR="00E511A6">
        <w:tab/>
      </w:r>
      <w:r w:rsidR="00E511A6">
        <w:tab/>
      </w:r>
      <w:r>
        <w:rPr>
          <w:rFonts w:ascii="Calibri" w:hAnsi="Calibri" w:cs="Calibri"/>
          <w:color w:val="000000"/>
        </w:rPr>
        <w:t>American College of Cardiology</w:t>
      </w:r>
    </w:p>
    <w:p w14:paraId="273406D6" w14:textId="5B2F3766" w:rsidR="007F34FD" w:rsidRDefault="00845040" w:rsidP="00E61242">
      <w:pPr>
        <w:pStyle w:val="NoSpacing"/>
      </w:pPr>
      <w:r>
        <w:t>AHA</w:t>
      </w:r>
      <w:r w:rsidR="007F34FD">
        <w:rPr>
          <w:lang w:eastAsia="ko-KR"/>
        </w:rPr>
        <w:tab/>
      </w:r>
      <w:r w:rsidR="00E61242">
        <w:tab/>
      </w:r>
      <w:r>
        <w:rPr>
          <w:rFonts w:ascii="Calibri" w:hAnsi="Calibri" w:cs="Calibri"/>
          <w:color w:val="000000"/>
        </w:rPr>
        <w:t>American Heart Association</w:t>
      </w:r>
    </w:p>
    <w:p w14:paraId="1E053407" w14:textId="77777777" w:rsidR="00845040" w:rsidRDefault="00845040" w:rsidP="00845040">
      <w:pPr>
        <w:pStyle w:val="NoSpacing"/>
        <w:rPr>
          <w:rFonts w:ascii="Calibri" w:hAnsi="Calibri" w:cs="Calibri"/>
          <w:color w:val="000000"/>
        </w:rPr>
      </w:pPr>
      <w:r>
        <w:rPr>
          <w:rFonts w:ascii="Calibri" w:hAnsi="Calibri" w:cs="Calibri"/>
          <w:color w:val="000000"/>
        </w:rPr>
        <w:t>ESC</w:t>
      </w:r>
      <w:r w:rsidR="007F34FD">
        <w:tab/>
      </w:r>
      <w:r w:rsidR="007F34FD">
        <w:tab/>
      </w:r>
      <w:r>
        <w:rPr>
          <w:rFonts w:ascii="Calibri" w:hAnsi="Calibri" w:cs="Calibri"/>
          <w:color w:val="000000"/>
        </w:rPr>
        <w:t xml:space="preserve">European Society of Cardiology </w:t>
      </w:r>
    </w:p>
    <w:p w14:paraId="46824853" w14:textId="2AE585FA" w:rsidR="00845040" w:rsidRDefault="00845040" w:rsidP="00845040">
      <w:pPr>
        <w:pStyle w:val="NoSpacing"/>
      </w:pPr>
      <w:r>
        <w:t>EACTS</w:t>
      </w:r>
      <w:r>
        <w:rPr>
          <w:lang w:eastAsia="ko-KR"/>
        </w:rPr>
        <w:tab/>
      </w:r>
      <w:r>
        <w:tab/>
      </w:r>
      <w:r>
        <w:rPr>
          <w:rFonts w:ascii="Calibri" w:hAnsi="Calibri" w:cs="Calibri"/>
          <w:color w:val="000000"/>
        </w:rPr>
        <w:t>European Association for Cardio-Thoracic Surgery</w:t>
      </w:r>
      <w:r>
        <w:t xml:space="preserve"> </w:t>
      </w:r>
    </w:p>
    <w:p w14:paraId="42518749" w14:textId="58B636E0" w:rsidR="00845040" w:rsidRDefault="00845040" w:rsidP="00845040">
      <w:pPr>
        <w:pStyle w:val="NoSpacing"/>
      </w:pPr>
      <w:r>
        <w:lastRenderedPageBreak/>
        <w:t>RCT</w:t>
      </w:r>
      <w:r>
        <w:rPr>
          <w:lang w:eastAsia="ko-KR"/>
        </w:rPr>
        <w:tab/>
      </w:r>
      <w:r>
        <w:tab/>
        <w:t>Randomized Clinical Trial</w:t>
      </w:r>
    </w:p>
    <w:p w14:paraId="636D89EF" w14:textId="04F669BA" w:rsidR="00845040" w:rsidRDefault="00845040" w:rsidP="00845040">
      <w:pPr>
        <w:pStyle w:val="NoSpacing"/>
      </w:pPr>
      <w:r>
        <w:t>ACS</w:t>
      </w:r>
      <w:r>
        <w:rPr>
          <w:lang w:eastAsia="ko-KR"/>
        </w:rPr>
        <w:tab/>
      </w:r>
      <w:r>
        <w:tab/>
        <w:t xml:space="preserve">Acute Coronary Syndrome </w:t>
      </w:r>
    </w:p>
    <w:p w14:paraId="7EEC1156" w14:textId="197288B3" w:rsidR="00845040" w:rsidRDefault="00845040" w:rsidP="00845040">
      <w:pPr>
        <w:pStyle w:val="NoSpacing"/>
      </w:pPr>
      <w:r>
        <w:t>PLATO</w:t>
      </w:r>
      <w:r>
        <w:rPr>
          <w:lang w:eastAsia="ko-KR"/>
        </w:rPr>
        <w:tab/>
      </w:r>
      <w:r>
        <w:tab/>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w:t>
      </w:r>
    </w:p>
    <w:p w14:paraId="0020B217" w14:textId="35AA431C" w:rsidR="007F34FD" w:rsidRPr="00E61242" w:rsidRDefault="00845040" w:rsidP="00E61242">
      <w:pPr>
        <w:pStyle w:val="NoSpacing"/>
      </w:pPr>
      <w:r>
        <w:t>OHDSI</w:t>
      </w:r>
      <w:r>
        <w:rPr>
          <w:lang w:eastAsia="ko-KR"/>
        </w:rPr>
        <w:tab/>
      </w:r>
      <w:r>
        <w:tab/>
        <w:t xml:space="preserve">Observational Health Data Sciences and Informatics </w:t>
      </w:r>
    </w:p>
    <w:p w14:paraId="054CD3C7" w14:textId="2A5E3EBD" w:rsidR="00FF791A" w:rsidRDefault="000159BB" w:rsidP="000159BB">
      <w:pPr>
        <w:pStyle w:val="Heading1"/>
      </w:pPr>
      <w:bookmarkStart w:id="2" w:name="_Toc470944204"/>
      <w:r>
        <w:t>Abstract</w:t>
      </w:r>
      <w:bookmarkEnd w:id="2"/>
    </w:p>
    <w:p w14:paraId="7D2CEB33" w14:textId="459AAC17"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 xml:space="preserve">use ticagrelor on top of aspirin in preference to </w:t>
      </w:r>
      <w:proofErr w:type="spellStart"/>
      <w:r>
        <w:rPr>
          <w:rFonts w:ascii="Calibri" w:hAnsi="Calibri" w:cs="Calibri"/>
          <w:color w:val="000000"/>
        </w:rPr>
        <w:t>clopidogrel</w:t>
      </w:r>
      <w:proofErr w:type="spellEnd"/>
      <w:r>
        <w:rPr>
          <w:rFonts w:ascii="Calibri" w:hAnsi="Calibri" w:cs="Calibri"/>
          <w:color w:val="000000"/>
        </w:rPr>
        <w:t xml:space="preserve">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Pr>
          <w:rFonts w:ascii="Calibri" w:hAnsi="Calibri" w:cs="Calibri"/>
          <w:color w:val="000000"/>
        </w:rPr>
        <w:fldChar w:fldCharType="begin"/>
      </w:r>
      <w:r w:rsidR="008E2210">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sidR="008E2210">
        <w:rPr>
          <w:rFonts w:ascii="Calibri" w:hAnsi="Calibri" w:cs="Calibri"/>
          <w:color w:val="000000"/>
        </w:rPr>
        <w:fldChar w:fldCharType="separate"/>
      </w:r>
      <w:r w:rsidR="008E2210" w:rsidRPr="008E2210">
        <w:rPr>
          <w:rFonts w:ascii="Calibri" w:hAnsi="Calibri" w:cs="Calibri"/>
          <w:color w:val="000000"/>
          <w:vertAlign w:val="superscript"/>
        </w:rPr>
        <w:t>1,2</w:t>
      </w:r>
      <w:r w:rsidR="008E2210">
        <w:rPr>
          <w:rFonts w:ascii="Calibri" w:hAnsi="Calibri" w:cs="Calibri"/>
          <w:color w:val="000000"/>
        </w:rPr>
        <w:fldChar w:fldCharType="end"/>
      </w:r>
      <w:r w:rsidR="008E2210">
        <w:rPr>
          <w:rFonts w:ascii="Calibri" w:hAnsi="Calibri" w:cs="Calibri"/>
          <w:color w:val="000000"/>
        </w:rPr>
        <w:t xml:space="preserve"> </w:t>
      </w:r>
      <w:r w:rsidR="004362E5">
        <w:rPr>
          <w:rFonts w:ascii="Calibri" w:hAnsi="Calibri" w:cs="Calibri"/>
          <w:color w:val="000000"/>
          <w:lang w:eastAsia="ko-KR"/>
        </w:rPr>
        <w:t xml:space="preserve">The study of </w:t>
      </w:r>
      <w:proofErr w:type="spellStart"/>
      <w:r w:rsidR="004362E5">
        <w:rPr>
          <w:rFonts w:ascii="Calibri" w:hAnsi="Calibri" w:cs="Calibri"/>
          <w:color w:val="000000"/>
          <w:lang w:eastAsia="ko-KR"/>
        </w:rPr>
        <w:t>PLATelet</w:t>
      </w:r>
      <w:proofErr w:type="spellEnd"/>
      <w:r w:rsidR="004362E5">
        <w:rPr>
          <w:rFonts w:ascii="Calibri" w:hAnsi="Calibri" w:cs="Calibri"/>
          <w:color w:val="000000"/>
          <w:lang w:eastAsia="ko-KR"/>
        </w:rPr>
        <w:t xml:space="preserve">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vascular causes, myocardial infarction, or death, with an increase in the rate of non-procedural-related bleeding.</w:t>
      </w:r>
      <w:r w:rsidR="004362E5">
        <w:rPr>
          <w:rFonts w:ascii="Calibri" w:hAnsi="Calibri" w:cs="Calibri"/>
          <w:color w:val="000000"/>
        </w:rPr>
        <w:fldChar w:fldCharType="begin"/>
      </w:r>
      <w:r w:rsidR="004362E5">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4362E5">
        <w:rPr>
          <w:rFonts w:ascii="Calibri" w:hAnsi="Calibri" w:cs="Calibri"/>
          <w:color w:val="000000"/>
        </w:rPr>
        <w:fldChar w:fldCharType="separate"/>
      </w:r>
      <w:r w:rsidR="004362E5" w:rsidRPr="00E5611D">
        <w:rPr>
          <w:rFonts w:ascii="Calibri" w:hAnsi="Calibri" w:cs="Calibri"/>
          <w:color w:val="000000"/>
          <w:vertAlign w:val="superscript"/>
        </w:rPr>
        <w:t>3</w:t>
      </w:r>
      <w:r w:rsidR="004362E5">
        <w:rPr>
          <w:rFonts w:ascii="Calibri" w:hAnsi="Calibri" w:cs="Calibri"/>
          <w:color w:val="000000"/>
        </w:rPr>
        <w:fldChar w:fldCharType="end"/>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FF5EAB8"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w:t>
      </w:r>
      <w:proofErr w:type="spellStart"/>
      <w:r>
        <w:rPr>
          <w:rFonts w:ascii="Calibri" w:hAnsi="Calibri" w:cs="Calibri"/>
          <w:color w:val="000000"/>
          <w:lang w:eastAsia="ko-KR"/>
        </w:rPr>
        <w:t>clopidogrel</w:t>
      </w:r>
      <w:proofErr w:type="spellEnd"/>
      <w:r>
        <w:rPr>
          <w:rFonts w:ascii="Calibri" w:hAnsi="Calibri" w:cs="Calibri"/>
          <w:color w:val="000000"/>
          <w:lang w:eastAsia="ko-KR"/>
        </w:rPr>
        <w:t xml:space="preserve">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Pr>
          <w:rFonts w:ascii="Calibri" w:hAnsi="Calibri" w:cs="Calibri"/>
          <w:color w:val="000000"/>
        </w:rPr>
        <w:fldChar w:fldCharType="begin"/>
      </w:r>
      <w:r w:rsidR="00D46B01">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sidR="00D46B01">
        <w:rPr>
          <w:rFonts w:ascii="Calibri" w:hAnsi="Calibri" w:cs="Calibri"/>
          <w:color w:val="000000"/>
        </w:rPr>
        <w:fldChar w:fldCharType="separate"/>
      </w:r>
      <w:r w:rsidR="00D46B01" w:rsidRPr="00D46B01">
        <w:rPr>
          <w:rFonts w:ascii="Calibri" w:hAnsi="Calibri" w:cs="Calibri"/>
          <w:color w:val="000000"/>
          <w:vertAlign w:val="superscript"/>
        </w:rPr>
        <w:t>4,5</w:t>
      </w:r>
      <w:r w:rsidR="00D46B01">
        <w:rPr>
          <w:rFonts w:ascii="Calibri" w:hAnsi="Calibri" w:cs="Calibri"/>
          <w:color w:val="000000"/>
        </w:rPr>
        <w:fldChar w:fldCharType="end"/>
      </w:r>
      <w:r w:rsidR="006D1E30">
        <w:rPr>
          <w:rFonts w:ascii="Calibri" w:hAnsi="Calibri" w:cs="Calibri"/>
          <w:color w:val="000000"/>
        </w:rPr>
        <w:t xml:space="preserve"> In PLATO trial, indeed, Caucasian patients formed most of the enrolled patients, up to 92%.</w:t>
      </w:r>
      <w:r w:rsidR="006D1E30">
        <w:rPr>
          <w:rFonts w:ascii="Calibri" w:hAnsi="Calibri" w:cs="Calibri"/>
          <w:color w:val="000000"/>
        </w:rPr>
        <w:fldChar w:fldCharType="begin"/>
      </w:r>
      <w:r w:rsidR="00D46B01">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6D1E30">
        <w:rPr>
          <w:rFonts w:ascii="Calibri" w:hAnsi="Calibri" w:cs="Calibri"/>
          <w:color w:val="000000"/>
        </w:rPr>
        <w:fldChar w:fldCharType="separate"/>
      </w:r>
      <w:r w:rsidR="006D1E30" w:rsidRPr="00E5611D">
        <w:rPr>
          <w:rFonts w:ascii="Calibri" w:hAnsi="Calibri" w:cs="Calibri"/>
          <w:color w:val="000000"/>
          <w:vertAlign w:val="superscript"/>
        </w:rPr>
        <w:t>3</w:t>
      </w:r>
      <w:r w:rsidR="006D1E30">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48F8628" w14:textId="6590598F"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w:t>
      </w:r>
      <w:proofErr w:type="spellStart"/>
      <w:r>
        <w:rPr>
          <w:rFonts w:ascii="Calibri" w:hAnsi="Calibri" w:cs="Calibri"/>
          <w:color w:val="000000"/>
        </w:rPr>
        <w:t>clopidogrel</w:t>
      </w:r>
      <w:proofErr w:type="spellEnd"/>
      <w:r>
        <w:rPr>
          <w:rFonts w:ascii="Calibri" w:hAnsi="Calibri" w:cs="Calibri"/>
          <w:color w:val="000000"/>
        </w:rPr>
        <w:t xml:space="preserve"> in patients with acute control syndrome from various countries and health care systems through </w:t>
      </w:r>
      <w:r w:rsidR="002B6846">
        <w:rPr>
          <w:rFonts w:ascii="Calibri" w:hAnsi="Calibri" w:cs="Calibri"/>
          <w:color w:val="000000"/>
        </w:rPr>
        <w:t xml:space="preserve">observational health data sciences and </w:t>
      </w:r>
      <w:proofErr w:type="spellStart"/>
      <w:r w:rsidR="002B6846">
        <w:rPr>
          <w:rFonts w:ascii="Calibri" w:hAnsi="Calibri" w:cs="Calibri"/>
          <w:color w:val="000000"/>
        </w:rPr>
        <w:t>informatidcs</w:t>
      </w:r>
      <w:proofErr w:type="spellEnd"/>
      <w:r w:rsidR="002B6846">
        <w:rPr>
          <w:rFonts w:ascii="Calibri" w:hAnsi="Calibri" w:cs="Calibri"/>
          <w:color w:val="000000"/>
        </w:rPr>
        <w:t xml:space="preserve">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r>
        <w:t>Amendments and Updates</w:t>
      </w:r>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3" w:name="_Toc470944205"/>
      <w:r>
        <w:t>Rationale and B</w:t>
      </w:r>
      <w:r w:rsidR="00EE73B8">
        <w:t>ackground</w:t>
      </w:r>
      <w:bookmarkEnd w:id="1"/>
      <w:bookmarkEnd w:id="3"/>
    </w:p>
    <w:p w14:paraId="0394FF50" w14:textId="3A899D4F" w:rsidR="009A285C" w:rsidRDefault="00845040" w:rsidP="00845040">
      <w:pPr>
        <w:pBdr>
          <w:top w:val="nil"/>
          <w:left w:val="nil"/>
          <w:bottom w:val="nil"/>
          <w:right w:val="nil"/>
          <w:between w:val="nil"/>
        </w:pBdr>
        <w:spacing w:after="120"/>
        <w:jc w:val="both"/>
        <w:rPr>
          <w:rFonts w:ascii="Calibri" w:hAnsi="Calibri" w:cs="Calibri"/>
          <w:color w:val="000000"/>
        </w:rPr>
      </w:pPr>
      <w:bookmarkStart w:id="4" w:name="_Toc470944206"/>
      <w:r>
        <w:rPr>
          <w:rFonts w:ascii="Calibri" w:hAnsi="Calibri" w:cs="Calibri"/>
          <w:color w:val="000000"/>
        </w:rPr>
        <w:t xml:space="preserve">The 2016 American College of Cardiology / American Heart Association (ACC/AHA) guideline and 2017 European Society of Cardiology (ESC) / European Association for Cardio-Thoracic Surgery (EACTS) guideline recommended to use ticagrelor on top of aspirin in preference to </w:t>
      </w:r>
      <w:proofErr w:type="spellStart"/>
      <w:r>
        <w:rPr>
          <w:rFonts w:ascii="Calibri" w:hAnsi="Calibri" w:cs="Calibri"/>
          <w:color w:val="000000"/>
        </w:rPr>
        <w:t>clopidogrel</w:t>
      </w:r>
      <w:proofErr w:type="spellEnd"/>
      <w:r>
        <w:rPr>
          <w:rFonts w:ascii="Calibri" w:hAnsi="Calibri" w:cs="Calibri"/>
          <w:color w:val="000000"/>
        </w:rPr>
        <w:t xml:space="preserve"> for patients with acute coronary syndrome (ACS) based on the results from randomized clinical trials (RCT).</w:t>
      </w:r>
      <w:r>
        <w:rPr>
          <w:rFonts w:ascii="Calibri" w:hAnsi="Calibri" w:cs="Calibri"/>
          <w:color w:val="000000"/>
        </w:rPr>
        <w:fldChar w:fldCharType="begin"/>
      </w:r>
      <w:r w:rsidR="009A285C">
        <w:rPr>
          <w:rFonts w:ascii="Calibri" w:hAnsi="Calibri" w:cs="Calibri"/>
          <w:color w:val="000000"/>
        </w:rPr>
        <w:instrText xml:space="preserve"> ADDIN ZOTERO_ITEM CSL_CITATION {"citationID":"GE3mk11F","properties":{"formattedCitation":"\\super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Pr>
          <w:rFonts w:ascii="Calibri" w:hAnsi="Calibri" w:cs="Calibri"/>
          <w:color w:val="000000"/>
        </w:rPr>
        <w:fldChar w:fldCharType="separate"/>
      </w:r>
      <w:r w:rsidRPr="008E2210">
        <w:rPr>
          <w:rFonts w:ascii="Calibri" w:hAnsi="Calibri" w:cs="Calibri"/>
          <w:color w:val="000000"/>
          <w:vertAlign w:val="superscript"/>
        </w:rPr>
        <w:t>1,2</w:t>
      </w:r>
      <w:r>
        <w:rPr>
          <w:rFonts w:ascii="Calibri" w:hAnsi="Calibri" w:cs="Calibri"/>
          <w:color w:val="000000"/>
        </w:rPr>
        <w:fldChar w:fldCharType="end"/>
      </w:r>
      <w:r>
        <w:rPr>
          <w:rFonts w:ascii="Calibri" w:hAnsi="Calibri" w:cs="Calibri"/>
          <w:color w:val="000000"/>
        </w:rPr>
        <w:t xml:space="preserve"> </w:t>
      </w:r>
      <w:r>
        <w:rPr>
          <w:rFonts w:ascii="Calibri" w:hAnsi="Calibri" w:cs="Calibri"/>
          <w:color w:val="000000"/>
          <w:lang w:eastAsia="ko-KR"/>
        </w:rPr>
        <w:t xml:space="preserve">The study of </w:t>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 (</w:t>
      </w:r>
      <w:r>
        <w:rPr>
          <w:rFonts w:ascii="Calibri" w:hAnsi="Calibri" w:cs="Calibri"/>
          <w:color w:val="000000"/>
        </w:rPr>
        <w:t>PLATO) trial demonstrated the ticagrelor reduced the rate of death from vascular causes, myocardial infarction, or death, with an increase in the rate of non-procedural-related bleeding.</w:t>
      </w:r>
      <w:r>
        <w:rPr>
          <w:rFonts w:ascii="Calibri" w:hAnsi="Calibri" w:cs="Calibri"/>
          <w:color w:val="000000"/>
        </w:rPr>
        <w:fldChar w:fldCharType="begin"/>
      </w:r>
      <w:r w:rsidR="009A285C">
        <w:rPr>
          <w:rFonts w:ascii="Calibri" w:hAnsi="Calibri" w:cs="Calibri"/>
          <w:color w:val="000000"/>
        </w:rPr>
        <w:instrText xml:space="preserve"> ADDIN ZOTERO_ITEM CSL_CITATION {"citationID":"bLw7pmr0","properties":{"formattedCitation":"\\super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w:t>
      </w:r>
      <w:r w:rsidR="009A285C">
        <w:rPr>
          <w:rFonts w:ascii="Calibri" w:hAnsi="Calibri" w:cs="Calibri"/>
          <w:color w:val="000000"/>
        </w:rPr>
        <w:t>In post-hoc analysis, the significant interaction between treatment and trial region was identified, which suggested worse clinical effect of ticagrelor in North America than in the rest of the worl</w:t>
      </w:r>
      <w:r w:rsidR="00B62F92">
        <w:rPr>
          <w:rFonts w:ascii="Calibri" w:hAnsi="Calibri" w:cs="Calibri"/>
          <w:color w:val="000000"/>
        </w:rPr>
        <w:t xml:space="preserve">d. </w:t>
      </w:r>
      <w:r w:rsidR="009A285C">
        <w:rPr>
          <w:rFonts w:ascii="Calibri" w:hAnsi="Calibri" w:cs="Calibri"/>
          <w:color w:val="000000"/>
        </w:rPr>
        <w:fldChar w:fldCharType="begin"/>
      </w:r>
      <w:r w:rsidR="009A285C">
        <w:rPr>
          <w:rFonts w:ascii="Calibri" w:hAnsi="Calibri" w:cs="Calibri"/>
          <w:color w:val="000000"/>
        </w:rPr>
        <w:instrText xml:space="preserve"> ADDIN ZOTERO_ITEM CSL_CITATION {"citationID":"qx4sglI8","properties":{"formattedCitation":"\\super 7\\nosupersub{}","plainCitation":"7","noteIndex":0},"citationItems":[{"id":7562,"uris":["http://zotero.org/users/1354749/items/CTURYAH9"],"uri":["http://zotero.org/users/1354749/items/CTURYAH9"],"itemData":{"id":7562,"type":"article-journal","title":"Ticagrelor Compared With Clopidogrel by Geographic Region in the Platelet Inhibition and Patient Outcomes (PLATO) Trial","container-title":"Circulation","page":"544-554","volume":"124","issue":"5","source":"ahajournals.org (Atypon)","abstract":"Background—In the Platelet Inhibition and Patient Outcomes (PLATO) trial, a prespecified subgroup analysis showed a significant interaction between treatment and region (P=0.045), with less effect of ticagrelor in North America than in the rest of the world.Methods and Results—Reasons for the interaction were explored independently by 2 statistical groups. Systematic errors in trial conduct were investigated. Statistical approaches evaluated the likelihood of play of chance. Cox regression analyses were performed to quantify how much of the regional interaction could be explained by patient characteristics and concomitant treatments, including aspirin maintenance therapy. Landmark Cox regressions at 8 time points evaluated the association of selected factors, including aspirin dose, with outcomes by treatment. Systematic errors in trial conduct were ruled out. Given the large number of subgroup analyses performed and that a result numerically favoring clopidogrel in at least 1 of the 4 prespecified regions could occur with 32% probability, chance alone cannot be ruled out. More patients in the United States (53.6%) than in the rest of the world (1.7%) took a median aspir</w:instrText>
      </w:r>
      <w:r w:rsidR="009A285C">
        <w:rPr>
          <w:rFonts w:ascii="Calibri" w:hAnsi="Calibri" w:cs="Calibri" w:hint="eastAsia"/>
          <w:color w:val="000000"/>
        </w:rPr>
        <w:instrText xml:space="preserve">in dose </w:instrText>
      </w:r>
      <w:r w:rsidR="009A285C">
        <w:rPr>
          <w:rFonts w:ascii="Calibri" w:hAnsi="Calibri" w:cs="Calibri" w:hint="eastAsia"/>
          <w:color w:val="000000"/>
        </w:rPr>
        <w:instrText>≥</w:instrText>
      </w:r>
      <w:r w:rsidR="009A285C">
        <w:rPr>
          <w:rFonts w:ascii="Calibri" w:hAnsi="Calibri" w:cs="Calibri" w:hint="eastAsia"/>
          <w:color w:val="000000"/>
        </w:rPr>
        <w:instrText>300 mg/d. Of 37 baseline and postrandomization factors explored, only aspirin dose explained a substantial fraction of the regional interaction. In adjusted analyses, both Cox regression with median maintenance dose and landmark techniques showed</w:instrText>
      </w:r>
      <w:r w:rsidR="009A285C">
        <w:rPr>
          <w:rFonts w:ascii="Calibri" w:hAnsi="Calibri" w:cs="Calibri"/>
          <w:color w:val="000000"/>
        </w:rPr>
        <w:instrText xml:space="preserve"> that, in patients taking low-dose maintenance aspirin, ticagrelor was associated with better outcomes compared with clopidogrel, with statistical superiority in the rest of the world and similar outcomes in the US cohort.Conclusions—The regional interaction could arise from chance alone. Results of 2 independently performed analyses identified an underlying statistical interaction with aspirin maintenance dose as a possible explanation for the regional difference. The lowest risk of cardiovascular death, myocardial infarction, or stroke with ticagrelor compared with clopidogrel is associated with a low maintenance dose of concomitant aspirin.Clinical Trial Registration—URL: http://www.clinicaltrials.gov. Unique identifier: NCT00391872.","DOI":"10.1161/CIRCULATIONAHA.111.047498","journalAbbreviation":"Circulation","author":[{"literal":"Mahaffey Kenneth W."},{"literal":"Wojdyla Daniel M."},{"literal":"Carroll Kevin"},{"literal":"Becker Richard C."},{"literal":"Storey Robert F."},{"literal":"Angiolillo Dominick J."},{"literal":"Held Claes"},{"literal":"Cannon Christopher P."},{"literal":"James Stefan"},{"literal":"Pieper Karen S."},{"literal":"Horrow Jay"},{"literal":"Harrington Robert A."},{"literal":"Wallentin Lars"}],"issued":{"date-parts":[["2011",8,2]]}}}],"schema":"https://github.com/citation-style-language/schema/raw/master/csl-citation.json"} </w:instrText>
      </w:r>
      <w:r w:rsidR="009A285C">
        <w:rPr>
          <w:rFonts w:ascii="Calibri" w:hAnsi="Calibri" w:cs="Calibri"/>
          <w:color w:val="000000"/>
        </w:rPr>
        <w:fldChar w:fldCharType="separate"/>
      </w:r>
      <w:r w:rsidR="009A285C" w:rsidRPr="009A285C">
        <w:rPr>
          <w:rFonts w:ascii="Calibri" w:hAnsi="Calibri" w:cs="Calibri"/>
          <w:color w:val="000000"/>
          <w:vertAlign w:val="superscript"/>
        </w:rPr>
        <w:t>7</w:t>
      </w:r>
      <w:r w:rsidR="009A285C">
        <w:rPr>
          <w:rFonts w:ascii="Calibri" w:hAnsi="Calibri" w:cs="Calibri"/>
          <w:color w:val="000000"/>
        </w:rPr>
        <w:fldChar w:fldCharType="end"/>
      </w:r>
      <w:r w:rsidR="00B62F92">
        <w:rPr>
          <w:rFonts w:ascii="Calibri" w:hAnsi="Calibri" w:cs="Calibri"/>
          <w:color w:val="000000"/>
        </w:rPr>
        <w:t xml:space="preserve"> </w:t>
      </w:r>
      <w:r w:rsidR="009A285C">
        <w:rPr>
          <w:rFonts w:ascii="Calibri" w:hAnsi="Calibri" w:cs="Calibri"/>
          <w:color w:val="000000"/>
        </w:rPr>
        <w:t xml:space="preserve"> </w:t>
      </w:r>
    </w:p>
    <w:p w14:paraId="4C2486D4" w14:textId="526C39C3" w:rsidR="00845040" w:rsidRDefault="009A285C" w:rsidP="0084504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lastRenderedPageBreak/>
        <w:t>T</w:t>
      </w:r>
      <w:r w:rsidR="00845040">
        <w:rPr>
          <w:rFonts w:ascii="Calibri" w:hAnsi="Calibri" w:cs="Calibri"/>
          <w:color w:val="000000"/>
          <w:lang w:eastAsia="ko-KR"/>
        </w:rPr>
        <w:t xml:space="preserve">he real-world evidence evaluating net clinical benefit of ticagrelor over </w:t>
      </w:r>
      <w:proofErr w:type="spellStart"/>
      <w:r w:rsidR="00845040">
        <w:rPr>
          <w:rFonts w:ascii="Calibri" w:hAnsi="Calibri" w:cs="Calibri"/>
          <w:color w:val="000000"/>
          <w:lang w:eastAsia="ko-KR"/>
        </w:rPr>
        <w:t>clopidogrel</w:t>
      </w:r>
      <w:proofErr w:type="spellEnd"/>
      <w:r>
        <w:rPr>
          <w:rFonts w:ascii="Calibri" w:hAnsi="Calibri" w:cs="Calibri"/>
          <w:color w:val="000000"/>
          <w:lang w:eastAsia="ko-KR"/>
        </w:rPr>
        <w:t xml:space="preserve"> across countries or races</w:t>
      </w:r>
      <w:r w:rsidR="00845040">
        <w:rPr>
          <w:rFonts w:ascii="Calibri" w:hAnsi="Calibri" w:cs="Calibri"/>
          <w:color w:val="000000"/>
          <w:lang w:eastAsia="ko-KR"/>
        </w:rPr>
        <w:t xml:space="preserve"> has been scarce. </w:t>
      </w:r>
      <w:r w:rsidR="00845040">
        <w:rPr>
          <w:rFonts w:ascii="Calibri" w:hAnsi="Calibri" w:cs="Calibri"/>
          <w:color w:val="000000"/>
        </w:rPr>
        <w:t xml:space="preserve">Furthermore, there is a concern that non-White patients, especially Asians and Black people, might be susceptible to anti-thrombotic therapy </w:t>
      </w:r>
      <w:r w:rsidR="00B62F92">
        <w:rPr>
          <w:rFonts w:ascii="Calibri" w:hAnsi="Calibri" w:cs="Calibri"/>
          <w:color w:val="000000"/>
        </w:rPr>
        <w:t xml:space="preserve">in real word </w:t>
      </w:r>
      <w:bookmarkStart w:id="5" w:name="_GoBack"/>
      <w:bookmarkEnd w:id="5"/>
      <w:r w:rsidR="00845040">
        <w:rPr>
          <w:rFonts w:ascii="Calibri" w:hAnsi="Calibri" w:cs="Calibri"/>
          <w:color w:val="000000"/>
        </w:rPr>
        <w:t>because of excessive bleeding risk.</w:t>
      </w:r>
      <w:r w:rsidR="00845040">
        <w:rPr>
          <w:rFonts w:ascii="Calibri" w:hAnsi="Calibri" w:cs="Calibri"/>
          <w:color w:val="000000"/>
        </w:rPr>
        <w:fldChar w:fldCharType="begin"/>
      </w:r>
      <w:r>
        <w:rPr>
          <w:rFonts w:ascii="Calibri" w:hAnsi="Calibri" w:cs="Calibri"/>
          <w:color w:val="000000"/>
        </w:rPr>
        <w:instrText xml:space="preserve"> ADDIN ZOTERO_ITEM CSL_CITATION {"citationID":"xw94eQ5X","properties":{"formattedCitation":"\\super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sidR="00845040">
        <w:rPr>
          <w:rFonts w:ascii="Calibri" w:hAnsi="Calibri" w:cs="Calibri"/>
          <w:color w:val="000000"/>
        </w:rPr>
        <w:fldChar w:fldCharType="separate"/>
      </w:r>
      <w:r w:rsidR="00845040" w:rsidRPr="00D46B01">
        <w:rPr>
          <w:rFonts w:ascii="Calibri" w:hAnsi="Calibri" w:cs="Calibri"/>
          <w:color w:val="000000"/>
          <w:vertAlign w:val="superscript"/>
        </w:rPr>
        <w:t>4,5</w:t>
      </w:r>
      <w:r w:rsidR="00845040">
        <w:rPr>
          <w:rFonts w:ascii="Calibri" w:hAnsi="Calibri" w:cs="Calibri"/>
          <w:color w:val="000000"/>
        </w:rPr>
        <w:fldChar w:fldCharType="end"/>
      </w:r>
      <w:r w:rsidR="00845040">
        <w:rPr>
          <w:rFonts w:ascii="Calibri" w:hAnsi="Calibri" w:cs="Calibri"/>
          <w:color w:val="000000"/>
        </w:rPr>
        <w:t xml:space="preserve"> In PLATO trial, indeed, Caucasian patients formed most of the enrolled patients, up to 92%.</w:t>
      </w:r>
      <w:r w:rsidR="00845040">
        <w:rPr>
          <w:rFonts w:ascii="Calibri" w:hAnsi="Calibri" w:cs="Calibri"/>
          <w:color w:val="000000"/>
        </w:rPr>
        <w:fldChar w:fldCharType="begin"/>
      </w:r>
      <w:r>
        <w:rPr>
          <w:rFonts w:ascii="Calibri" w:hAnsi="Calibri" w:cs="Calibri"/>
          <w:color w:val="000000"/>
        </w:rPr>
        <w:instrText xml:space="preserve"> ADDIN ZOTERO_ITEM CSL_CITATION {"citationID":"zk0yGqa6","properties":{"formattedCitation":"\\super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845040">
        <w:rPr>
          <w:rFonts w:ascii="Calibri" w:hAnsi="Calibri" w:cs="Calibri"/>
          <w:color w:val="000000"/>
        </w:rPr>
        <w:fldChar w:fldCharType="separate"/>
      </w:r>
      <w:r w:rsidR="00845040" w:rsidRPr="00E5611D">
        <w:rPr>
          <w:rFonts w:ascii="Calibri" w:hAnsi="Calibri" w:cs="Calibri"/>
          <w:color w:val="000000"/>
          <w:vertAlign w:val="superscript"/>
        </w:rPr>
        <w:t>3</w:t>
      </w:r>
      <w:r w:rsidR="00845040">
        <w:rPr>
          <w:rFonts w:ascii="Calibri" w:hAnsi="Calibri" w:cs="Calibri"/>
          <w:color w:val="000000"/>
        </w:rPr>
        <w:fldChar w:fldCharType="end"/>
      </w:r>
      <w:r w:rsidR="00845040">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sidR="00845040">
        <w:rPr>
          <w:rFonts w:ascii="Calibri" w:hAnsi="Calibri" w:cs="Calibri"/>
          <w:color w:val="000000"/>
        </w:rPr>
        <w:fldChar w:fldCharType="begin"/>
      </w:r>
      <w:r>
        <w:rPr>
          <w:rFonts w:ascii="Calibri" w:hAnsi="Calibri" w:cs="Calibri"/>
          <w:color w:val="000000"/>
        </w:rPr>
        <w:instrText xml:space="preserve"> ADDIN ZOTERO_ITEM CSL_CITATION {"citationID":"tYWIBnUg","properties":{"formattedCitation":"\\super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sidR="00845040">
        <w:rPr>
          <w:rFonts w:ascii="Calibri" w:hAnsi="Calibri" w:cs="Calibri"/>
          <w:color w:val="000000"/>
        </w:rPr>
        <w:fldChar w:fldCharType="separate"/>
      </w:r>
      <w:r w:rsidR="00845040" w:rsidRPr="00845040">
        <w:rPr>
          <w:rFonts w:ascii="Calibri" w:hAnsi="Calibri" w:cs="Calibri"/>
          <w:color w:val="000000"/>
          <w:vertAlign w:val="superscript"/>
        </w:rPr>
        <w:t>6</w:t>
      </w:r>
      <w:r w:rsidR="00845040">
        <w:rPr>
          <w:rFonts w:ascii="Calibri" w:hAnsi="Calibri" w:cs="Calibri"/>
          <w:color w:val="000000"/>
        </w:rPr>
        <w:fldChar w:fldCharType="end"/>
      </w:r>
      <w:r w:rsidR="00845040">
        <w:rPr>
          <w:rFonts w:ascii="Calibri" w:hAnsi="Calibri" w:cs="Calibri"/>
          <w:color w:val="000000"/>
        </w:rPr>
        <w:t xml:space="preserve"> </w:t>
      </w:r>
    </w:p>
    <w:p w14:paraId="596883E2" w14:textId="77777777" w:rsidR="00C84B89" w:rsidRDefault="0009249C" w:rsidP="0007323D">
      <w:pPr>
        <w:pStyle w:val="Heading1"/>
      </w:pPr>
      <w:r>
        <w:t>Research Questions and Objectives</w:t>
      </w:r>
      <w:bookmarkEnd w:id="4"/>
    </w:p>
    <w:p w14:paraId="19985B9B" w14:textId="77777777" w:rsidR="00354C2C" w:rsidRDefault="00354C2C" w:rsidP="00354C2C">
      <w:pPr>
        <w:pStyle w:val="Heading2"/>
      </w:pPr>
      <w:bookmarkStart w:id="6" w:name="_Toc470944207"/>
      <w:r>
        <w:t>Research Question</w:t>
      </w:r>
      <w:r w:rsidR="0009249C">
        <w:t>s</w:t>
      </w:r>
      <w:bookmarkEnd w:id="6"/>
    </w:p>
    <w:p w14:paraId="45F9A4A9" w14:textId="4DC11BC1" w:rsidR="0068145E" w:rsidRDefault="008D3D46" w:rsidP="00A201D8">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research questions</w:t>
      </w:r>
    </w:p>
    <w:p w14:paraId="10D3073A" w14:textId="55A79779" w:rsidR="008D3D46" w:rsidRPr="008D3D46" w:rsidRDefault="008D3D46" w:rsidP="006D3346">
      <w:pPr>
        <w:pStyle w:val="ListParagraph"/>
        <w:numPr>
          <w:ilvl w:val="0"/>
          <w:numId w:val="6"/>
        </w:numPr>
        <w:rPr>
          <w:rFonts w:ascii="Calibri" w:hAnsi="Calibri" w:cs="Calibri"/>
          <w:lang w:eastAsia="ko-KR"/>
        </w:rPr>
      </w:pPr>
      <w:r w:rsidRPr="008D3D46">
        <w:rPr>
          <w:rFonts w:ascii="Calibri" w:hAnsi="Calibri" w:cs="Calibri"/>
          <w:lang w:eastAsia="ko-KR"/>
        </w:rPr>
        <w:t>Is febuxostat associated with increased risk of sudden cardiac death</w:t>
      </w:r>
      <w:r>
        <w:rPr>
          <w:rFonts w:ascii="Calibri" w:hAnsi="Calibri" w:cs="Calibri"/>
          <w:lang w:eastAsia="ko-KR"/>
        </w:rPr>
        <w:t xml:space="preserve"> compared to febuxostat in real-world practice? What is the </w:t>
      </w:r>
      <w:r w:rsidR="0049270D">
        <w:rPr>
          <w:rFonts w:ascii="Calibri" w:hAnsi="Calibri" w:cs="Calibri"/>
          <w:lang w:eastAsia="ko-KR"/>
        </w:rPr>
        <w:t>event</w:t>
      </w:r>
      <w:r>
        <w:rPr>
          <w:rFonts w:ascii="Calibri" w:hAnsi="Calibri" w:cs="Calibri"/>
          <w:lang w:eastAsia="ko-KR"/>
        </w:rPr>
        <w:t xml:space="preserve"> </w:t>
      </w:r>
      <w:r w:rsidR="0049270D">
        <w:rPr>
          <w:rFonts w:ascii="Calibri" w:hAnsi="Calibri" w:cs="Calibri"/>
          <w:lang w:eastAsia="ko-KR"/>
        </w:rPr>
        <w:t xml:space="preserve">rate </w:t>
      </w:r>
      <w:r>
        <w:rPr>
          <w:rFonts w:ascii="Calibri" w:hAnsi="Calibri" w:cs="Calibri"/>
          <w:lang w:eastAsia="ko-KR"/>
        </w:rPr>
        <w:t>difference?</w:t>
      </w:r>
    </w:p>
    <w:p w14:paraId="22CD96B7" w14:textId="05ADD64C" w:rsidR="008D3D46" w:rsidRDefault="008D3D46" w:rsidP="008D3D46">
      <w:pPr>
        <w:rPr>
          <w:rFonts w:ascii="Calibri" w:hAnsi="Calibri" w:cs="Calibri"/>
          <w:lang w:eastAsia="ko-KR"/>
        </w:rPr>
      </w:pPr>
      <w:r>
        <w:rPr>
          <w:rFonts w:ascii="Calibri" w:hAnsi="Calibri" w:cs="Calibri" w:hint="eastAsia"/>
          <w:lang w:eastAsia="ko-KR"/>
        </w:rPr>
        <w:t>S</w:t>
      </w:r>
      <w:r>
        <w:rPr>
          <w:rFonts w:ascii="Calibri" w:hAnsi="Calibri" w:cs="Calibri"/>
          <w:lang w:eastAsia="ko-KR"/>
        </w:rPr>
        <w:t>econdary objectives:</w:t>
      </w:r>
    </w:p>
    <w:p w14:paraId="49922A39" w14:textId="2C3B0809" w:rsidR="008D3D46" w:rsidRDefault="008D3D46" w:rsidP="006D3346">
      <w:pPr>
        <w:pStyle w:val="ListParagraph"/>
        <w:numPr>
          <w:ilvl w:val="0"/>
          <w:numId w:val="6"/>
        </w:numPr>
        <w:rPr>
          <w:rFonts w:ascii="Calibri" w:hAnsi="Calibri" w:cs="Calibri"/>
          <w:lang w:eastAsia="ko-KR"/>
        </w:rPr>
      </w:pPr>
      <w:r w:rsidRPr="008D3D46">
        <w:rPr>
          <w:rFonts w:ascii="Calibri" w:hAnsi="Calibri" w:cs="Calibri"/>
          <w:lang w:eastAsia="ko-KR"/>
        </w:rPr>
        <w:t>Is</w:t>
      </w:r>
      <w:r>
        <w:rPr>
          <w:rFonts w:ascii="Calibri" w:hAnsi="Calibri" w:cs="Calibri"/>
          <w:lang w:eastAsia="ko-KR"/>
        </w:rPr>
        <w:t xml:space="preserve"> </w:t>
      </w:r>
      <w:r w:rsidRPr="008D3D46">
        <w:rPr>
          <w:rFonts w:ascii="Calibri" w:hAnsi="Calibri" w:cs="Calibri"/>
          <w:lang w:eastAsia="ko-KR"/>
        </w:rPr>
        <w:t xml:space="preserve">febuxostat associated with increased risk of </w:t>
      </w:r>
      <w:r>
        <w:rPr>
          <w:rFonts w:ascii="Calibri" w:hAnsi="Calibri" w:cs="Calibri"/>
          <w:lang w:eastAsia="ko-KR"/>
        </w:rPr>
        <w:t xml:space="preserve">cardiovascular disease compared to febuxostat in real-world practice? </w:t>
      </w:r>
      <w:r w:rsidR="0049270D">
        <w:rPr>
          <w:rFonts w:ascii="Calibri" w:hAnsi="Calibri" w:cs="Calibri"/>
          <w:lang w:eastAsia="ko-KR"/>
        </w:rPr>
        <w:t>What is the event rate difference?</w:t>
      </w:r>
    </w:p>
    <w:p w14:paraId="787542FD" w14:textId="513DDC28" w:rsidR="008D3D46" w:rsidRPr="008D3D46" w:rsidRDefault="008D3D46" w:rsidP="006D3346">
      <w:pPr>
        <w:pStyle w:val="ListParagraph"/>
        <w:numPr>
          <w:ilvl w:val="0"/>
          <w:numId w:val="6"/>
        </w:numPr>
        <w:rPr>
          <w:rFonts w:ascii="Calibri" w:hAnsi="Calibri" w:cs="Calibri"/>
          <w:lang w:eastAsia="ko-KR"/>
        </w:rPr>
      </w:pPr>
      <w:r w:rsidRPr="008D3D46">
        <w:rPr>
          <w:rFonts w:ascii="Calibri" w:hAnsi="Calibri" w:cs="Calibri"/>
          <w:lang w:eastAsia="ko-KR"/>
        </w:rPr>
        <w:t>Is</w:t>
      </w:r>
      <w:r>
        <w:rPr>
          <w:rFonts w:ascii="Calibri" w:hAnsi="Calibri" w:cs="Calibri"/>
          <w:lang w:eastAsia="ko-KR"/>
        </w:rPr>
        <w:t xml:space="preserve"> </w:t>
      </w:r>
      <w:r w:rsidRPr="008D3D46">
        <w:rPr>
          <w:rFonts w:ascii="Calibri" w:hAnsi="Calibri" w:cs="Calibri"/>
          <w:lang w:eastAsia="ko-KR"/>
        </w:rPr>
        <w:t xml:space="preserve">febuxostat associated with increased risk of </w:t>
      </w:r>
      <w:r>
        <w:rPr>
          <w:rFonts w:ascii="Calibri" w:hAnsi="Calibri" w:cs="Calibri"/>
          <w:lang w:eastAsia="ko-KR"/>
        </w:rPr>
        <w:t xml:space="preserve">gout flare compared to febuxostat in real-world practice? </w:t>
      </w:r>
      <w:r w:rsidR="0049270D">
        <w:rPr>
          <w:rFonts w:ascii="Calibri" w:hAnsi="Calibri" w:cs="Calibri"/>
          <w:lang w:eastAsia="ko-KR"/>
        </w:rPr>
        <w:t>What is the event rate difference?</w:t>
      </w:r>
    </w:p>
    <w:p w14:paraId="29892FC1" w14:textId="65B76CE9" w:rsidR="00CF681F" w:rsidRDefault="008D3D46" w:rsidP="006D3346">
      <w:pPr>
        <w:pStyle w:val="ListParagraph"/>
        <w:numPr>
          <w:ilvl w:val="0"/>
          <w:numId w:val="6"/>
        </w:numPr>
        <w:rPr>
          <w:rFonts w:ascii="Calibri" w:hAnsi="Calibri" w:cs="Calibri"/>
        </w:rPr>
      </w:pPr>
      <w:r w:rsidRPr="0049270D">
        <w:rPr>
          <w:rFonts w:ascii="Calibri" w:hAnsi="Calibri" w:cs="Calibri"/>
          <w:lang w:eastAsia="ko-KR"/>
        </w:rPr>
        <w:t xml:space="preserve">Is febuxostat associated with lower risk of drug hypersensitivity compared to febuxostat in real-world practice? </w:t>
      </w:r>
      <w:r w:rsidR="0049270D">
        <w:rPr>
          <w:rFonts w:ascii="Calibri" w:hAnsi="Calibri" w:cs="Calibri"/>
          <w:lang w:eastAsia="ko-KR"/>
        </w:rPr>
        <w:t>What is the event rate difference?</w:t>
      </w:r>
    </w:p>
    <w:p w14:paraId="48DA1BC2" w14:textId="77777777" w:rsidR="0049270D" w:rsidRPr="0049270D" w:rsidRDefault="0049270D" w:rsidP="0049270D">
      <w:pPr>
        <w:pStyle w:val="ListParagraph"/>
        <w:ind w:left="760"/>
        <w:rPr>
          <w:rFonts w:ascii="Calibri" w:hAnsi="Calibri" w:cs="Calibri"/>
        </w:rPr>
      </w:pPr>
    </w:p>
    <w:p w14:paraId="3341FDCD" w14:textId="577A0E0E" w:rsidR="0009249C" w:rsidRDefault="0009249C" w:rsidP="0009249C">
      <w:pPr>
        <w:pStyle w:val="Heading2"/>
      </w:pPr>
      <w:bookmarkStart w:id="7" w:name="_Toc470944208"/>
      <w:r>
        <w:t>Objectives</w:t>
      </w:r>
      <w:bookmarkEnd w:id="7"/>
    </w:p>
    <w:p w14:paraId="7CE32721" w14:textId="7E6E906B" w:rsidR="00F05D4D" w:rsidRDefault="00F05D4D" w:rsidP="008D3D46">
      <w:pPr>
        <w:rPr>
          <w:rFonts w:ascii="Calibri" w:hAnsi="Calibri" w:cs="Calibri"/>
        </w:rPr>
      </w:pPr>
      <w:r w:rsidRPr="0083135A">
        <w:rPr>
          <w:rFonts w:ascii="Calibri" w:hAnsi="Calibri" w:cs="Calibri"/>
        </w:rPr>
        <w:t xml:space="preserve">The 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proofErr w:type="spellStart"/>
      <w:r w:rsidR="009955E4">
        <w:rPr>
          <w:rFonts w:ascii="Calibri" w:hAnsi="Calibri" w:cs="Calibri"/>
        </w:rPr>
        <w:t>clopidogrel</w:t>
      </w:r>
      <w:proofErr w:type="spellEnd"/>
      <w:r w:rsidR="009955E4">
        <w:rPr>
          <w:rFonts w:ascii="Calibri" w:hAnsi="Calibri" w:cs="Calibri"/>
        </w:rPr>
        <w:t xml:space="preserve"> in patients with acute coronary syndrome through OHDSI network</w:t>
      </w:r>
      <w:r w:rsidR="008D3D46">
        <w:rPr>
          <w:rFonts w:ascii="Calibri" w:hAnsi="Calibri" w:cs="Calibri"/>
        </w:rPr>
        <w:t>.</w:t>
      </w:r>
    </w:p>
    <w:p w14:paraId="6408F186" w14:textId="77777777" w:rsidR="008D3D46" w:rsidRDefault="008D3D46" w:rsidP="008D3D46">
      <w:pPr>
        <w:rPr>
          <w:rFonts w:ascii="Calibri" w:hAnsi="Calibri" w:cs="Calibri"/>
        </w:rPr>
      </w:pPr>
    </w:p>
    <w:p w14:paraId="2C0AA123" w14:textId="0874EA71" w:rsidR="008D3D46" w:rsidRDefault="008D3D46" w:rsidP="008D3D46">
      <w:pPr>
        <w:rPr>
          <w:rFonts w:ascii="Calibri" w:hAnsi="Calibri" w:cs="Calibri"/>
          <w:lang w:eastAsia="ko-KR"/>
        </w:rPr>
      </w:pPr>
      <w:r w:rsidRPr="00706740">
        <w:rPr>
          <w:rFonts w:ascii="Calibri" w:hAnsi="Calibri" w:cs="Calibri" w:hint="eastAsia"/>
          <w:b/>
          <w:lang w:eastAsia="ko-KR"/>
        </w:rPr>
        <w:t>P</w:t>
      </w:r>
      <w:r w:rsidRPr="00706740">
        <w:rPr>
          <w:rFonts w:ascii="Calibri" w:hAnsi="Calibri" w:cs="Calibri"/>
          <w:b/>
          <w:lang w:eastAsia="ko-KR"/>
        </w:rPr>
        <w:t>rimary objective</w:t>
      </w:r>
      <w:r>
        <w:rPr>
          <w:rFonts w:ascii="Calibri" w:hAnsi="Calibri" w:cs="Calibri"/>
          <w:lang w:eastAsia="ko-KR"/>
        </w:rPr>
        <w:t>:</w:t>
      </w:r>
    </w:p>
    <w:p w14:paraId="66B2BE5E" w14:textId="51B3D9EA" w:rsidR="008D3D46" w:rsidRDefault="008D3D46" w:rsidP="008D3D46">
      <w:pPr>
        <w:rPr>
          <w:rFonts w:ascii="Calibri" w:hAnsi="Calibri" w:cs="Calibri"/>
          <w:lang w:eastAsia="ko-KR"/>
        </w:rPr>
      </w:pPr>
      <w:r>
        <w:rPr>
          <w:rFonts w:ascii="Calibri" w:hAnsi="Calibri" w:cs="Calibri"/>
          <w:lang w:eastAsia="ko-KR"/>
        </w:rPr>
        <w:tab/>
        <w:t xml:space="preserve">-Assess the adjusted hazard ratio for use of </w:t>
      </w:r>
      <w:r w:rsidR="002B6846">
        <w:rPr>
          <w:rFonts w:ascii="Calibri" w:hAnsi="Calibri" w:cs="Calibri"/>
          <w:lang w:eastAsia="ko-KR"/>
        </w:rPr>
        <w:t>ticagrelor</w:t>
      </w:r>
      <w:r>
        <w:rPr>
          <w:rFonts w:ascii="Calibri" w:hAnsi="Calibri" w:cs="Calibri"/>
          <w:lang w:eastAsia="ko-KR"/>
        </w:rPr>
        <w:t xml:space="preserve"> vs </w:t>
      </w:r>
      <w:proofErr w:type="spellStart"/>
      <w:r w:rsidR="002B6846">
        <w:rPr>
          <w:rFonts w:ascii="Calibri" w:hAnsi="Calibri" w:cs="Calibri"/>
          <w:lang w:eastAsia="ko-KR"/>
        </w:rPr>
        <w:t>clopidogrel</w:t>
      </w:r>
      <w:proofErr w:type="spellEnd"/>
      <w:r>
        <w:rPr>
          <w:rFonts w:ascii="Calibri" w:hAnsi="Calibri" w:cs="Calibri"/>
          <w:lang w:eastAsia="ko-KR"/>
        </w:rPr>
        <w:t xml:space="preserve"> on </w:t>
      </w:r>
      <w:r w:rsidR="002B6846">
        <w:rPr>
          <w:rFonts w:ascii="Calibri" w:hAnsi="Calibri" w:cs="Calibri"/>
          <w:lang w:eastAsia="ko-KR"/>
        </w:rPr>
        <w:t>net adverse clinical event (NACE)</w:t>
      </w:r>
      <w:r w:rsidR="00DA11C4">
        <w:rPr>
          <w:rFonts w:ascii="Calibri" w:hAnsi="Calibri" w:cs="Calibri"/>
          <w:lang w:eastAsia="ko-KR"/>
        </w:rPr>
        <w:t xml:space="preserve"> which composed of recurrent myocardial infarction, any revascularization, ischemic stroke, and major bleeding</w:t>
      </w:r>
    </w:p>
    <w:p w14:paraId="58E6319A" w14:textId="59F433D2" w:rsidR="008D3D46" w:rsidRDefault="008D3D46" w:rsidP="008D3D46">
      <w:pPr>
        <w:rPr>
          <w:rFonts w:ascii="Calibri" w:hAnsi="Calibri" w:cs="Calibri"/>
          <w:lang w:eastAsia="ko-KR"/>
        </w:rPr>
      </w:pPr>
      <w:r w:rsidRPr="00706740">
        <w:rPr>
          <w:rFonts w:ascii="Calibri" w:hAnsi="Calibri" w:cs="Calibri"/>
          <w:b/>
          <w:lang w:eastAsia="ko-KR"/>
        </w:rPr>
        <w:t>Secondary objectives</w:t>
      </w:r>
      <w:r>
        <w:rPr>
          <w:rFonts w:ascii="Calibri" w:hAnsi="Calibri" w:cs="Calibri"/>
          <w:lang w:eastAsia="ko-KR"/>
        </w:rPr>
        <w:t>:</w:t>
      </w:r>
    </w:p>
    <w:p w14:paraId="407EBB5A" w14:textId="0D34F6F2" w:rsidR="008D3D46" w:rsidRDefault="0049270D" w:rsidP="008D3D46">
      <w:pPr>
        <w:rPr>
          <w:rFonts w:ascii="Calibri" w:hAnsi="Calibri" w:cs="Calibri"/>
          <w:lang w:eastAsia="ko-KR"/>
        </w:rPr>
      </w:pPr>
      <w:r>
        <w:rPr>
          <w:rFonts w:ascii="Calibri" w:hAnsi="Calibri" w:cs="Calibri"/>
          <w:lang w:eastAsia="ko-KR"/>
        </w:rPr>
        <w:tab/>
        <w:t xml:space="preserve">-Assess the adjusted hazard ratio for use of </w:t>
      </w:r>
      <w:r w:rsidR="00342A5C">
        <w:rPr>
          <w:rFonts w:ascii="Calibri" w:hAnsi="Calibri" w:cs="Calibri"/>
          <w:lang w:eastAsia="ko-KR"/>
        </w:rPr>
        <w:t>ticagrelor</w:t>
      </w:r>
      <w:r>
        <w:rPr>
          <w:rFonts w:ascii="Calibri" w:hAnsi="Calibri" w:cs="Calibri"/>
          <w:lang w:eastAsia="ko-KR"/>
        </w:rPr>
        <w:t xml:space="preserve"> vs </w:t>
      </w:r>
      <w:proofErr w:type="spellStart"/>
      <w:r w:rsidR="00342A5C">
        <w:rPr>
          <w:rFonts w:ascii="Calibri" w:hAnsi="Calibri" w:cs="Calibri"/>
          <w:lang w:eastAsia="ko-KR"/>
        </w:rPr>
        <w:t>clopidogrel</w:t>
      </w:r>
      <w:proofErr w:type="spellEnd"/>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60DAF660" w14:textId="1218DBF0" w:rsidR="00342A5C" w:rsidRDefault="00342A5C" w:rsidP="00342A5C">
      <w:pPr>
        <w:ind w:firstLine="720"/>
        <w:rPr>
          <w:rFonts w:ascii="Calibri" w:hAnsi="Calibri" w:cs="Calibri"/>
          <w:lang w:eastAsia="ko-KR"/>
        </w:rPr>
      </w:pPr>
      <w:r>
        <w:rPr>
          <w:rFonts w:ascii="Calibri" w:hAnsi="Calibri" w:cs="Calibri"/>
          <w:lang w:eastAsia="ko-KR"/>
        </w:rPr>
        <w:lastRenderedPageBreak/>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any revascularization: PCI or CABG</w:t>
      </w:r>
    </w:p>
    <w:p w14:paraId="45B41385" w14:textId="620CC62E"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ischemic stroke </w:t>
      </w:r>
    </w:p>
    <w:p w14:paraId="3B58AA53" w14:textId="3EC1981B"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sudden cardiac death </w:t>
      </w:r>
    </w:p>
    <w:p w14:paraId="2840045B" w14:textId="65BB64CF"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intracranial hemorrhage</w:t>
      </w:r>
    </w:p>
    <w:p w14:paraId="25165DBA" w14:textId="60F106F7"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GI bleeding </w:t>
      </w:r>
    </w:p>
    <w:p w14:paraId="30DAB096" w14:textId="66EB75F7"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ischemic event including recurrent MI, any revascularization, and ischemic stroke</w:t>
      </w:r>
    </w:p>
    <w:p w14:paraId="72197A84" w14:textId="71BED204" w:rsidR="00342A5C" w:rsidRPr="008D3D46"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major bleeding event including intracranial hemorrhage and GI bleeding</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8" w:name="_Toc470944209"/>
      <w:r>
        <w:t>Research me</w:t>
      </w:r>
      <w:r w:rsidR="00106CBC">
        <w:t>t</w:t>
      </w:r>
      <w:r>
        <w:t>hods</w:t>
      </w:r>
      <w:bookmarkEnd w:id="8"/>
    </w:p>
    <w:p w14:paraId="57891139" w14:textId="77777777" w:rsidR="00354C2C" w:rsidRDefault="00647841" w:rsidP="00647841">
      <w:pPr>
        <w:pStyle w:val="Heading2"/>
      </w:pPr>
      <w:bookmarkStart w:id="9" w:name="_Toc470944210"/>
      <w:r>
        <w:t xml:space="preserve">Study </w:t>
      </w:r>
      <w:r w:rsidR="00EF05FD">
        <w:t>D</w:t>
      </w:r>
      <w:r>
        <w:t>esign</w:t>
      </w:r>
      <w:bookmarkEnd w:id="9"/>
    </w:p>
    <w:p w14:paraId="4066A27B" w14:textId="77777777" w:rsidR="00FC47D9" w:rsidRPr="00FC47D9" w:rsidRDefault="00FC47D9" w:rsidP="00FC47D9">
      <w:pPr>
        <w:pStyle w:val="Heading3"/>
      </w:pPr>
      <w:bookmarkStart w:id="10" w:name="_Toc470944211"/>
      <w:r>
        <w:t>Overview</w:t>
      </w:r>
      <w:bookmarkEnd w:id="10"/>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7F81E532" w14:textId="01F2C3E6" w:rsidR="00396739" w:rsidRDefault="00396739" w:rsidP="00396739">
      <w:r>
        <w:t xml:space="preserve">The treatment cohort will be users of </w:t>
      </w:r>
      <w:r w:rsidR="002B6846">
        <w:t>ticagrelor</w:t>
      </w:r>
      <w:r>
        <w:t xml:space="preserve">. The comparator cohort will be users of </w:t>
      </w:r>
      <w:proofErr w:type="spellStart"/>
      <w:r w:rsidR="002B6846">
        <w:t>clopidogrel</w:t>
      </w:r>
      <w:proofErr w:type="spellEnd"/>
      <w:r>
        <w:t xml:space="preserve">. For both groups we restrict to people with </w:t>
      </w:r>
      <w:r w:rsidR="00342A5C">
        <w:t>acute coronary syndrome and underwent percutaneous coronary intervention (PCI)</w:t>
      </w:r>
      <w:r>
        <w:t xml:space="preserve">, one of the main indications for the drugs of interest. The primary outcome of is </w:t>
      </w:r>
      <w:r w:rsidR="00342A5C">
        <w:t>net adverse clinical event</w:t>
      </w:r>
      <w:r>
        <w:t xml:space="preserve">. Proportional hazard models will be used to assess the hazard ratios between the two exposure cohorts. </w:t>
      </w:r>
    </w:p>
    <w:p w14:paraId="01A27295" w14:textId="064E70F5" w:rsidR="00176A9A" w:rsidRPr="00CF681F" w:rsidRDefault="00396739" w:rsidP="005766BB">
      <w:r>
        <w:t>Adjustment for baseline confounders will be done using propensity scores. First, a propensity model will be fitted and used to create propensity scores (PS). These PS will be used to match the treatment and comparator cohorts, and the proportional hazards outcome models will be conditioned on the matched sets of strata respectively.</w:t>
      </w:r>
    </w:p>
    <w:p w14:paraId="32A29479" w14:textId="77777777" w:rsidR="00FC47D9" w:rsidRDefault="00FA320A" w:rsidP="00961DED">
      <w:pPr>
        <w:pStyle w:val="Heading3"/>
      </w:pPr>
      <w:bookmarkStart w:id="11" w:name="_Toc470944212"/>
      <w:r>
        <w:lastRenderedPageBreak/>
        <w:t xml:space="preserve">Study </w:t>
      </w:r>
      <w:r w:rsidR="00300ED7">
        <w:t>population</w:t>
      </w:r>
      <w:bookmarkEnd w:id="11"/>
    </w:p>
    <w:p w14:paraId="51E3E3DB" w14:textId="4B6BA99E" w:rsidR="00C34318" w:rsidRDefault="00C34318" w:rsidP="00C34318">
      <w:r>
        <w:t>All subjects in the database will be included who meet the following criteria: (note: the index date is the start of the first exposure to febuxostat or allopurinol)</w:t>
      </w:r>
    </w:p>
    <w:p w14:paraId="2EA92CD0" w14:textId="4C62F4A4" w:rsidR="00C34318" w:rsidRDefault="00C34318" w:rsidP="006D3346">
      <w:pPr>
        <w:pStyle w:val="ListParagraph"/>
        <w:numPr>
          <w:ilvl w:val="0"/>
          <w:numId w:val="4"/>
        </w:numPr>
      </w:pPr>
      <w:r>
        <w:t xml:space="preserve">Exposure to </w:t>
      </w:r>
      <w:r w:rsidR="00342A5C">
        <w:rPr>
          <w:lang w:eastAsia="ko-KR"/>
        </w:rPr>
        <w:t>ticagrelor</w:t>
      </w:r>
      <w:r>
        <w:t xml:space="preserve"> or </w:t>
      </w:r>
      <w:proofErr w:type="spellStart"/>
      <w:r w:rsidR="00342A5C">
        <w:t>clopidogrel</w:t>
      </w:r>
      <w:proofErr w:type="spellEnd"/>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3991EA8E" w14:textId="0ACB1C67" w:rsidR="00342A5C" w:rsidRDefault="00342A5C" w:rsidP="006D3346">
      <w:pPr>
        <w:pStyle w:val="ListParagraph"/>
        <w:numPr>
          <w:ilvl w:val="0"/>
          <w:numId w:val="4"/>
        </w:numPr>
      </w:pPr>
      <w:r>
        <w:t>A procedure of PCI between 7 days before and 7 days after the index date</w:t>
      </w:r>
    </w:p>
    <w:p w14:paraId="5F5B5BC3" w14:textId="3D86E370" w:rsidR="00C34318" w:rsidRDefault="00C34318" w:rsidP="006D3346">
      <w:pPr>
        <w:pStyle w:val="ListParagraph"/>
        <w:numPr>
          <w:ilvl w:val="0"/>
          <w:numId w:val="4"/>
        </w:numPr>
      </w:pPr>
      <w:r>
        <w:t xml:space="preserve">A diagnose of </w:t>
      </w:r>
      <w:r w:rsidR="00342A5C">
        <w:t>ACS</w:t>
      </w:r>
      <w:r>
        <w:t xml:space="preserve"> </w:t>
      </w:r>
      <w:r w:rsidR="00342A5C">
        <w:t>between 7 days before and 7 days after the index date</w:t>
      </w:r>
    </w:p>
    <w:p w14:paraId="7AD019E6" w14:textId="7397C3D8" w:rsidR="00342A5C" w:rsidRDefault="00342A5C" w:rsidP="006D3346">
      <w:pPr>
        <w:pStyle w:val="ListParagraph"/>
        <w:numPr>
          <w:ilvl w:val="0"/>
          <w:numId w:val="4"/>
        </w:numPr>
      </w:pPr>
      <w:r>
        <w:t>Concomitant aspirin use between 7 days before and 7 days after the index date</w:t>
      </w:r>
    </w:p>
    <w:p w14:paraId="20413260" w14:textId="43543C10" w:rsidR="00342A5C" w:rsidRDefault="00342A5C" w:rsidP="006D3346">
      <w:pPr>
        <w:pStyle w:val="ListParagraph"/>
        <w:numPr>
          <w:ilvl w:val="0"/>
          <w:numId w:val="4"/>
        </w:numPr>
      </w:pPr>
      <w:r>
        <w:t xml:space="preserve">Without use of prasugrel or the </w:t>
      </w:r>
      <w:r>
        <w:rPr>
          <w:lang w:eastAsia="ko-KR"/>
        </w:rPr>
        <w:t>opposing drug within previous 30 days from index date</w:t>
      </w:r>
    </w:p>
    <w:p w14:paraId="1A5DBD08" w14:textId="432BD06C" w:rsidR="00A65697" w:rsidRDefault="00A65697" w:rsidP="006D3346">
      <w:pPr>
        <w:pStyle w:val="ListParagraph"/>
        <w:numPr>
          <w:ilvl w:val="0"/>
          <w:numId w:val="4"/>
        </w:numPr>
      </w:pPr>
      <w:r>
        <w:rPr>
          <w:rFonts w:hint="eastAsia"/>
          <w:lang w:eastAsia="ko-KR"/>
        </w:rPr>
        <w:t>N</w:t>
      </w:r>
      <w:r>
        <w:rPr>
          <w:lang w:eastAsia="ko-KR"/>
        </w:rPr>
        <w:t xml:space="preserve">o diagnosis of the </w:t>
      </w:r>
      <w:r w:rsidR="00342A5C">
        <w:rPr>
          <w:lang w:eastAsia="ko-KR"/>
        </w:rPr>
        <w:t>stroke</w:t>
      </w:r>
      <w:r>
        <w:rPr>
          <w:lang w:eastAsia="ko-KR"/>
        </w:rPr>
        <w:t xml:space="preserve"> preceding the index date</w:t>
      </w:r>
    </w:p>
    <w:p w14:paraId="02E7991D" w14:textId="1DA2568A" w:rsidR="00342A5C" w:rsidRDefault="00342A5C" w:rsidP="006D3346">
      <w:pPr>
        <w:pStyle w:val="ListParagraph"/>
        <w:numPr>
          <w:ilvl w:val="0"/>
          <w:numId w:val="4"/>
        </w:numPr>
      </w:pPr>
      <w:r>
        <w:rPr>
          <w:rFonts w:hint="eastAsia"/>
          <w:lang w:eastAsia="ko-KR"/>
        </w:rPr>
        <w:t>N</w:t>
      </w:r>
      <w:r>
        <w:rPr>
          <w:lang w:eastAsia="ko-KR"/>
        </w:rPr>
        <w:t>o diagnosis of the GI bleeding preceding the index date</w:t>
      </w:r>
    </w:p>
    <w:p w14:paraId="4D96C075" w14:textId="77777777" w:rsidR="00BE5778" w:rsidRDefault="00BE5778" w:rsidP="00BE5778"/>
    <w:p w14:paraId="62014562" w14:textId="77777777" w:rsidR="00300ED7" w:rsidRPr="00300ED7" w:rsidRDefault="00300ED7" w:rsidP="00300ED7">
      <w:pPr>
        <w:pStyle w:val="Heading3"/>
      </w:pPr>
      <w:bookmarkStart w:id="12" w:name="_Toc470944213"/>
      <w:r>
        <w:t>Additional analysis details</w:t>
      </w:r>
      <w:bookmarkEnd w:id="12"/>
    </w:p>
    <w:p w14:paraId="65CFABF9" w14:textId="77777777" w:rsidR="0071403A" w:rsidRPr="00431DA7" w:rsidRDefault="00A9089F" w:rsidP="0071403A">
      <w:r w:rsidRPr="00431DA7">
        <w:t>The propensity model will be fitted using a regularized logistic regression</w:t>
      </w:r>
      <w:r w:rsidR="001075FA" w:rsidRPr="00431DA7">
        <w:t xml:space="preserve"> with a </w:t>
      </w:r>
      <w:proofErr w:type="spellStart"/>
      <w:r w:rsidR="001075FA" w:rsidRPr="00431DA7">
        <w:t>LaPlace</w:t>
      </w:r>
      <w:proofErr w:type="spellEnd"/>
      <w:r w:rsidR="001075FA" w:rsidRPr="00431DA7">
        <w:t xml:space="preserve"> prior</w:t>
      </w:r>
      <w:r w:rsidRPr="00431DA7">
        <w:t xml:space="preserve">. The </w:t>
      </w:r>
      <w:r w:rsidR="00F610C6" w:rsidRPr="00431DA7">
        <w:t xml:space="preserve">regularization </w:t>
      </w:r>
      <w:r w:rsidRPr="00431DA7">
        <w:t xml:space="preserve">hyperparameter will be </w:t>
      </w:r>
      <w:r w:rsidR="001075FA" w:rsidRPr="00431DA7">
        <w:t xml:space="preserve">selected </w:t>
      </w:r>
      <w:r w:rsidR="001A4A28" w:rsidRPr="00431DA7">
        <w:t xml:space="preserve">by optimizing the likelihood in a </w:t>
      </w:r>
      <w:r w:rsidR="001075FA" w:rsidRPr="00431DA7">
        <w:t xml:space="preserve">10-fold cross-validation. </w:t>
      </w:r>
    </w:p>
    <w:p w14:paraId="210C257E" w14:textId="72555E8E" w:rsidR="0049270D" w:rsidRDefault="00BE73A5" w:rsidP="0049270D">
      <w:r w:rsidRPr="00431DA7">
        <w:t>Variable-ratio propensity score matching will be performed using greedy matching</w:t>
      </w:r>
      <w:r w:rsidR="00364646" w:rsidRPr="00364646">
        <w:rPr>
          <w:rFonts w:ascii="Calibri" w:hAnsi="Calibri" w:cs="Calibri"/>
          <w:szCs w:val="24"/>
          <w:vertAlign w:val="superscript"/>
        </w:rPr>
        <w:t>3</w:t>
      </w:r>
      <w:r w:rsidR="009D4796" w:rsidRPr="00431DA7">
        <w:t>.</w:t>
      </w:r>
      <w:r w:rsidR="00EF3BDA" w:rsidRPr="00431DA7">
        <w:t xml:space="preserve"> A caliper of 0.25 </w:t>
      </w:r>
      <w:r w:rsidR="007F6A8B" w:rsidRPr="00431DA7">
        <w:t>times the standard deviation of the propensity score distribution</w:t>
      </w:r>
      <w:r w:rsidR="00912EC1" w:rsidRPr="00431DA7">
        <w:t xml:space="preserve"> will be used</w:t>
      </w:r>
      <w:r w:rsidR="007F6A8B" w:rsidRPr="00431DA7">
        <w:t>.</w:t>
      </w:r>
      <w:r w:rsidR="0049270D">
        <w:t xml:space="preserve"> The outcome model will be fitted using a Cox regression conditioned on the matched sets, with only the treatment variable as predictor.</w:t>
      </w:r>
    </w:p>
    <w:p w14:paraId="46860703" w14:textId="6A070965" w:rsidR="001075FA" w:rsidRPr="0071403A" w:rsidRDefault="001075FA" w:rsidP="0071403A"/>
    <w:p w14:paraId="1EC7D755" w14:textId="77777777" w:rsidR="00A431E4" w:rsidRPr="00A431E4" w:rsidRDefault="00CD4EAF" w:rsidP="00A431E4">
      <w:pPr>
        <w:pStyle w:val="Heading3"/>
      </w:pPr>
      <w:bookmarkStart w:id="13" w:name="_Toc470944214"/>
      <w:r>
        <w:t>A</w:t>
      </w:r>
      <w:r w:rsidR="00A431E4">
        <w:t>nalysis variations</w:t>
      </w:r>
      <w:bookmarkEnd w:id="13"/>
    </w:p>
    <w:p w14:paraId="3FDD4EF1" w14:textId="77777777" w:rsidR="0049270D" w:rsidRDefault="0049270D" w:rsidP="0049270D">
      <w:r>
        <w:t>The following variations of the analysis will be performed:</w:t>
      </w:r>
    </w:p>
    <w:p w14:paraId="282A5496" w14:textId="77777777" w:rsidR="0049270D" w:rsidRDefault="0049270D" w:rsidP="0049270D">
      <w:r>
        <w:t xml:space="preserve">Primary analysis: </w:t>
      </w:r>
    </w:p>
    <w:p w14:paraId="02703779" w14:textId="44579F77" w:rsidR="00251097" w:rsidRDefault="00251097" w:rsidP="006D3346">
      <w:pPr>
        <w:pStyle w:val="ListParagraph"/>
        <w:numPr>
          <w:ilvl w:val="0"/>
          <w:numId w:val="3"/>
        </w:numPr>
      </w:pPr>
      <w:r>
        <w:t xml:space="preserve">Using a PS model and perform 1-on-1 matching. The outcome model will be condition on the matched </w:t>
      </w:r>
      <w:proofErr w:type="gramStart"/>
      <w:r>
        <w:t>sets, but</w:t>
      </w:r>
      <w:proofErr w:type="gramEnd"/>
      <w:r>
        <w:t xml:space="preserve"> will only contain the treatment as predictor. This is included to allow plotting of the Kaplan-Meier curve, which is not possible when using variable ratio matching.</w:t>
      </w:r>
    </w:p>
    <w:p w14:paraId="708D80D4" w14:textId="31BD0584" w:rsidR="00251097" w:rsidRDefault="00251097" w:rsidP="006D3346">
      <w:pPr>
        <w:pStyle w:val="ListParagraph"/>
        <w:numPr>
          <w:ilvl w:val="0"/>
          <w:numId w:val="3"/>
        </w:numPr>
      </w:pPr>
      <w:r>
        <w:t>The outcome at one-year from the index year will be evaluated</w:t>
      </w:r>
    </w:p>
    <w:p w14:paraId="2631D9E5" w14:textId="77777777" w:rsidR="0049270D" w:rsidRDefault="0049270D" w:rsidP="0049270D">
      <w:r>
        <w:t xml:space="preserve">Secondary analyses: </w:t>
      </w:r>
    </w:p>
    <w:p w14:paraId="6180F218" w14:textId="12EBA3BE" w:rsidR="0049270D" w:rsidRDefault="0049270D" w:rsidP="006D3346">
      <w:pPr>
        <w:pStyle w:val="ListParagraph"/>
        <w:numPr>
          <w:ilvl w:val="0"/>
          <w:numId w:val="3"/>
        </w:numPr>
      </w:pPr>
      <w:r>
        <w:t>No PS model, a simple outcome model with only the treatment as predictor.</w:t>
      </w:r>
    </w:p>
    <w:p w14:paraId="05B78E83" w14:textId="5EDF3B63" w:rsidR="00251097" w:rsidRDefault="00251097" w:rsidP="006D3346">
      <w:pPr>
        <w:pStyle w:val="ListParagraph"/>
        <w:numPr>
          <w:ilvl w:val="0"/>
          <w:numId w:val="3"/>
        </w:numPr>
      </w:pPr>
      <w:r>
        <w:t>Using a PS model to match treated and comparator. The outcome model will be condition on the matched sets.</w:t>
      </w:r>
    </w:p>
    <w:p w14:paraId="34F63B81" w14:textId="6ABD225F" w:rsidR="00251097" w:rsidRDefault="00251097" w:rsidP="006D3346">
      <w:pPr>
        <w:pStyle w:val="ListParagraph"/>
        <w:numPr>
          <w:ilvl w:val="0"/>
          <w:numId w:val="3"/>
        </w:numPr>
      </w:pPr>
      <w:r>
        <w:t xml:space="preserve">All analyses will be repeated using an on-treatment + </w:t>
      </w:r>
      <w:proofErr w:type="gramStart"/>
      <w:r>
        <w:t>7 day</w:t>
      </w:r>
      <w:proofErr w:type="gramEnd"/>
      <w:r>
        <w:t xml:space="preserve"> risk window definition, which starts on treatment initiation, and ends 7 days after when treatment ends.</w:t>
      </w:r>
    </w:p>
    <w:p w14:paraId="63EF17B7" w14:textId="530FD3CB" w:rsidR="00251097" w:rsidRDefault="00251097" w:rsidP="006D3346">
      <w:pPr>
        <w:pStyle w:val="ListParagraph"/>
        <w:numPr>
          <w:ilvl w:val="0"/>
          <w:numId w:val="3"/>
        </w:numPr>
      </w:pPr>
      <w:r>
        <w:lastRenderedPageBreak/>
        <w:t>All analyses will be repeated using an on-treatment risk window definition, which starts on treatment initiation, and ends when treatment ends.</w:t>
      </w:r>
    </w:p>
    <w:p w14:paraId="4F1AC610" w14:textId="77777777" w:rsidR="00647841" w:rsidRDefault="00647841" w:rsidP="00647841">
      <w:pPr>
        <w:pStyle w:val="Heading2"/>
      </w:pPr>
      <w:bookmarkStart w:id="14" w:name="_Toc470944215"/>
      <w:r>
        <w:t>Variables</w:t>
      </w:r>
      <w:bookmarkEnd w:id="14"/>
    </w:p>
    <w:p w14:paraId="512D355E" w14:textId="77777777" w:rsidR="00647841" w:rsidRDefault="00647841" w:rsidP="00647841">
      <w:pPr>
        <w:pStyle w:val="Heading3"/>
      </w:pPr>
      <w:bookmarkStart w:id="15" w:name="_Toc470944216"/>
      <w:r>
        <w:t>Exposures</w:t>
      </w:r>
      <w:bookmarkEnd w:id="15"/>
    </w:p>
    <w:p w14:paraId="4E654405" w14:textId="006679EC" w:rsidR="00EA5E71" w:rsidRDefault="00251097" w:rsidP="00EA5E71">
      <w:pPr>
        <w:pStyle w:val="Heading4"/>
        <w:numPr>
          <w:ilvl w:val="0"/>
          <w:numId w:val="0"/>
        </w:numPr>
      </w:pPr>
      <w:r>
        <w:t>Ticagrelor</w:t>
      </w:r>
    </w:p>
    <w:p w14:paraId="3A102256"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18021D74"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2430A74F" w14:textId="5AD2CEB2" w:rsidR="00251097" w:rsidRPr="00251097" w:rsidRDefault="00251097" w:rsidP="006D334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ticagrelor</w:t>
      </w:r>
    </w:p>
    <w:p w14:paraId="798F5611" w14:textId="77777777" w:rsidR="00251097" w:rsidRPr="00251097" w:rsidRDefault="00251097" w:rsidP="006D3346">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0AE5B84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continuous observation of at least 365 days prior and 0 days after event index date, and limit initial events to: </w:t>
      </w:r>
      <w:r w:rsidRPr="00251097">
        <w:rPr>
          <w:rFonts w:ascii="Segoe UI" w:eastAsia="Times New Roman" w:hAnsi="Segoe UI" w:cs="Segoe UI"/>
          <w:b/>
          <w:bCs/>
          <w:color w:val="333333"/>
          <w:sz w:val="18"/>
          <w:szCs w:val="18"/>
          <w:lang w:eastAsia="ko-KR"/>
        </w:rPr>
        <w:t>earliest event per person.</w:t>
      </w:r>
    </w:p>
    <w:p w14:paraId="29DA1C49"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p>
    <w:p w14:paraId="2F7BD65E"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3CDB905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E3C47CB" w14:textId="64507B86" w:rsidR="00251097" w:rsidRPr="00251097" w:rsidRDefault="00251097" w:rsidP="006D334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procedure of PCI</w:t>
      </w:r>
    </w:p>
    <w:p w14:paraId="799B24D0"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FE0393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6800FF20"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09485548"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36FC58CA"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9E7089D" w14:textId="7E9F9CFE" w:rsidR="00251097" w:rsidRPr="00251097" w:rsidRDefault="00251097" w:rsidP="006D334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condition occurrence of ACS</w:t>
      </w:r>
    </w:p>
    <w:p w14:paraId="7F42309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294F34F3"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7F77E604"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5C02DCD" w14:textId="4C56A9E5" w:rsidR="00251097" w:rsidRPr="00251097" w:rsidRDefault="00251097" w:rsidP="006D334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drug exposure of aspirin</w:t>
      </w:r>
    </w:p>
    <w:p w14:paraId="28A9DF2D"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17E382B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proofErr w:type="spellStart"/>
      <w:r w:rsidRPr="00251097">
        <w:rPr>
          <w:rFonts w:ascii="Segoe UI" w:eastAsia="Times New Roman" w:hAnsi="Segoe UI" w:cs="Segoe UI"/>
          <w:color w:val="333333"/>
          <w:sz w:val="18"/>
          <w:szCs w:val="18"/>
          <w:lang w:eastAsia="ko-KR"/>
        </w:rPr>
        <w:t>clopidogrel</w:t>
      </w:r>
      <w:proofErr w:type="spellEnd"/>
      <w:r w:rsidRPr="00251097">
        <w:rPr>
          <w:rFonts w:ascii="Segoe UI" w:eastAsia="Times New Roman" w:hAnsi="Segoe UI" w:cs="Segoe UI"/>
          <w:color w:val="333333"/>
          <w:sz w:val="18"/>
          <w:szCs w:val="18"/>
          <w:lang w:eastAsia="ko-KR"/>
        </w:rPr>
        <w:t xml:space="preserve"> or prasugrel on the day of PCI</w:t>
      </w:r>
    </w:p>
    <w:p w14:paraId="0E195C67"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DFA9350" w14:textId="33C08624"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proofErr w:type="spellStart"/>
      <w:r w:rsidRPr="00251097">
        <w:rPr>
          <w:rFonts w:ascii="Segoe UI" w:eastAsia="Times New Roman" w:hAnsi="Segoe UI" w:cs="Segoe UI"/>
          <w:color w:val="333333"/>
          <w:sz w:val="18"/>
          <w:szCs w:val="18"/>
          <w:lang w:eastAsia="ko-KR"/>
        </w:rPr>
        <w:t>clopidogrel</w:t>
      </w:r>
      <w:proofErr w:type="spellEnd"/>
    </w:p>
    <w:p w14:paraId="10F2513C"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3B23374D" w14:textId="6404F196"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510D49E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where event starts between 30 days Before and 0 days After index start date</w:t>
      </w:r>
    </w:p>
    <w:p w14:paraId="05D9275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76C626B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2AC72D18" w14:textId="2CB4F111"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3619AEA3"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124D708B" w14:textId="3490F065"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FE3495B"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0D81FF2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4F254B03"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64BB8A81" w14:textId="376316A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09BD5D9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0BC44D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11A8F36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198E51F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03EC511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BF0CF8E" w14:textId="74D3CDBF"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ticagrelor</w:t>
      </w:r>
    </w:p>
    <w:p w14:paraId="00574465"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2EE786F2"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3C0481C8" w14:textId="14F1F0AC" w:rsidR="0049270D" w:rsidRDefault="00251097" w:rsidP="00251097">
      <w:pPr>
        <w:pStyle w:val="Heading4"/>
        <w:numPr>
          <w:ilvl w:val="0"/>
          <w:numId w:val="0"/>
        </w:numPr>
      </w:pPr>
      <w:proofErr w:type="spellStart"/>
      <w:r>
        <w:t>Clopidogrel</w:t>
      </w:r>
      <w:proofErr w:type="spellEnd"/>
    </w:p>
    <w:p w14:paraId="6C489672"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bookmarkStart w:id="16" w:name="_Toc470944217"/>
      <w:r w:rsidRPr="00251097">
        <w:rPr>
          <w:rFonts w:ascii="Segoe UI" w:eastAsia="Times New Roman" w:hAnsi="Segoe UI" w:cs="Segoe UI"/>
          <w:color w:val="000000"/>
          <w:sz w:val="21"/>
          <w:szCs w:val="21"/>
          <w:lang w:eastAsia="ko-KR"/>
        </w:rPr>
        <w:t>Initial Event Cohort</w:t>
      </w:r>
    </w:p>
    <w:p w14:paraId="37C08455"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6FA18086" w14:textId="378107C6" w:rsidR="00251097" w:rsidRPr="00251097" w:rsidRDefault="00251097" w:rsidP="006D334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w:t>
      </w:r>
      <w:proofErr w:type="spellStart"/>
      <w:r>
        <w:rPr>
          <w:rFonts w:ascii="Segoe UI" w:eastAsia="Times New Roman" w:hAnsi="Segoe UI" w:cs="Segoe UI"/>
          <w:color w:val="333333"/>
          <w:sz w:val="18"/>
          <w:szCs w:val="18"/>
          <w:lang w:eastAsia="ko-KR"/>
        </w:rPr>
        <w:t>clopidogrel</w:t>
      </w:r>
      <w:proofErr w:type="spellEnd"/>
    </w:p>
    <w:p w14:paraId="21CC981B" w14:textId="77777777" w:rsidR="00251097" w:rsidRPr="00251097" w:rsidRDefault="00251097" w:rsidP="006D3346">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40F40E5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continuous observation of at least 365 days prior and 0 days after event index date, and limit initial events to: </w:t>
      </w:r>
      <w:r w:rsidRPr="00251097">
        <w:rPr>
          <w:rFonts w:ascii="Segoe UI" w:eastAsia="Times New Roman" w:hAnsi="Segoe UI" w:cs="Segoe UI"/>
          <w:b/>
          <w:bCs/>
          <w:color w:val="333333"/>
          <w:sz w:val="18"/>
          <w:szCs w:val="18"/>
          <w:lang w:eastAsia="ko-KR"/>
        </w:rPr>
        <w:t>earliest event per person.</w:t>
      </w:r>
    </w:p>
    <w:p w14:paraId="6DD7D55B"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p>
    <w:p w14:paraId="0C21008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691D968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2F258DD1" w14:textId="77777777" w:rsidR="00251097" w:rsidRPr="00251097" w:rsidRDefault="00251097" w:rsidP="006D334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procedure of PCI</w:t>
      </w:r>
    </w:p>
    <w:p w14:paraId="4EBE68A9"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79C1FE2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223FE115"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lastRenderedPageBreak/>
        <w:t>Inclusion Rules</w:t>
      </w:r>
    </w:p>
    <w:p w14:paraId="07AA9E0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377E0DC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9E32F7B" w14:textId="77777777" w:rsidR="00251097" w:rsidRPr="00251097" w:rsidRDefault="00251097" w:rsidP="006D334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condition occurrence of ACS</w:t>
      </w:r>
    </w:p>
    <w:p w14:paraId="1BA177A0"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1C76E50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83C33D4"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89D0509" w14:textId="77777777" w:rsidR="00251097" w:rsidRPr="00251097" w:rsidRDefault="00251097" w:rsidP="006D334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drug exposure of aspirin</w:t>
      </w:r>
    </w:p>
    <w:p w14:paraId="1AD70CE1"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715C8B6" w14:textId="56A3A075"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r>
        <w:rPr>
          <w:rFonts w:ascii="Segoe UI" w:eastAsia="Times New Roman" w:hAnsi="Segoe UI" w:cs="Segoe UI"/>
          <w:color w:val="333333"/>
          <w:sz w:val="18"/>
          <w:szCs w:val="18"/>
          <w:lang w:eastAsia="ko-KR"/>
        </w:rPr>
        <w:t>ticagrelor</w:t>
      </w:r>
      <w:r w:rsidRPr="00251097">
        <w:rPr>
          <w:rFonts w:ascii="Segoe UI" w:eastAsia="Times New Roman" w:hAnsi="Segoe UI" w:cs="Segoe UI"/>
          <w:color w:val="333333"/>
          <w:sz w:val="18"/>
          <w:szCs w:val="18"/>
          <w:lang w:eastAsia="ko-KR"/>
        </w:rPr>
        <w:t xml:space="preserve"> or prasugrel on the day of PCI</w:t>
      </w:r>
    </w:p>
    <w:p w14:paraId="29C1D81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C8AD7E0" w14:textId="2AEC3FC8"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r>
        <w:rPr>
          <w:rFonts w:ascii="Segoe UI" w:eastAsia="Times New Roman" w:hAnsi="Segoe UI" w:cs="Segoe UI"/>
          <w:color w:val="333333"/>
          <w:sz w:val="18"/>
          <w:szCs w:val="18"/>
          <w:lang w:eastAsia="ko-KR"/>
        </w:rPr>
        <w:t>ticagrelor</w:t>
      </w:r>
    </w:p>
    <w:p w14:paraId="45885BBB"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1B33E6FC" w14:textId="77777777"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3131010D"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40022FB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2EED006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53469F8" w14:textId="77777777"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56D23C0A"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5A562984" w14:textId="77777777"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6839DA5"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7243A3F9"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27F669EA"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34A038F"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39775EB7"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33795D2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51F8B19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4CC19558"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398B203E"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960CB1C" w14:textId="7E76134C"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Use the era end date of </w:t>
      </w:r>
      <w:proofErr w:type="spellStart"/>
      <w:r>
        <w:rPr>
          <w:rFonts w:ascii="Segoe UI" w:eastAsia="Times New Roman" w:hAnsi="Segoe UI" w:cs="Segoe UI"/>
          <w:color w:val="333333"/>
          <w:sz w:val="18"/>
          <w:szCs w:val="18"/>
          <w:lang w:eastAsia="ko-KR"/>
        </w:rPr>
        <w:t>clopidogrel</w:t>
      </w:r>
      <w:proofErr w:type="spellEnd"/>
    </w:p>
    <w:p w14:paraId="015CA9D2"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5AEB9D0D"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3EE47A42" w14:textId="77777777" w:rsidR="00647841" w:rsidRDefault="00647841" w:rsidP="00647841">
      <w:pPr>
        <w:pStyle w:val="Heading3"/>
      </w:pPr>
      <w:r>
        <w:t>Outcomes</w:t>
      </w:r>
      <w:bookmarkEnd w:id="16"/>
    </w:p>
    <w:p w14:paraId="5E331A3B" w14:textId="7F4DC095" w:rsidR="00410363" w:rsidRDefault="00F05D4D" w:rsidP="008F127C">
      <w:pPr>
        <w:pStyle w:val="Heading4"/>
        <w:numPr>
          <w:ilvl w:val="0"/>
          <w:numId w:val="0"/>
        </w:numPr>
      </w:pPr>
      <w:r>
        <w:t xml:space="preserve">Primary outcome: </w:t>
      </w:r>
      <w:r w:rsidR="00251097">
        <w:t>Net Adverse Clinical Event</w:t>
      </w:r>
    </w:p>
    <w:p w14:paraId="0BBB5B15" w14:textId="04302B1D" w:rsidR="002C6E95" w:rsidRDefault="00431DA7" w:rsidP="002C6E95">
      <w:pPr>
        <w:rPr>
          <w:lang w:eastAsia="ko-KR"/>
        </w:rPr>
      </w:pPr>
      <w:r>
        <w:t xml:space="preserve">Primary outcome </w:t>
      </w:r>
      <w:r w:rsidR="00FB3968">
        <w:rPr>
          <w:lang w:eastAsia="ko-KR"/>
        </w:rPr>
        <w:t xml:space="preserve">includes </w:t>
      </w:r>
      <w:r w:rsidR="002C6E95">
        <w:rPr>
          <w:rFonts w:ascii="Calibri" w:hAnsi="Calibri" w:cs="Calibri"/>
          <w:lang w:eastAsia="ko-KR"/>
        </w:rPr>
        <w:t>recurrent myocardial infarction, any revascularization, ischemic stroke, intracranial hemorrhage, and gastrointestinal bleeding. All of these conditions should be accompanied by same-day hospitalization</w:t>
      </w:r>
    </w:p>
    <w:p w14:paraId="6D47C60A" w14:textId="77777777" w:rsidR="009E4907" w:rsidRDefault="009E4907" w:rsidP="009E4907">
      <w:pPr>
        <w:rPr>
          <w:lang w:eastAsia="ko-KR"/>
        </w:rPr>
      </w:pPr>
    </w:p>
    <w:p w14:paraId="75855AA7" w14:textId="2E3DF549" w:rsidR="009E4907" w:rsidRPr="002C6E95" w:rsidRDefault="009E4907" w:rsidP="009E4907">
      <w:pPr>
        <w:pStyle w:val="Heading4"/>
        <w:numPr>
          <w:ilvl w:val="0"/>
          <w:numId w:val="0"/>
        </w:numPr>
        <w:rPr>
          <w:rFonts w:ascii="Batang" w:eastAsia="Batang" w:hAnsi="Batang" w:cs="Batang"/>
          <w:lang w:eastAsia="ko-KR"/>
        </w:rPr>
      </w:pPr>
      <w:r>
        <w:t>Secondary outcome: Ischemic event</w:t>
      </w:r>
    </w:p>
    <w:p w14:paraId="17F39D99" w14:textId="77777777" w:rsidR="009E4907" w:rsidRDefault="009E4907" w:rsidP="009E4907">
      <w:r>
        <w:t xml:space="preserve">Index rule defining the index date:  </w:t>
      </w:r>
    </w:p>
    <w:p w14:paraId="77F1C3D4" w14:textId="518B6CB5" w:rsidR="009E4907" w:rsidRDefault="009E4907" w:rsidP="006D3346">
      <w:pPr>
        <w:pStyle w:val="ListParagraph"/>
        <w:numPr>
          <w:ilvl w:val="0"/>
          <w:numId w:val="1"/>
        </w:numPr>
      </w:pPr>
      <w:r>
        <w:t>Occurrence of acute myocardial infarction</w:t>
      </w:r>
      <w:r w:rsidR="00D66604">
        <w:t>, any revascularization, or ischemic stroke</w:t>
      </w:r>
      <w:r>
        <w:t xml:space="preserve"> code with same-day hospitalization (inpatient or emergency department visit)</w:t>
      </w:r>
    </w:p>
    <w:p w14:paraId="3A51C51E" w14:textId="0EBDDBAB" w:rsidR="00167004" w:rsidRDefault="00167004" w:rsidP="0068303C">
      <w:pPr>
        <w:rPr>
          <w:lang w:eastAsia="ko-KR"/>
        </w:rPr>
      </w:pPr>
    </w:p>
    <w:p w14:paraId="6C840685" w14:textId="3D694188" w:rsidR="00167004" w:rsidRPr="002C6E95" w:rsidRDefault="00167004" w:rsidP="00167004">
      <w:pPr>
        <w:pStyle w:val="Heading4"/>
        <w:numPr>
          <w:ilvl w:val="0"/>
          <w:numId w:val="0"/>
        </w:numPr>
        <w:rPr>
          <w:rFonts w:ascii="Batang" w:eastAsia="Batang" w:hAnsi="Batang" w:cs="Batang"/>
          <w:lang w:eastAsia="ko-KR"/>
        </w:rPr>
      </w:pPr>
      <w:r>
        <w:t>Secondary outcome:</w:t>
      </w:r>
      <w:r w:rsidR="005C59C9">
        <w:t xml:space="preserve"> </w:t>
      </w:r>
      <w:r w:rsidR="009E4907">
        <w:t>Bleeding event</w:t>
      </w:r>
    </w:p>
    <w:p w14:paraId="1680170D" w14:textId="77777777" w:rsidR="005C59C9" w:rsidRDefault="005C59C9" w:rsidP="005C59C9">
      <w:r>
        <w:t xml:space="preserve">Index rule defining the index date:  </w:t>
      </w:r>
    </w:p>
    <w:p w14:paraId="7288A35E" w14:textId="6B414264" w:rsidR="009E4907" w:rsidRDefault="005C59C9" w:rsidP="006D3346">
      <w:pPr>
        <w:pStyle w:val="ListParagraph"/>
        <w:numPr>
          <w:ilvl w:val="0"/>
          <w:numId w:val="1"/>
        </w:numPr>
      </w:pPr>
      <w:r>
        <w:t xml:space="preserve">Occurrence of </w:t>
      </w:r>
      <w:r w:rsidR="00D66604">
        <w:t>intracranial hemorrhage or gastrointestinal bleeding</w:t>
      </w:r>
      <w:r w:rsidR="009E4907">
        <w:t xml:space="preserve"> </w:t>
      </w:r>
      <w:r>
        <w:t xml:space="preserve">code </w:t>
      </w:r>
      <w:r w:rsidR="009E4907">
        <w:t>with same-day hospitalization (inpatient or emergency department visit)</w:t>
      </w:r>
    </w:p>
    <w:p w14:paraId="0AAC545D" w14:textId="0B498786" w:rsidR="009E4907" w:rsidRDefault="009E4907" w:rsidP="009E4907">
      <w:pPr>
        <w:rPr>
          <w:lang w:eastAsia="ko-KR"/>
        </w:rPr>
      </w:pPr>
    </w:p>
    <w:p w14:paraId="30A187C2" w14:textId="77777777" w:rsidR="00886B20" w:rsidRPr="002C6E95" w:rsidRDefault="00886B20" w:rsidP="00886B20">
      <w:pPr>
        <w:pStyle w:val="Heading4"/>
        <w:numPr>
          <w:ilvl w:val="0"/>
          <w:numId w:val="0"/>
        </w:numPr>
        <w:rPr>
          <w:rFonts w:ascii="Batang" w:eastAsia="Batang" w:hAnsi="Batang" w:cs="Batang"/>
          <w:lang w:eastAsia="ko-KR"/>
        </w:rPr>
      </w:pPr>
      <w:r>
        <w:t>Secondary outcome: Recurrent myocardial infarction</w:t>
      </w:r>
    </w:p>
    <w:p w14:paraId="3FE1ED47" w14:textId="77777777" w:rsidR="00886B20" w:rsidRDefault="00886B20" w:rsidP="00886B20">
      <w:r>
        <w:t xml:space="preserve">Index rule defining the index date:  </w:t>
      </w:r>
    </w:p>
    <w:p w14:paraId="5958816D" w14:textId="77777777" w:rsidR="00886B20" w:rsidRDefault="00886B20" w:rsidP="006D3346">
      <w:pPr>
        <w:pStyle w:val="ListParagraph"/>
        <w:numPr>
          <w:ilvl w:val="0"/>
          <w:numId w:val="1"/>
        </w:numPr>
      </w:pPr>
      <w:r>
        <w:t>Occurrence of acute myocardial infarction code with same-day hospitalization (inpatient or emergency department visit)</w:t>
      </w:r>
    </w:p>
    <w:p w14:paraId="797EA9EB" w14:textId="77777777" w:rsidR="00886B20" w:rsidRDefault="00886B20" w:rsidP="009E4907">
      <w:pPr>
        <w:rPr>
          <w:lang w:eastAsia="ko-KR"/>
        </w:rPr>
      </w:pPr>
    </w:p>
    <w:p w14:paraId="102D350D" w14:textId="2A67B5D2" w:rsidR="009E4907" w:rsidRPr="002C6E95" w:rsidRDefault="009E4907" w:rsidP="009E4907">
      <w:pPr>
        <w:pStyle w:val="Heading4"/>
        <w:numPr>
          <w:ilvl w:val="0"/>
          <w:numId w:val="0"/>
        </w:numPr>
        <w:rPr>
          <w:rFonts w:ascii="Batang" w:eastAsia="Batang" w:hAnsi="Batang" w:cs="Batang"/>
          <w:lang w:eastAsia="ko-KR"/>
        </w:rPr>
      </w:pPr>
      <w:r>
        <w:t>Secondary outcome: Any revascularization</w:t>
      </w:r>
    </w:p>
    <w:p w14:paraId="3158EF38" w14:textId="77777777" w:rsidR="009E4907" w:rsidRDefault="009E4907" w:rsidP="009E4907">
      <w:r>
        <w:t xml:space="preserve">Index rule defining the index date:  </w:t>
      </w:r>
    </w:p>
    <w:p w14:paraId="3BDDF35D" w14:textId="6E54D1F1" w:rsidR="009E4907" w:rsidRDefault="009E4907" w:rsidP="006D3346">
      <w:pPr>
        <w:pStyle w:val="ListParagraph"/>
        <w:numPr>
          <w:ilvl w:val="0"/>
          <w:numId w:val="1"/>
        </w:numPr>
      </w:pPr>
      <w:r>
        <w:t xml:space="preserve">Occurrence of </w:t>
      </w:r>
      <w:r w:rsidR="00D66604">
        <w:t>percutaneous coronary intervention or CABG</w:t>
      </w:r>
      <w:r>
        <w:t xml:space="preserve"> code with same-day hospitalization (inpatient or emergency department visit)</w:t>
      </w:r>
    </w:p>
    <w:p w14:paraId="4CCDFD38" w14:textId="77777777" w:rsidR="009E4907" w:rsidRDefault="009E4907" w:rsidP="009E4907">
      <w:pPr>
        <w:rPr>
          <w:lang w:eastAsia="ko-KR"/>
        </w:rPr>
      </w:pPr>
    </w:p>
    <w:p w14:paraId="15781D4C" w14:textId="63001796" w:rsidR="009E4907" w:rsidRPr="002C6E95" w:rsidRDefault="009E4907" w:rsidP="009E4907">
      <w:pPr>
        <w:pStyle w:val="Heading4"/>
        <w:numPr>
          <w:ilvl w:val="0"/>
          <w:numId w:val="0"/>
        </w:numPr>
        <w:rPr>
          <w:rFonts w:ascii="Batang" w:eastAsia="Batang" w:hAnsi="Batang" w:cs="Batang"/>
          <w:lang w:eastAsia="ko-KR"/>
        </w:rPr>
      </w:pPr>
      <w:r>
        <w:t>Secondary outcome: Ischemic stroke</w:t>
      </w:r>
    </w:p>
    <w:p w14:paraId="3C0898D1" w14:textId="77777777" w:rsidR="009E4907" w:rsidRDefault="009E4907" w:rsidP="009E4907">
      <w:r>
        <w:t xml:space="preserve">Index rule defining the index date:  </w:t>
      </w:r>
    </w:p>
    <w:p w14:paraId="30DB6A36" w14:textId="4D286A85" w:rsidR="009E4907" w:rsidRDefault="009E4907" w:rsidP="006D3346">
      <w:pPr>
        <w:pStyle w:val="ListParagraph"/>
        <w:numPr>
          <w:ilvl w:val="0"/>
          <w:numId w:val="1"/>
        </w:numPr>
      </w:pPr>
      <w:r>
        <w:lastRenderedPageBreak/>
        <w:t xml:space="preserve">Occurrence of </w:t>
      </w:r>
      <w:r w:rsidR="00D66604">
        <w:t>ischemic stroke</w:t>
      </w:r>
      <w:r>
        <w:t xml:space="preserve"> code with same-day hospitalization (inpatient or emergency department visit)</w:t>
      </w:r>
    </w:p>
    <w:p w14:paraId="6C865CC0" w14:textId="77777777" w:rsidR="009E4907" w:rsidRDefault="009E4907" w:rsidP="009E4907">
      <w:pPr>
        <w:rPr>
          <w:lang w:eastAsia="ko-KR"/>
        </w:rPr>
      </w:pPr>
    </w:p>
    <w:p w14:paraId="01AE4DC4" w14:textId="021897AC" w:rsidR="009E4907" w:rsidRPr="002C6E95" w:rsidRDefault="009E4907" w:rsidP="009E4907">
      <w:pPr>
        <w:pStyle w:val="Heading4"/>
        <w:numPr>
          <w:ilvl w:val="0"/>
          <w:numId w:val="0"/>
        </w:numPr>
        <w:rPr>
          <w:rFonts w:ascii="Batang" w:eastAsia="Batang" w:hAnsi="Batang" w:cs="Batang"/>
          <w:lang w:eastAsia="ko-KR"/>
        </w:rPr>
      </w:pPr>
      <w:r>
        <w:t>Secondary outcome: Intracranial hemorrhage</w:t>
      </w:r>
    </w:p>
    <w:p w14:paraId="16EA1772" w14:textId="77777777" w:rsidR="009E4907" w:rsidRDefault="009E4907" w:rsidP="009E4907">
      <w:r>
        <w:t xml:space="preserve">Index rule defining the index date:  </w:t>
      </w:r>
    </w:p>
    <w:p w14:paraId="2D922F95" w14:textId="5D6F8500" w:rsidR="009E4907" w:rsidRDefault="009E4907" w:rsidP="006D3346">
      <w:pPr>
        <w:pStyle w:val="ListParagraph"/>
        <w:numPr>
          <w:ilvl w:val="0"/>
          <w:numId w:val="1"/>
        </w:numPr>
      </w:pPr>
      <w:r>
        <w:t xml:space="preserve">Occurrence of </w:t>
      </w:r>
      <w:r w:rsidR="00D66604">
        <w:t>intracranial hemorrhage</w:t>
      </w:r>
      <w:r>
        <w:t xml:space="preserve"> code with same-day hospitalization (inpatient or emergency department visit)</w:t>
      </w:r>
    </w:p>
    <w:p w14:paraId="5C383654" w14:textId="77777777" w:rsidR="009E4907" w:rsidRDefault="009E4907" w:rsidP="009E4907">
      <w:pPr>
        <w:rPr>
          <w:lang w:eastAsia="ko-KR"/>
        </w:rPr>
      </w:pPr>
    </w:p>
    <w:p w14:paraId="73890E21" w14:textId="1CC13169" w:rsidR="009E4907" w:rsidRPr="002C6E95" w:rsidRDefault="009E4907" w:rsidP="009E4907">
      <w:pPr>
        <w:pStyle w:val="Heading4"/>
        <w:numPr>
          <w:ilvl w:val="0"/>
          <w:numId w:val="0"/>
        </w:numPr>
        <w:rPr>
          <w:rFonts w:ascii="Batang" w:eastAsia="Batang" w:hAnsi="Batang" w:cs="Batang"/>
          <w:lang w:eastAsia="ko-KR"/>
        </w:rPr>
      </w:pPr>
      <w:r>
        <w:t>Secondary outcome: Gastrointestinal bleeding</w:t>
      </w:r>
    </w:p>
    <w:p w14:paraId="6BEFEB1E" w14:textId="77777777" w:rsidR="009E4907" w:rsidRDefault="009E4907" w:rsidP="009E4907">
      <w:r>
        <w:t xml:space="preserve">Index rule defining the index date:  </w:t>
      </w:r>
    </w:p>
    <w:p w14:paraId="6E1BC3B9" w14:textId="4D1C5992" w:rsidR="009E4907" w:rsidRDefault="009E4907" w:rsidP="006D3346">
      <w:pPr>
        <w:pStyle w:val="ListParagraph"/>
        <w:numPr>
          <w:ilvl w:val="0"/>
          <w:numId w:val="1"/>
        </w:numPr>
      </w:pPr>
      <w:r>
        <w:t xml:space="preserve">Occurrence of </w:t>
      </w:r>
      <w:r w:rsidR="00D66604">
        <w:t>gastrointestinal bleeding</w:t>
      </w:r>
      <w:r>
        <w:t xml:space="preserve"> code with same-day hospitalization (inpatient or emergency department visit)</w:t>
      </w:r>
    </w:p>
    <w:p w14:paraId="3A308AB7" w14:textId="3AD2CAF6" w:rsidR="009E4907" w:rsidRDefault="009E4907" w:rsidP="009E4907">
      <w:pPr>
        <w:rPr>
          <w:lang w:eastAsia="ko-KR"/>
        </w:rPr>
      </w:pPr>
    </w:p>
    <w:p w14:paraId="62C58E5B" w14:textId="77777777" w:rsidR="00B15EDA" w:rsidRPr="002C6E95" w:rsidRDefault="00B15EDA" w:rsidP="00B15EDA">
      <w:pPr>
        <w:pStyle w:val="Heading4"/>
        <w:numPr>
          <w:ilvl w:val="0"/>
          <w:numId w:val="0"/>
        </w:numPr>
        <w:rPr>
          <w:rFonts w:ascii="Batang" w:eastAsia="Batang" w:hAnsi="Batang" w:cs="Batang"/>
          <w:lang w:eastAsia="ko-KR"/>
        </w:rPr>
      </w:pPr>
      <w:r>
        <w:t>Secondary outcome: Sudden cardiac death</w:t>
      </w:r>
    </w:p>
    <w:p w14:paraId="4FF31465" w14:textId="77777777" w:rsidR="00B15EDA" w:rsidRDefault="00B15EDA" w:rsidP="00B15EDA">
      <w:r>
        <w:t xml:space="preserve">Index rule defining the index date:  </w:t>
      </w:r>
    </w:p>
    <w:p w14:paraId="3B6250A4" w14:textId="5252ADC3" w:rsidR="00B15EDA" w:rsidRDefault="00B15EDA" w:rsidP="006D3346">
      <w:pPr>
        <w:pStyle w:val="ListParagraph"/>
        <w:numPr>
          <w:ilvl w:val="0"/>
          <w:numId w:val="1"/>
        </w:numPr>
      </w:pPr>
      <w:r>
        <w:t>Occurrence of</w:t>
      </w:r>
      <w:r w:rsidR="00D66604">
        <w:t xml:space="preserve"> sudden cardiac death</w:t>
      </w:r>
      <w:r>
        <w:t xml:space="preserve"> code with same-day hospitalization (inpatient or emergency department visit)</w:t>
      </w:r>
    </w:p>
    <w:p w14:paraId="11809FF9" w14:textId="77777777" w:rsidR="0068303C" w:rsidRDefault="0068303C" w:rsidP="00A42B5A"/>
    <w:p w14:paraId="26FF4697" w14:textId="77777777" w:rsidR="00A90C5A" w:rsidRDefault="00647841" w:rsidP="00A90C5A">
      <w:pPr>
        <w:pStyle w:val="Heading3"/>
      </w:pPr>
      <w:bookmarkStart w:id="17" w:name="_Toc470944218"/>
      <w:r>
        <w:t>Potential confounders</w:t>
      </w:r>
      <w:bookmarkEnd w:id="17"/>
    </w:p>
    <w:p w14:paraId="2A43D703" w14:textId="22A53721" w:rsidR="000E2BC2" w:rsidRDefault="00B70E7F" w:rsidP="000E2BC2">
      <w:r>
        <w:t xml:space="preserve">The following will be included as potential covariates: (note: </w:t>
      </w:r>
      <w:r w:rsidR="006B325F">
        <w:rPr>
          <w:lang w:eastAsia="ko-KR"/>
        </w:rPr>
        <w:t xml:space="preserve">Long-term </w:t>
      </w:r>
      <w:r>
        <w:t>covariates are assessed on or in the 365 days prior to index date</w:t>
      </w:r>
      <w:r w:rsidR="006B325F">
        <w:t>. Short-term covariates are assessed on or in the 7 days prior to index date.</w:t>
      </w:r>
      <w:r>
        <w:t>)</w:t>
      </w:r>
    </w:p>
    <w:p w14:paraId="079C64DC" w14:textId="77777777" w:rsidR="00B70E7F" w:rsidRDefault="00B70E7F" w:rsidP="006D3346">
      <w:pPr>
        <w:pStyle w:val="ListParagraph"/>
        <w:numPr>
          <w:ilvl w:val="0"/>
          <w:numId w:val="3"/>
        </w:numPr>
      </w:pPr>
      <w:r>
        <w:t>Demographics (age in 5-year increments, gender, race, ethnicity, year of index date, month of index date)</w:t>
      </w:r>
    </w:p>
    <w:p w14:paraId="4FA7E739" w14:textId="20CA3E61" w:rsidR="00B70E7F" w:rsidRDefault="006B325F" w:rsidP="006D3346">
      <w:pPr>
        <w:pStyle w:val="ListParagraph"/>
        <w:numPr>
          <w:ilvl w:val="0"/>
          <w:numId w:val="3"/>
        </w:numPr>
      </w:pPr>
      <w:r>
        <w:t xml:space="preserve">Short-term </w:t>
      </w:r>
      <w:r w:rsidR="00B70E7F">
        <w:t xml:space="preserve">Condition occurrence </w:t>
      </w:r>
      <w:r w:rsidR="008478AE">
        <w:t>(one or more variables per diagnose code)</w:t>
      </w:r>
    </w:p>
    <w:p w14:paraId="775E5AEF" w14:textId="28FA2E2D" w:rsidR="00B70E7F" w:rsidRDefault="006B325F" w:rsidP="006D3346">
      <w:pPr>
        <w:pStyle w:val="ListParagraph"/>
        <w:numPr>
          <w:ilvl w:val="0"/>
          <w:numId w:val="3"/>
        </w:numPr>
      </w:pPr>
      <w:r>
        <w:t xml:space="preserve">Long-term and Short-term </w:t>
      </w:r>
      <w:r w:rsidR="00B70E7F">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14:paraId="6EE387F8" w14:textId="32B52B20" w:rsidR="00DF07EE" w:rsidRDefault="006B325F" w:rsidP="006D3346">
      <w:pPr>
        <w:pStyle w:val="ListParagraph"/>
        <w:numPr>
          <w:ilvl w:val="0"/>
          <w:numId w:val="3"/>
        </w:numPr>
      </w:pPr>
      <w:r>
        <w:t xml:space="preserve">Long-term and Short-term </w:t>
      </w:r>
      <w:r w:rsidR="00DF07EE">
        <w:t>Drug group (</w:t>
      </w:r>
      <w:r w:rsidR="0095254B">
        <w:t xml:space="preserve">one or more variables per </w:t>
      </w:r>
      <w:r w:rsidR="00DF07EE">
        <w:t>ATC group</w:t>
      </w:r>
      <w:r w:rsidR="0095254B">
        <w:t>)</w:t>
      </w:r>
    </w:p>
    <w:p w14:paraId="29E427BC" w14:textId="4E6B61B1" w:rsidR="00B92C3E" w:rsidRDefault="006B325F" w:rsidP="006D3346">
      <w:pPr>
        <w:pStyle w:val="ListParagraph"/>
        <w:numPr>
          <w:ilvl w:val="0"/>
          <w:numId w:val="3"/>
        </w:numPr>
      </w:pPr>
      <w:r>
        <w:t xml:space="preserve">Long-term and Short-term </w:t>
      </w:r>
      <w:r w:rsidR="00B92C3E">
        <w:t>Procedure occurrence (one or more variables per procedure code)</w:t>
      </w:r>
    </w:p>
    <w:p w14:paraId="6B75C06F" w14:textId="77777777"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9" w:history="1">
        <w:r w:rsidR="00DB060F" w:rsidRPr="00495934">
          <w:rPr>
            <w:rStyle w:val="Hyperlink"/>
          </w:rPr>
          <w:t>https://github.com/OHDSI/CohortMethod</w:t>
        </w:r>
      </w:hyperlink>
      <w:r w:rsidR="00B73FB8">
        <w:t>)</w:t>
      </w:r>
      <w:r>
        <w:t xml:space="preserve">. </w:t>
      </w:r>
    </w:p>
    <w:p w14:paraId="1F645CFC" w14:textId="77777777" w:rsidR="009243CA" w:rsidRDefault="00890410" w:rsidP="004C2A2F">
      <w:r>
        <w:t xml:space="preserve">Variables with less than 100 non-zero values are discarded. </w:t>
      </w:r>
      <w:r w:rsidR="00487F21">
        <w:t>All covariates were used in both the propensity model and the outcome model.</w:t>
      </w:r>
    </w:p>
    <w:p w14:paraId="684FF05C" w14:textId="2AE7BA26" w:rsidR="006E50F5" w:rsidRDefault="006E50F5" w:rsidP="006E50F5">
      <w:pPr>
        <w:pStyle w:val="Heading3"/>
      </w:pPr>
      <w:bookmarkStart w:id="18" w:name="_Toc470944219"/>
      <w:r>
        <w:lastRenderedPageBreak/>
        <w:t>Negative</w:t>
      </w:r>
      <w:r w:rsidR="0062771D">
        <w:t xml:space="preserve"> </w:t>
      </w:r>
      <w:r>
        <w:t>controls</w:t>
      </w:r>
      <w:bookmarkEnd w:id="18"/>
    </w:p>
    <w:p w14:paraId="0EC79D75" w14:textId="14EBFE70" w:rsidR="00DB494B" w:rsidRDefault="0062771D" w:rsidP="00666E3E">
      <w:r>
        <w:t>We believe that negative controls are necessary for confidentiality of study design and statistical method.</w:t>
      </w:r>
      <w:r w:rsidR="00666E3E">
        <w:t xml:space="preserve"> </w:t>
      </w:r>
      <w:r w:rsidR="00A176EE">
        <w:t>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A176EE" w:rsidRPr="00A176EE" w14:paraId="401192D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29AB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AD54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8E099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A176EE" w:rsidRPr="00A176EE" w14:paraId="05776A52"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BC8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ABA9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62C1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A176EE" w:rsidRPr="00A176EE" w14:paraId="3CEAD24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831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E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6C5B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A176EE" w:rsidRPr="00A176EE" w14:paraId="4ECE0D1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1790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317585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0B3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67362008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2FDC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Aortic aneurysm</w:t>
            </w:r>
          </w:p>
        </w:tc>
      </w:tr>
      <w:tr w:rsidR="00A176EE" w:rsidRPr="00A176EE" w14:paraId="7544F75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7F5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095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5C5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A176EE" w:rsidRPr="00A176EE" w14:paraId="4C2ED19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25F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220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AFAA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A176EE" w:rsidRPr="00A176EE" w14:paraId="1C437AF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BE13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C579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84C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A176EE" w:rsidRPr="00A176EE" w14:paraId="09D13E4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1258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97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432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A176EE" w:rsidRPr="00A176EE" w14:paraId="78929EA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F277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931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4B8C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A176EE" w:rsidRPr="00A176EE" w14:paraId="7215C2D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96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A37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9ACC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A176EE" w:rsidRPr="00A176EE" w14:paraId="63F20FD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020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D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E4B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A176EE" w:rsidRPr="00A176EE" w14:paraId="1A712EF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5A2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FB0C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E59A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A176EE" w:rsidRPr="00A176EE" w14:paraId="1621D61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3532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908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87A8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A176EE" w:rsidRPr="00A176EE" w14:paraId="0B9EB2C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7DD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F041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BBAE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A176EE" w:rsidRPr="00A176EE" w14:paraId="64F1448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E056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199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C5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A176EE" w:rsidRPr="00A176EE" w14:paraId="2301D644"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F20E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EDFD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D25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A176EE" w:rsidRPr="00A176EE" w14:paraId="2227169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5BFC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AFD4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43B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A176EE" w:rsidRPr="00A176EE" w14:paraId="60227DC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870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A1DA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BBB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A176EE" w:rsidRPr="00A176EE" w14:paraId="00D9568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25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34C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539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Colles</w:t>
            </w:r>
            <w:proofErr w:type="spellEnd"/>
            <w:r w:rsidRPr="00A176EE">
              <w:rPr>
                <w:rFonts w:ascii="Helvetica Neue" w:eastAsia="Times New Roman" w:hAnsi="Helvetica Neue" w:cs="Times New Roman"/>
                <w:color w:val="000000"/>
                <w:sz w:val="15"/>
                <w:szCs w:val="15"/>
                <w:lang w:eastAsia="ko-KR"/>
              </w:rPr>
              <w:t>' fracture</w:t>
            </w:r>
          </w:p>
        </w:tc>
      </w:tr>
      <w:tr w:rsidR="00A176EE" w:rsidRPr="00A176EE" w14:paraId="6314AFB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9272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EC54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3F5A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Condyloma </w:t>
            </w:r>
            <w:proofErr w:type="spellStart"/>
            <w:r w:rsidRPr="00A176EE">
              <w:rPr>
                <w:rFonts w:ascii="Helvetica Neue" w:eastAsia="Times New Roman" w:hAnsi="Helvetica Neue" w:cs="Times New Roman"/>
                <w:color w:val="000000"/>
                <w:sz w:val="15"/>
                <w:szCs w:val="15"/>
                <w:lang w:eastAsia="ko-KR"/>
              </w:rPr>
              <w:t>acuminatum</w:t>
            </w:r>
            <w:proofErr w:type="spellEnd"/>
          </w:p>
        </w:tc>
      </w:tr>
      <w:tr w:rsidR="00A176EE" w:rsidRPr="00A176EE" w14:paraId="20098FF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715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11E0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9F93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A176EE" w:rsidRPr="00A176EE" w14:paraId="58626DC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BA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422C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6AF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Cutis </w:t>
            </w:r>
            <w:proofErr w:type="spellStart"/>
            <w:r w:rsidRPr="00A176EE">
              <w:rPr>
                <w:rFonts w:ascii="Helvetica Neue" w:eastAsia="Times New Roman" w:hAnsi="Helvetica Neue" w:cs="Times New Roman"/>
                <w:color w:val="000000"/>
                <w:sz w:val="15"/>
                <w:szCs w:val="15"/>
                <w:lang w:eastAsia="ko-KR"/>
              </w:rPr>
              <w:t>laxa</w:t>
            </w:r>
            <w:proofErr w:type="spellEnd"/>
          </w:p>
        </w:tc>
      </w:tr>
      <w:tr w:rsidR="00A176EE" w:rsidRPr="00A176EE" w14:paraId="2DC6F4D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A2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E1F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9C9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A176EE" w:rsidRPr="00A176EE" w14:paraId="60C794D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B0E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F73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CD5E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A176EE" w:rsidRPr="00A176EE" w14:paraId="4A20F34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5578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C30C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764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A176EE" w:rsidRPr="00A176EE" w14:paraId="4A46BED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117C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9D6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486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A176EE" w:rsidRPr="00A176EE" w14:paraId="56863A0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496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1560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E0F1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A176EE" w:rsidRPr="00A176EE" w14:paraId="3275624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BFE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D87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483E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A176EE" w:rsidRPr="00A176EE" w14:paraId="329F719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909F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4174977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F914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4855003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5677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retinopathy</w:t>
            </w:r>
          </w:p>
        </w:tc>
      </w:tr>
      <w:tr w:rsidR="00A176EE" w:rsidRPr="00A176EE" w14:paraId="30CC746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55F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4132130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06F4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26660001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BAC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Dilatation of aorta</w:t>
            </w:r>
          </w:p>
        </w:tc>
      </w:tr>
      <w:tr w:rsidR="00A176EE" w:rsidRPr="00A176EE" w14:paraId="076C4BCB"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9926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1F3E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7113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A176EE" w:rsidRPr="00A176EE" w14:paraId="5B17397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451E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4153380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8179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371160000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C68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carotid artery</w:t>
            </w:r>
          </w:p>
        </w:tc>
      </w:tr>
      <w:tr w:rsidR="00A176EE" w:rsidRPr="00A176EE" w14:paraId="27F4B7B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431B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F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0727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A176EE" w:rsidRPr="00A176EE" w14:paraId="200DC44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7E76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6308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1065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A176EE" w:rsidRPr="00A176EE" w14:paraId="71FC908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07F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3C26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76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A176EE" w:rsidRPr="00A176EE" w14:paraId="141611F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2AD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C0D2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1091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A176EE" w:rsidRPr="00A176EE" w14:paraId="139775F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C186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1CC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729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A176EE" w:rsidRPr="00A176EE" w14:paraId="0C943AC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51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75D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B6D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A176EE" w:rsidRPr="00A176EE" w14:paraId="3ED64F9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F295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130D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74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A176EE" w:rsidRPr="00A176EE" w14:paraId="171BC2E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76BA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8E64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786D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A176EE" w:rsidRPr="00A176EE" w14:paraId="4E26FCA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14D7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5D2D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6E2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A176EE" w:rsidRPr="00A176EE" w14:paraId="7D82819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7579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88CF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5517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A176EE" w:rsidRPr="00A176EE" w14:paraId="3062BC8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17AE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3F6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D5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Hyperandrogenization</w:t>
            </w:r>
            <w:proofErr w:type="spellEnd"/>
            <w:r w:rsidRPr="00A176EE">
              <w:rPr>
                <w:rFonts w:ascii="Helvetica Neue" w:eastAsia="Times New Roman" w:hAnsi="Helvetica Neue" w:cs="Times New Roman"/>
                <w:color w:val="000000"/>
                <w:sz w:val="15"/>
                <w:szCs w:val="15"/>
                <w:lang w:eastAsia="ko-KR"/>
              </w:rPr>
              <w:t xml:space="preserve"> syndrome</w:t>
            </w:r>
          </w:p>
        </w:tc>
      </w:tr>
      <w:tr w:rsidR="00A176EE" w:rsidRPr="00A176EE" w14:paraId="312DA8A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7409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5A7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8317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A176EE" w:rsidRPr="00A176EE" w14:paraId="24A14B85"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AC8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5858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FB8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A176EE" w:rsidRPr="00A176EE" w14:paraId="47A8855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AE5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14A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0BD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A176EE" w:rsidRPr="00A176EE" w14:paraId="31ED31D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0B68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6EA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1F6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A176EE" w:rsidRPr="00A176EE" w14:paraId="0BC60B1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D765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1F0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5D3A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A176EE" w:rsidRPr="00A176EE" w14:paraId="0EA289C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F4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343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2953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A176EE" w:rsidRPr="00A176EE" w14:paraId="7704F22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CD01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6F32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B8E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A176EE" w:rsidRPr="00A176EE" w14:paraId="16809CB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B41F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ECC1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780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Ingrowing</w:t>
            </w:r>
            <w:proofErr w:type="spellEnd"/>
            <w:r w:rsidRPr="00A176EE">
              <w:rPr>
                <w:rFonts w:ascii="Helvetica Neue" w:eastAsia="Times New Roman" w:hAnsi="Helvetica Neue" w:cs="Times New Roman"/>
                <w:color w:val="000000"/>
                <w:sz w:val="15"/>
                <w:szCs w:val="15"/>
                <w:lang w:eastAsia="ko-KR"/>
              </w:rPr>
              <w:t xml:space="preserve"> nail</w:t>
            </w:r>
          </w:p>
        </w:tc>
      </w:tr>
      <w:tr w:rsidR="00A176EE" w:rsidRPr="00A176EE" w14:paraId="4ABFF74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84C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7432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7A0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A176EE" w:rsidRPr="00A176EE" w14:paraId="0130390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BB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D2E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13D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A176EE" w:rsidRPr="00A176EE" w14:paraId="2D771D7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772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3F0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F896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A176EE" w:rsidRPr="00A176EE" w14:paraId="000E487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2516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9708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DAC0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A176EE" w:rsidRPr="00A176EE" w14:paraId="4099CD6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FAE1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4029966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76C0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128609009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E3D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aneurysm</w:t>
            </w:r>
          </w:p>
        </w:tc>
      </w:tr>
      <w:tr w:rsidR="00A176EE" w:rsidRPr="00A176EE" w14:paraId="1547698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AC76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437409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FCCF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127296001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651A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injury</w:t>
            </w:r>
          </w:p>
        </w:tc>
      </w:tr>
      <w:tr w:rsidR="00A176EE" w:rsidRPr="00A176EE" w14:paraId="7FF767B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8558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615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27B0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A176EE" w:rsidRPr="00A176EE" w14:paraId="77DE985D"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2574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A43F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EFF8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A176EE" w:rsidRPr="00A176EE" w14:paraId="3D78AD8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275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907E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0C23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A176EE" w:rsidRPr="00A176EE" w14:paraId="448EF42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4CD5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61AC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F446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A176EE" w:rsidRPr="00A176EE" w14:paraId="6727281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9A83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6AE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508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A176EE" w:rsidRPr="00A176EE" w14:paraId="63A72A6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9383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DA11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9E1C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A176EE" w:rsidRPr="00A176EE" w14:paraId="0531D7D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3324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C74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99BF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A176EE" w:rsidRPr="00A176EE" w14:paraId="61EB9D6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2C71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E79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F59F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A176EE" w:rsidRPr="00A176EE" w14:paraId="69E1021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2E44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CE3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409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A176EE" w:rsidRPr="00A176EE" w14:paraId="6DDDADD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9AEC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1F4C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79DC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A176EE" w:rsidRPr="00A176EE" w14:paraId="613660E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21DC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DB9C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C063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A176EE" w:rsidRPr="00A176EE" w14:paraId="75676C9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C60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AC0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28D6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A176EE" w:rsidRPr="00A176EE" w14:paraId="31CA1D6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352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C21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57F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A176EE" w:rsidRPr="00A176EE" w14:paraId="7E93BD1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63AD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BA5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667A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A176EE" w:rsidRPr="00A176EE" w14:paraId="3E7C3D5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5E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55A8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14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A176EE" w:rsidRPr="00A176EE" w14:paraId="16E33671"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B21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E59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5A0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A176EE" w:rsidRPr="00A176EE" w14:paraId="65EC40D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C5C1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61D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19A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A176EE" w:rsidRPr="00A176EE" w14:paraId="6203B54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0E5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9038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3E4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A176EE" w:rsidRPr="00A176EE" w14:paraId="232177F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76C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357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E29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A176EE" w:rsidRPr="00A176EE" w14:paraId="4EAD1CF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4E9E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EC16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540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A176EE" w:rsidRPr="00A176EE" w14:paraId="0FF08A9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DA8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24C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33E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A176EE" w:rsidRPr="00A176EE" w14:paraId="4CB4EE4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24F4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7162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9B0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A176EE" w:rsidRPr="00A176EE" w14:paraId="0D57A1C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5A25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8BD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EA5B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A176EE" w:rsidRPr="00A176EE" w14:paraId="1C1E521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598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EC8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9758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A176EE" w:rsidRPr="00A176EE" w14:paraId="52413D4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F65D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1BE4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D318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A176EE" w:rsidRPr="00A176EE" w14:paraId="44E7588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828E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5FF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8E7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A176EE" w:rsidRPr="00A176EE" w14:paraId="106261B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BD9C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A3F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56A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A176EE" w:rsidRPr="00A176EE" w14:paraId="14144C6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BFF8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79C0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A00F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A176EE" w:rsidRPr="00A176EE" w14:paraId="792E33A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35C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E12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FB5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A176EE" w:rsidRPr="00A176EE" w14:paraId="363B35F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FD7C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670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451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Skin </w:t>
            </w:r>
            <w:proofErr w:type="spellStart"/>
            <w:r w:rsidRPr="00A176EE">
              <w:rPr>
                <w:rFonts w:ascii="Helvetica Neue" w:eastAsia="Times New Roman" w:hAnsi="Helvetica Neue" w:cs="Times New Roman"/>
                <w:color w:val="000000"/>
                <w:sz w:val="15"/>
                <w:szCs w:val="15"/>
                <w:lang w:eastAsia="ko-KR"/>
              </w:rPr>
              <w:t>striae</w:t>
            </w:r>
            <w:proofErr w:type="spellEnd"/>
          </w:p>
        </w:tc>
      </w:tr>
      <w:tr w:rsidR="00A176EE" w:rsidRPr="00A176EE" w14:paraId="2773399F"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3423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F215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035F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A176EE" w:rsidRPr="00A176EE" w14:paraId="4AACB62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64A0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AA0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1FDA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A176EE" w:rsidRPr="00A176EE" w14:paraId="0F9F12A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5B34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B062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E6D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A176EE" w:rsidRPr="00A176EE" w14:paraId="6D4D975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A8C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AE1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8CE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A176EE" w:rsidRPr="00A176EE" w14:paraId="5D1F94E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D67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8A3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805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A176EE" w:rsidRPr="00A176EE" w14:paraId="5E1BCF3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0B53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4E18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C32F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A176EE" w:rsidRPr="00A176EE" w14:paraId="2F0C755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99EF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43AB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DD90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A176EE" w:rsidRPr="00A176EE" w14:paraId="554119C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F5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18B5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A75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A176EE" w:rsidRPr="00A176EE" w14:paraId="6D53F03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5EB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737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915B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A176EE" w:rsidRPr="00A176EE" w14:paraId="7B32225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25D7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7A99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100A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A176EE" w:rsidRPr="00A176EE" w14:paraId="77DAB85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C352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FE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40B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A176EE" w:rsidRPr="00A176EE" w14:paraId="0A3E256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F4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86C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A10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A176EE" w:rsidRPr="00A176EE" w14:paraId="10E5137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D1D2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385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AB2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Vesicoureteric</w:t>
            </w:r>
            <w:proofErr w:type="spellEnd"/>
            <w:r w:rsidRPr="00A176EE">
              <w:rPr>
                <w:rFonts w:ascii="Helvetica Neue" w:eastAsia="Times New Roman" w:hAnsi="Helvetica Neue" w:cs="Times New Roman"/>
                <w:color w:val="000000"/>
                <w:sz w:val="15"/>
                <w:szCs w:val="15"/>
                <w:lang w:eastAsia="ko-KR"/>
              </w:rPr>
              <w:t xml:space="preserve"> reflux</w:t>
            </w:r>
          </w:p>
        </w:tc>
      </w:tr>
      <w:tr w:rsidR="00A176EE" w:rsidRPr="00A176EE" w14:paraId="43C4F7A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B8B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2067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4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A176EE" w:rsidRPr="00A176EE" w14:paraId="6FDE1D5B"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CBD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CDA7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5175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A176EE" w:rsidRPr="00A176EE" w14:paraId="24C1646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90C5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B4F2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96E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4A761559" w14:textId="77777777" w:rsidR="0062771D" w:rsidRDefault="0062771D" w:rsidP="0062771D"/>
    <w:p w14:paraId="2827452C" w14:textId="48A1F0DC" w:rsidR="00540AD6" w:rsidRDefault="00540AD6" w:rsidP="00A01E4C">
      <w:pPr>
        <w:pStyle w:val="Heading3"/>
      </w:pPr>
      <w:bookmarkStart w:id="19" w:name="_Toc470944220"/>
      <w:r>
        <w:t>Other variables</w:t>
      </w:r>
      <w:bookmarkEnd w:id="19"/>
    </w:p>
    <w:p w14:paraId="05957378" w14:textId="2596340A" w:rsidR="00647841" w:rsidRDefault="0062771D" w:rsidP="00647841">
      <w:r>
        <w:t>None</w:t>
      </w:r>
    </w:p>
    <w:p w14:paraId="0E572CB1" w14:textId="77777777" w:rsidR="00112C4C" w:rsidRDefault="00112C4C" w:rsidP="00647841"/>
    <w:p w14:paraId="517B64D6" w14:textId="77777777" w:rsidR="00647841" w:rsidRDefault="00753386" w:rsidP="0071036B">
      <w:pPr>
        <w:pStyle w:val="Heading2"/>
      </w:pPr>
      <w:bookmarkStart w:id="20" w:name="_Toc470944221"/>
      <w:r>
        <w:t>Data Sources</w:t>
      </w:r>
      <w:bookmarkEnd w:id="20"/>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0" w:history="1">
        <w:r w:rsidRPr="00026C35">
          <w:rPr>
            <w:rStyle w:val="Hyperlink"/>
          </w:rPr>
          <w:t>https://github.com/OHDSI/CommonDataModel</w:t>
        </w:r>
      </w:hyperlink>
      <w:r>
        <w:t xml:space="preserve">. </w:t>
      </w:r>
    </w:p>
    <w:p w14:paraId="7BD48C12" w14:textId="77777777" w:rsidR="00FA1B4A" w:rsidRDefault="00FA1B4A" w:rsidP="00FA1B4A"/>
    <w:p w14:paraId="2EC5BB1D" w14:textId="58799394" w:rsidR="0097632D" w:rsidRDefault="00753386" w:rsidP="0097632D">
      <w:pPr>
        <w:pStyle w:val="Heading2"/>
      </w:pPr>
      <w:bookmarkStart w:id="21" w:name="_Toc470944222"/>
      <w:r>
        <w:t>Sample Size and Study Power</w:t>
      </w:r>
      <w:bookmarkEnd w:id="21"/>
    </w:p>
    <w:p w14:paraId="4B1F7679" w14:textId="2F5E2992" w:rsidR="00A201D8" w:rsidRPr="00A201D8" w:rsidRDefault="00167004" w:rsidP="00A201D8">
      <w:r>
        <w:rPr>
          <w:lang w:eastAsia="ko-KR"/>
        </w:rPr>
        <w:t>-</w:t>
      </w:r>
    </w:p>
    <w:p w14:paraId="72A81A41" w14:textId="77777777" w:rsidR="0071036B" w:rsidRDefault="0071036B" w:rsidP="0071036B">
      <w:pPr>
        <w:pStyle w:val="Heading2"/>
      </w:pPr>
      <w:bookmarkStart w:id="22" w:name="_Toc470944223"/>
      <w:r>
        <w:lastRenderedPageBreak/>
        <w:t>Quality control</w:t>
      </w:r>
      <w:bookmarkEnd w:id="22"/>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Heading2"/>
      </w:pPr>
      <w:bookmarkStart w:id="23" w:name="_Toc470944224"/>
      <w:r w:rsidRPr="0054294D">
        <w:t xml:space="preserve">Strengths and </w:t>
      </w:r>
      <w:r>
        <w:t>Limitations of the Research M</w:t>
      </w:r>
      <w:r w:rsidRPr="0054294D">
        <w:t>ethods</w:t>
      </w:r>
      <w:bookmarkEnd w:id="23"/>
    </w:p>
    <w:p w14:paraId="7FC67FA4" w14:textId="77777777" w:rsidR="00112C4C" w:rsidRDefault="00112C4C" w:rsidP="00112C4C">
      <w:bookmarkStart w:id="24" w:name="_Toc470944225"/>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77777777" w:rsidR="00112C4C" w:rsidRDefault="00112C4C" w:rsidP="006D3346">
      <w:pPr>
        <w:pStyle w:val="ListParagraph"/>
        <w:numPr>
          <w:ilvl w:val="0"/>
          <w:numId w:val="5"/>
        </w:numPr>
      </w:pPr>
      <w:r>
        <w:t>Use of negative control 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0CF7F9EA" w14:textId="77777777" w:rsidR="00112C4C" w:rsidRDefault="00112C4C" w:rsidP="006D3346">
      <w:pPr>
        <w:pStyle w:val="ListParagraph"/>
        <w:numPr>
          <w:ilvl w:val="0"/>
          <w:numId w:val="5"/>
        </w:numPr>
      </w:pPr>
      <w:r>
        <w:t xml:space="preserve">The outcome of interest, angioedema, is rare and typically captured only in inpatient settings, so we may have insufficient numbers of patients to generate reliable evidence on this drug-outcome association. </w:t>
      </w:r>
    </w:p>
    <w:p w14:paraId="094B4595" w14:textId="77777777" w:rsidR="003A48BF" w:rsidRDefault="003A48BF" w:rsidP="003A48BF">
      <w:pPr>
        <w:pStyle w:val="Heading1"/>
      </w:pPr>
      <w:r>
        <w:lastRenderedPageBreak/>
        <w:t>Protection of Human Subjects</w:t>
      </w:r>
      <w:bookmarkEnd w:id="24"/>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25" w:name="_Toc470944226"/>
      <w:r>
        <w:t>Plans for Disseminating and Communicating Study Results</w:t>
      </w:r>
      <w:bookmarkEnd w:id="25"/>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26" w:name="_Toc470944227"/>
      <w:r>
        <w:t>References</w:t>
      </w:r>
      <w:bookmarkEnd w:id="26"/>
    </w:p>
    <w:p w14:paraId="4A93BFA4" w14:textId="77777777" w:rsidR="009A285C" w:rsidRPr="009A285C" w:rsidRDefault="00706337" w:rsidP="009A285C">
      <w:pPr>
        <w:pStyle w:val="Bibliography"/>
        <w:rPr>
          <w:rFonts w:ascii="Calibri" w:cs="Calibri"/>
        </w:rPr>
      </w:pPr>
      <w:r>
        <w:fldChar w:fldCharType="begin"/>
      </w:r>
      <w:r>
        <w:instrText xml:space="preserve"> ADDIN ZOTERO_BIBL {"uncited":[],"omitted":[],"custom":[]} CSL_BIBLIOGRAPHY </w:instrText>
      </w:r>
      <w:r>
        <w:fldChar w:fldCharType="separate"/>
      </w:r>
      <w:r w:rsidR="009A285C" w:rsidRPr="009A285C">
        <w:rPr>
          <w:rFonts w:ascii="Calibri" w:cs="Calibri"/>
        </w:rPr>
        <w:t>1.</w:t>
      </w:r>
      <w:r w:rsidR="009A285C" w:rsidRPr="009A285C">
        <w:rPr>
          <w:rFonts w:ascii="Calibri" w:cs="Calibri"/>
        </w:rPr>
        <w:tab/>
        <w:t xml:space="preserve">Levine, G. N. </w:t>
      </w:r>
      <w:r w:rsidR="009A285C" w:rsidRPr="009A285C">
        <w:rPr>
          <w:rFonts w:ascii="Calibri" w:cs="Calibri"/>
          <w:i/>
          <w:iCs/>
        </w:rPr>
        <w:t>et al.</w:t>
      </w:r>
      <w:r w:rsidR="009A285C" w:rsidRPr="009A285C">
        <w:rPr>
          <w:rFonts w:ascii="Calibri" w:cs="Calibri"/>
        </w:rPr>
        <w:t xml:space="preserve"> 2016 ACC/AHA Guideline Focused Update on Duration of Dual Antiplatelet Therapy in Patients </w:t>
      </w:r>
      <w:proofErr w:type="gramStart"/>
      <w:r w:rsidR="009A285C" w:rsidRPr="009A285C">
        <w:rPr>
          <w:rFonts w:ascii="Calibri" w:cs="Calibri"/>
        </w:rPr>
        <w:t>With</w:t>
      </w:r>
      <w:proofErr w:type="gramEnd"/>
      <w:r w:rsidR="009A285C" w:rsidRPr="009A285C">
        <w:rPr>
          <w:rFonts w:ascii="Calibri" w:cs="Calibri"/>
        </w:rPr>
        <w:t xml:space="preserve"> Coronary Artery Disease: A Report of the American College of Cardiology/American Heart Association Task Force on Clinical Practice Guidelines. </w:t>
      </w:r>
      <w:r w:rsidR="009A285C" w:rsidRPr="009A285C">
        <w:rPr>
          <w:rFonts w:ascii="Calibri" w:cs="Calibri"/>
          <w:i/>
          <w:iCs/>
        </w:rPr>
        <w:t xml:space="preserve">J. Am. Coll. </w:t>
      </w:r>
      <w:proofErr w:type="spellStart"/>
      <w:r w:rsidR="009A285C" w:rsidRPr="009A285C">
        <w:rPr>
          <w:rFonts w:ascii="Calibri" w:cs="Calibri"/>
          <w:i/>
          <w:iCs/>
        </w:rPr>
        <w:t>Cardiol</w:t>
      </w:r>
      <w:proofErr w:type="spellEnd"/>
      <w:r w:rsidR="009A285C" w:rsidRPr="009A285C">
        <w:rPr>
          <w:rFonts w:ascii="Calibri" w:cs="Calibri"/>
          <w:i/>
          <w:iCs/>
        </w:rPr>
        <w:t>.</w:t>
      </w:r>
      <w:r w:rsidR="009A285C" w:rsidRPr="009A285C">
        <w:rPr>
          <w:rFonts w:ascii="Calibri" w:cs="Calibri"/>
        </w:rPr>
        <w:t xml:space="preserve"> </w:t>
      </w:r>
      <w:r w:rsidR="009A285C" w:rsidRPr="009A285C">
        <w:rPr>
          <w:rFonts w:ascii="Calibri" w:cs="Calibri"/>
          <w:b/>
          <w:bCs/>
        </w:rPr>
        <w:t>68</w:t>
      </w:r>
      <w:r w:rsidR="009A285C" w:rsidRPr="009A285C">
        <w:rPr>
          <w:rFonts w:ascii="Calibri" w:cs="Calibri"/>
        </w:rPr>
        <w:t>, 1082–1115 (2016).</w:t>
      </w:r>
    </w:p>
    <w:p w14:paraId="212BD956" w14:textId="77777777" w:rsidR="009A285C" w:rsidRPr="009A285C" w:rsidRDefault="009A285C" w:rsidP="009A285C">
      <w:pPr>
        <w:pStyle w:val="Bibliography"/>
        <w:rPr>
          <w:rFonts w:ascii="Calibri" w:cs="Calibri"/>
        </w:rPr>
      </w:pPr>
      <w:r w:rsidRPr="009A285C">
        <w:rPr>
          <w:rFonts w:ascii="Calibri" w:cs="Calibri"/>
        </w:rPr>
        <w:t>2.</w:t>
      </w:r>
      <w:r w:rsidRPr="009A285C">
        <w:rPr>
          <w:rFonts w:ascii="Calibri" w:cs="Calibri"/>
        </w:rPr>
        <w:tab/>
      </w:r>
      <w:proofErr w:type="spellStart"/>
      <w:r w:rsidRPr="009A285C">
        <w:rPr>
          <w:rFonts w:ascii="Calibri" w:cs="Calibri"/>
        </w:rPr>
        <w:t>Valgimigli</w:t>
      </w:r>
      <w:proofErr w:type="spellEnd"/>
      <w:r w:rsidRPr="009A285C">
        <w:rPr>
          <w:rFonts w:ascii="Calibri" w:cs="Calibri"/>
        </w:rPr>
        <w:t xml:space="preserve">, M. </w:t>
      </w:r>
      <w:r w:rsidRPr="009A285C">
        <w:rPr>
          <w:rFonts w:ascii="Calibri" w:cs="Calibri"/>
          <w:i/>
          <w:iCs/>
        </w:rPr>
        <w:t>et al.</w:t>
      </w:r>
      <w:r w:rsidRPr="009A285C">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A285C">
        <w:rPr>
          <w:rFonts w:ascii="Calibri" w:cs="Calibri"/>
          <w:i/>
          <w:iCs/>
        </w:rPr>
        <w:t>Eur. Heart J.</w:t>
      </w:r>
      <w:r w:rsidRPr="009A285C">
        <w:rPr>
          <w:rFonts w:ascii="Calibri" w:cs="Calibri"/>
        </w:rPr>
        <w:t xml:space="preserve"> </w:t>
      </w:r>
      <w:r w:rsidRPr="009A285C">
        <w:rPr>
          <w:rFonts w:ascii="Calibri" w:cs="Calibri"/>
          <w:b/>
          <w:bCs/>
        </w:rPr>
        <w:t>39</w:t>
      </w:r>
      <w:r w:rsidRPr="009A285C">
        <w:rPr>
          <w:rFonts w:ascii="Calibri" w:cs="Calibri"/>
        </w:rPr>
        <w:t>, 213–260 (2018).</w:t>
      </w:r>
    </w:p>
    <w:p w14:paraId="2A3D7B28" w14:textId="77777777" w:rsidR="009A285C" w:rsidRPr="009A285C" w:rsidRDefault="009A285C" w:rsidP="009A285C">
      <w:pPr>
        <w:pStyle w:val="Bibliography"/>
        <w:rPr>
          <w:rFonts w:ascii="Calibri" w:cs="Calibri"/>
        </w:rPr>
      </w:pPr>
      <w:r w:rsidRPr="009A285C">
        <w:rPr>
          <w:rFonts w:ascii="Calibri" w:cs="Calibri"/>
        </w:rPr>
        <w:t>3.</w:t>
      </w:r>
      <w:r w:rsidRPr="009A285C">
        <w:rPr>
          <w:rFonts w:ascii="Calibri" w:cs="Calibri"/>
        </w:rPr>
        <w:tab/>
      </w:r>
      <w:proofErr w:type="spellStart"/>
      <w:r w:rsidRPr="009A285C">
        <w:rPr>
          <w:rFonts w:ascii="Calibri" w:cs="Calibri"/>
        </w:rPr>
        <w:t>Wallentin</w:t>
      </w:r>
      <w:proofErr w:type="spellEnd"/>
      <w:r w:rsidRPr="009A285C">
        <w:rPr>
          <w:rFonts w:ascii="Calibri" w:cs="Calibri"/>
        </w:rPr>
        <w:t xml:space="preserve">, L. </w:t>
      </w:r>
      <w:r w:rsidRPr="009A285C">
        <w:rPr>
          <w:rFonts w:ascii="Calibri" w:cs="Calibri"/>
          <w:i/>
          <w:iCs/>
        </w:rPr>
        <w:t>et al.</w:t>
      </w:r>
      <w:r w:rsidRPr="009A285C">
        <w:rPr>
          <w:rFonts w:ascii="Calibri" w:cs="Calibri"/>
        </w:rPr>
        <w:t xml:space="preserve"> Ticagrelor versus </w:t>
      </w:r>
      <w:proofErr w:type="spellStart"/>
      <w:r w:rsidRPr="009A285C">
        <w:rPr>
          <w:rFonts w:ascii="Calibri" w:cs="Calibri"/>
        </w:rPr>
        <w:t>Clopidogrel</w:t>
      </w:r>
      <w:proofErr w:type="spellEnd"/>
      <w:r w:rsidRPr="009A285C">
        <w:rPr>
          <w:rFonts w:ascii="Calibri" w:cs="Calibri"/>
        </w:rPr>
        <w:t xml:space="preserve"> in Patients with Acute Coronary Syndromes. </w:t>
      </w:r>
      <w:r w:rsidRPr="009A285C">
        <w:rPr>
          <w:rFonts w:ascii="Calibri" w:cs="Calibri"/>
          <w:i/>
          <w:iCs/>
        </w:rPr>
        <w:t>N. Engl. J. Med.</w:t>
      </w:r>
      <w:r w:rsidRPr="009A285C">
        <w:rPr>
          <w:rFonts w:ascii="Calibri" w:cs="Calibri"/>
        </w:rPr>
        <w:t xml:space="preserve"> </w:t>
      </w:r>
      <w:r w:rsidRPr="009A285C">
        <w:rPr>
          <w:rFonts w:ascii="Calibri" w:cs="Calibri"/>
          <w:b/>
          <w:bCs/>
        </w:rPr>
        <w:t>361</w:t>
      </w:r>
      <w:r w:rsidRPr="009A285C">
        <w:rPr>
          <w:rFonts w:ascii="Calibri" w:cs="Calibri"/>
        </w:rPr>
        <w:t>, 1045–1057 (2009).</w:t>
      </w:r>
    </w:p>
    <w:p w14:paraId="13AA68E1" w14:textId="77777777" w:rsidR="009A285C" w:rsidRPr="009A285C" w:rsidRDefault="009A285C" w:rsidP="009A285C">
      <w:pPr>
        <w:pStyle w:val="Bibliography"/>
        <w:rPr>
          <w:rFonts w:ascii="Calibri" w:cs="Calibri"/>
        </w:rPr>
      </w:pPr>
      <w:r w:rsidRPr="009A285C">
        <w:rPr>
          <w:rFonts w:ascii="Calibri" w:cs="Calibri"/>
        </w:rPr>
        <w:t>4.</w:t>
      </w:r>
      <w:r w:rsidRPr="009A285C">
        <w:rPr>
          <w:rFonts w:ascii="Calibri" w:cs="Calibri"/>
        </w:rPr>
        <w:tab/>
        <w:t xml:space="preserve">Wang, T. Y. </w:t>
      </w:r>
      <w:r w:rsidRPr="009A285C">
        <w:rPr>
          <w:rFonts w:ascii="Calibri" w:cs="Calibri"/>
          <w:i/>
          <w:iCs/>
        </w:rPr>
        <w:t>et al.</w:t>
      </w:r>
      <w:r w:rsidRPr="009A285C">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A285C">
        <w:rPr>
          <w:rFonts w:ascii="Calibri" w:cs="Calibri"/>
          <w:i/>
          <w:iCs/>
        </w:rPr>
        <w:t xml:space="preserve">Am. J. </w:t>
      </w:r>
      <w:proofErr w:type="spellStart"/>
      <w:r w:rsidRPr="009A285C">
        <w:rPr>
          <w:rFonts w:ascii="Calibri" w:cs="Calibri"/>
          <w:i/>
          <w:iCs/>
        </w:rPr>
        <w:t>Cardiol</w:t>
      </w:r>
      <w:proofErr w:type="spellEnd"/>
      <w:r w:rsidRPr="009A285C">
        <w:rPr>
          <w:rFonts w:ascii="Calibri" w:cs="Calibri"/>
          <w:i/>
          <w:iCs/>
        </w:rPr>
        <w:t>.</w:t>
      </w:r>
      <w:r w:rsidRPr="009A285C">
        <w:rPr>
          <w:rFonts w:ascii="Calibri" w:cs="Calibri"/>
        </w:rPr>
        <w:t xml:space="preserve"> </w:t>
      </w:r>
      <w:r w:rsidRPr="009A285C">
        <w:rPr>
          <w:rFonts w:ascii="Calibri" w:cs="Calibri"/>
          <w:b/>
          <w:bCs/>
        </w:rPr>
        <w:t>100</w:t>
      </w:r>
      <w:r w:rsidRPr="009A285C">
        <w:rPr>
          <w:rFonts w:ascii="Calibri" w:cs="Calibri"/>
        </w:rPr>
        <w:t>, 391–396 (2007).</w:t>
      </w:r>
    </w:p>
    <w:p w14:paraId="0B862DD3" w14:textId="77777777" w:rsidR="009A285C" w:rsidRPr="009A285C" w:rsidRDefault="009A285C" w:rsidP="009A285C">
      <w:pPr>
        <w:pStyle w:val="Bibliography"/>
        <w:rPr>
          <w:rFonts w:ascii="Calibri" w:cs="Calibri"/>
        </w:rPr>
      </w:pPr>
      <w:r w:rsidRPr="009A285C">
        <w:rPr>
          <w:rFonts w:ascii="Calibri" w:cs="Calibri"/>
        </w:rPr>
        <w:t>5.</w:t>
      </w:r>
      <w:r w:rsidRPr="009A285C">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A285C">
        <w:rPr>
          <w:rFonts w:ascii="Calibri" w:cs="Calibri"/>
          <w:i/>
          <w:iCs/>
        </w:rPr>
        <w:t>Circulation</w:t>
      </w:r>
      <w:r w:rsidRPr="009A285C">
        <w:rPr>
          <w:rFonts w:ascii="Calibri" w:cs="Calibri"/>
        </w:rPr>
        <w:t xml:space="preserve"> </w:t>
      </w:r>
      <w:r w:rsidRPr="009A285C">
        <w:rPr>
          <w:rFonts w:ascii="Calibri" w:cs="Calibri"/>
          <w:b/>
          <w:bCs/>
        </w:rPr>
        <w:t>125</w:t>
      </w:r>
      <w:r w:rsidRPr="009A285C">
        <w:rPr>
          <w:rFonts w:ascii="Calibri" w:cs="Calibri"/>
        </w:rPr>
        <w:t>, 1727–1734 (2012).</w:t>
      </w:r>
    </w:p>
    <w:p w14:paraId="35989FF7" w14:textId="77777777" w:rsidR="009A285C" w:rsidRPr="009A285C" w:rsidRDefault="009A285C" w:rsidP="009A285C">
      <w:pPr>
        <w:pStyle w:val="Bibliography"/>
        <w:rPr>
          <w:rFonts w:ascii="Calibri" w:cs="Calibri"/>
        </w:rPr>
      </w:pPr>
      <w:r w:rsidRPr="009A285C">
        <w:rPr>
          <w:rFonts w:ascii="Calibri" w:cs="Calibri"/>
        </w:rPr>
        <w:lastRenderedPageBreak/>
        <w:t>6.</w:t>
      </w:r>
      <w:r w:rsidRPr="009A285C">
        <w:rPr>
          <w:rFonts w:ascii="Calibri" w:cs="Calibri"/>
        </w:rPr>
        <w:tab/>
      </w:r>
      <w:proofErr w:type="spellStart"/>
      <w:r w:rsidRPr="009A285C">
        <w:rPr>
          <w:rFonts w:ascii="Calibri" w:cs="Calibri"/>
        </w:rPr>
        <w:t>Misumida</w:t>
      </w:r>
      <w:proofErr w:type="spellEnd"/>
      <w:r w:rsidRPr="009A285C">
        <w:rPr>
          <w:rFonts w:ascii="Calibri" w:cs="Calibri"/>
        </w:rPr>
        <w:t xml:space="preserve">, N., Aoi, S., Kim, S. M., </w:t>
      </w:r>
      <w:proofErr w:type="spellStart"/>
      <w:r w:rsidRPr="009A285C">
        <w:rPr>
          <w:rFonts w:ascii="Calibri" w:cs="Calibri"/>
        </w:rPr>
        <w:t>Ziada</w:t>
      </w:r>
      <w:proofErr w:type="spellEnd"/>
      <w:r w:rsidRPr="009A285C">
        <w:rPr>
          <w:rFonts w:ascii="Calibri" w:cs="Calibri"/>
        </w:rPr>
        <w:t xml:space="preserve">, K. M. &amp; Abdel-Latif, A. Ticagrelor versus </w:t>
      </w:r>
      <w:proofErr w:type="spellStart"/>
      <w:r w:rsidRPr="009A285C">
        <w:rPr>
          <w:rFonts w:ascii="Calibri" w:cs="Calibri"/>
        </w:rPr>
        <w:t>clopidogrel</w:t>
      </w:r>
      <w:proofErr w:type="spellEnd"/>
      <w:r w:rsidRPr="009A285C">
        <w:rPr>
          <w:rFonts w:ascii="Calibri" w:cs="Calibri"/>
        </w:rPr>
        <w:t xml:space="preserve"> in East Asian patients with acute coronary syndrome: Systematic review and meta-analysis. </w:t>
      </w:r>
      <w:r w:rsidRPr="009A285C">
        <w:rPr>
          <w:rFonts w:ascii="Calibri" w:cs="Calibri"/>
          <w:i/>
          <w:iCs/>
        </w:rPr>
        <w:t xml:space="preserve">Cardiovasc. </w:t>
      </w:r>
      <w:proofErr w:type="spellStart"/>
      <w:r w:rsidRPr="009A285C">
        <w:rPr>
          <w:rFonts w:ascii="Calibri" w:cs="Calibri"/>
          <w:i/>
          <w:iCs/>
        </w:rPr>
        <w:t>Revasc</w:t>
      </w:r>
      <w:proofErr w:type="spellEnd"/>
      <w:r w:rsidRPr="009A285C">
        <w:rPr>
          <w:rFonts w:ascii="Calibri" w:cs="Calibri"/>
          <w:i/>
          <w:iCs/>
        </w:rPr>
        <w:t>. Med.</w:t>
      </w:r>
      <w:r w:rsidRPr="009A285C">
        <w:rPr>
          <w:rFonts w:ascii="Calibri" w:cs="Calibri"/>
        </w:rPr>
        <w:t xml:space="preserve"> </w:t>
      </w:r>
      <w:r w:rsidRPr="009A285C">
        <w:rPr>
          <w:rFonts w:ascii="Calibri" w:cs="Calibri"/>
          <w:b/>
          <w:bCs/>
        </w:rPr>
        <w:t>19</w:t>
      </w:r>
      <w:r w:rsidRPr="009A285C">
        <w:rPr>
          <w:rFonts w:ascii="Calibri" w:cs="Calibri"/>
        </w:rPr>
        <w:t>, 689–694 (2018).</w:t>
      </w:r>
    </w:p>
    <w:p w14:paraId="3B3D95EE" w14:textId="77777777" w:rsidR="009A285C" w:rsidRPr="009A285C" w:rsidRDefault="009A285C" w:rsidP="009A285C">
      <w:pPr>
        <w:pStyle w:val="Bibliography"/>
        <w:rPr>
          <w:rFonts w:ascii="Calibri" w:cs="Calibri"/>
        </w:rPr>
      </w:pPr>
      <w:r w:rsidRPr="009A285C">
        <w:rPr>
          <w:rFonts w:ascii="Calibri" w:cs="Calibri"/>
        </w:rPr>
        <w:t>7.</w:t>
      </w:r>
      <w:r w:rsidRPr="009A285C">
        <w:rPr>
          <w:rFonts w:ascii="Calibri" w:cs="Calibri"/>
        </w:rPr>
        <w:tab/>
        <w:t xml:space="preserve">Mahaffey Kenneth W. </w:t>
      </w:r>
      <w:r w:rsidRPr="009A285C">
        <w:rPr>
          <w:rFonts w:ascii="Calibri" w:cs="Calibri"/>
          <w:i/>
          <w:iCs/>
        </w:rPr>
        <w:t>et al.</w:t>
      </w:r>
      <w:r w:rsidRPr="009A285C">
        <w:rPr>
          <w:rFonts w:ascii="Calibri" w:cs="Calibri"/>
        </w:rPr>
        <w:t xml:space="preserve"> Ticagrelor Compared </w:t>
      </w:r>
      <w:proofErr w:type="gramStart"/>
      <w:r w:rsidRPr="009A285C">
        <w:rPr>
          <w:rFonts w:ascii="Calibri" w:cs="Calibri"/>
        </w:rPr>
        <w:t>With</w:t>
      </w:r>
      <w:proofErr w:type="gramEnd"/>
      <w:r w:rsidRPr="009A285C">
        <w:rPr>
          <w:rFonts w:ascii="Calibri" w:cs="Calibri"/>
        </w:rPr>
        <w:t xml:space="preserve"> </w:t>
      </w:r>
      <w:proofErr w:type="spellStart"/>
      <w:r w:rsidRPr="009A285C">
        <w:rPr>
          <w:rFonts w:ascii="Calibri" w:cs="Calibri"/>
        </w:rPr>
        <w:t>Clopidogrel</w:t>
      </w:r>
      <w:proofErr w:type="spellEnd"/>
      <w:r w:rsidRPr="009A285C">
        <w:rPr>
          <w:rFonts w:ascii="Calibri" w:cs="Calibri"/>
        </w:rPr>
        <w:t xml:space="preserve"> by Geographic Region in the Platelet Inhibition and Patient Outcomes (PLATO) Trial. </w:t>
      </w:r>
      <w:r w:rsidRPr="009A285C">
        <w:rPr>
          <w:rFonts w:ascii="Calibri" w:cs="Calibri"/>
          <w:i/>
          <w:iCs/>
        </w:rPr>
        <w:t>Circulation</w:t>
      </w:r>
      <w:r w:rsidRPr="009A285C">
        <w:rPr>
          <w:rFonts w:ascii="Calibri" w:cs="Calibri"/>
        </w:rPr>
        <w:t xml:space="preserve"> </w:t>
      </w:r>
      <w:r w:rsidRPr="009A285C">
        <w:rPr>
          <w:rFonts w:ascii="Calibri" w:cs="Calibri"/>
          <w:b/>
          <w:bCs/>
        </w:rPr>
        <w:t>124</w:t>
      </w:r>
      <w:r w:rsidRPr="009A285C">
        <w:rPr>
          <w:rFonts w:ascii="Calibri" w:cs="Calibri"/>
        </w:rPr>
        <w:t>, 544–554 (2011).</w:t>
      </w:r>
    </w:p>
    <w:p w14:paraId="05379C57" w14:textId="03D7B788" w:rsidR="006D5E44" w:rsidRDefault="00706337" w:rsidP="0062771D">
      <w:pPr>
        <w:spacing w:line="360" w:lineRule="auto"/>
      </w:pPr>
      <w:r>
        <w:fldChar w:fldCharType="end"/>
      </w:r>
    </w:p>
    <w:sectPr w:rsidR="006D5E44" w:rsidSect="007459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3E4D3" w14:textId="77777777" w:rsidR="00EB26C4" w:rsidRDefault="00EB26C4" w:rsidP="0074593E">
      <w:pPr>
        <w:spacing w:after="0" w:line="240" w:lineRule="auto"/>
      </w:pPr>
      <w:r>
        <w:separator/>
      </w:r>
    </w:p>
  </w:endnote>
  <w:endnote w:type="continuationSeparator" w:id="0">
    <w:p w14:paraId="1732EE44" w14:textId="77777777" w:rsidR="00EB26C4" w:rsidRDefault="00EB26C4"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Segoe UI">
    <w:altName w:val="Sylfaen"/>
    <w:panose1 w:val="020B0604020202020204"/>
    <w:charset w:val="00"/>
    <w:family w:val="auto"/>
    <w:pitch w:val="variable"/>
    <w:sig w:usb0="A00002EF" w:usb1="4000207B" w:usb2="00000000" w:usb3="00000000" w:csb0="FFFFFF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A176EE" w:rsidRDefault="00A176EE">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A243B" w14:textId="77777777" w:rsidR="00EB26C4" w:rsidRDefault="00EB26C4" w:rsidP="0074593E">
      <w:pPr>
        <w:spacing w:after="0" w:line="240" w:lineRule="auto"/>
      </w:pPr>
      <w:r>
        <w:separator/>
      </w:r>
    </w:p>
  </w:footnote>
  <w:footnote w:type="continuationSeparator" w:id="0">
    <w:p w14:paraId="7B97A0E0" w14:textId="77777777" w:rsidR="00EB26C4" w:rsidRDefault="00EB26C4"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A176EE" w:rsidRDefault="00A176EE">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9"/>
  </w:num>
  <w:num w:numId="4">
    <w:abstractNumId w:val="8"/>
  </w:num>
  <w:num w:numId="5">
    <w:abstractNumId w:val="0"/>
  </w:num>
  <w:num w:numId="6">
    <w:abstractNumId w:val="11"/>
  </w:num>
  <w:num w:numId="7">
    <w:abstractNumId w:val="12"/>
  </w:num>
  <w:num w:numId="8">
    <w:abstractNumId w:val="5"/>
  </w:num>
  <w:num w:numId="9">
    <w:abstractNumId w:val="1"/>
  </w:num>
  <w:num w:numId="10">
    <w:abstractNumId w:val="2"/>
  </w:num>
  <w:num w:numId="11">
    <w:abstractNumId w:val="6"/>
  </w:num>
  <w:num w:numId="12">
    <w:abstractNumId w:val="3"/>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12C4C"/>
    <w:rsid w:val="00121440"/>
    <w:rsid w:val="00153673"/>
    <w:rsid w:val="001542F2"/>
    <w:rsid w:val="00157C17"/>
    <w:rsid w:val="00157F8D"/>
    <w:rsid w:val="00167004"/>
    <w:rsid w:val="00176A9A"/>
    <w:rsid w:val="00180C7D"/>
    <w:rsid w:val="001846CB"/>
    <w:rsid w:val="00184A2F"/>
    <w:rsid w:val="001A4A28"/>
    <w:rsid w:val="001C6EF1"/>
    <w:rsid w:val="001D2E89"/>
    <w:rsid w:val="001E1EF6"/>
    <w:rsid w:val="001E3220"/>
    <w:rsid w:val="001E5B62"/>
    <w:rsid w:val="001F1712"/>
    <w:rsid w:val="00204413"/>
    <w:rsid w:val="00217089"/>
    <w:rsid w:val="002221E8"/>
    <w:rsid w:val="002261ED"/>
    <w:rsid w:val="00226DD5"/>
    <w:rsid w:val="002406D5"/>
    <w:rsid w:val="00240C40"/>
    <w:rsid w:val="00251097"/>
    <w:rsid w:val="00251647"/>
    <w:rsid w:val="00254B76"/>
    <w:rsid w:val="002610B2"/>
    <w:rsid w:val="00266E89"/>
    <w:rsid w:val="00283B70"/>
    <w:rsid w:val="00284F94"/>
    <w:rsid w:val="00292F94"/>
    <w:rsid w:val="002A5323"/>
    <w:rsid w:val="002B25DE"/>
    <w:rsid w:val="002B2C62"/>
    <w:rsid w:val="002B6846"/>
    <w:rsid w:val="002C1203"/>
    <w:rsid w:val="002C6E95"/>
    <w:rsid w:val="002C7801"/>
    <w:rsid w:val="002D2403"/>
    <w:rsid w:val="002E5446"/>
    <w:rsid w:val="002E5F31"/>
    <w:rsid w:val="002F308A"/>
    <w:rsid w:val="00300ED7"/>
    <w:rsid w:val="003029C0"/>
    <w:rsid w:val="003322DA"/>
    <w:rsid w:val="00332E9D"/>
    <w:rsid w:val="00342A5C"/>
    <w:rsid w:val="00354C2C"/>
    <w:rsid w:val="003641BC"/>
    <w:rsid w:val="00364646"/>
    <w:rsid w:val="003654C3"/>
    <w:rsid w:val="0037436A"/>
    <w:rsid w:val="00376F03"/>
    <w:rsid w:val="00381412"/>
    <w:rsid w:val="00396739"/>
    <w:rsid w:val="003A3F1C"/>
    <w:rsid w:val="003A48BF"/>
    <w:rsid w:val="003A7244"/>
    <w:rsid w:val="003C673A"/>
    <w:rsid w:val="003C6E46"/>
    <w:rsid w:val="003D317B"/>
    <w:rsid w:val="003E153B"/>
    <w:rsid w:val="003E41DD"/>
    <w:rsid w:val="003E7DD0"/>
    <w:rsid w:val="003F2A9A"/>
    <w:rsid w:val="003F5091"/>
    <w:rsid w:val="00401126"/>
    <w:rsid w:val="0040297A"/>
    <w:rsid w:val="00410363"/>
    <w:rsid w:val="00414EDA"/>
    <w:rsid w:val="00415406"/>
    <w:rsid w:val="00417EEE"/>
    <w:rsid w:val="004227AE"/>
    <w:rsid w:val="00423CDE"/>
    <w:rsid w:val="00431DA7"/>
    <w:rsid w:val="004362E5"/>
    <w:rsid w:val="00444A4E"/>
    <w:rsid w:val="00450F15"/>
    <w:rsid w:val="0045184F"/>
    <w:rsid w:val="004635F0"/>
    <w:rsid w:val="004878E3"/>
    <w:rsid w:val="00487F21"/>
    <w:rsid w:val="0049270D"/>
    <w:rsid w:val="00492972"/>
    <w:rsid w:val="00493B8D"/>
    <w:rsid w:val="00497DA6"/>
    <w:rsid w:val="004A4CFD"/>
    <w:rsid w:val="004A55E0"/>
    <w:rsid w:val="004A5EC3"/>
    <w:rsid w:val="004B3862"/>
    <w:rsid w:val="004B444E"/>
    <w:rsid w:val="004B73CA"/>
    <w:rsid w:val="004C12E6"/>
    <w:rsid w:val="004C2A2F"/>
    <w:rsid w:val="004C74C9"/>
    <w:rsid w:val="004D43F5"/>
    <w:rsid w:val="004F2115"/>
    <w:rsid w:val="00505BF8"/>
    <w:rsid w:val="00505F97"/>
    <w:rsid w:val="00506BC6"/>
    <w:rsid w:val="0051667F"/>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A24D9"/>
    <w:rsid w:val="005A4F8C"/>
    <w:rsid w:val="005B15B0"/>
    <w:rsid w:val="005B1DB3"/>
    <w:rsid w:val="005B4230"/>
    <w:rsid w:val="005B78B9"/>
    <w:rsid w:val="005C0D00"/>
    <w:rsid w:val="005C209F"/>
    <w:rsid w:val="005C59C9"/>
    <w:rsid w:val="005C607D"/>
    <w:rsid w:val="005D02C1"/>
    <w:rsid w:val="005D03C2"/>
    <w:rsid w:val="005D4B29"/>
    <w:rsid w:val="005E354C"/>
    <w:rsid w:val="005E614C"/>
    <w:rsid w:val="00617901"/>
    <w:rsid w:val="0062116D"/>
    <w:rsid w:val="0062771D"/>
    <w:rsid w:val="006326E8"/>
    <w:rsid w:val="0063274C"/>
    <w:rsid w:val="00636F2A"/>
    <w:rsid w:val="00640D6C"/>
    <w:rsid w:val="00647841"/>
    <w:rsid w:val="00654A51"/>
    <w:rsid w:val="006602A7"/>
    <w:rsid w:val="006607D7"/>
    <w:rsid w:val="0066103F"/>
    <w:rsid w:val="00666E3E"/>
    <w:rsid w:val="00667496"/>
    <w:rsid w:val="00677664"/>
    <w:rsid w:val="00677D35"/>
    <w:rsid w:val="0068145E"/>
    <w:rsid w:val="0068303C"/>
    <w:rsid w:val="00684181"/>
    <w:rsid w:val="006852B4"/>
    <w:rsid w:val="006856EF"/>
    <w:rsid w:val="00686884"/>
    <w:rsid w:val="00695FCE"/>
    <w:rsid w:val="006B325F"/>
    <w:rsid w:val="006B6A9A"/>
    <w:rsid w:val="006C33E0"/>
    <w:rsid w:val="006C3F33"/>
    <w:rsid w:val="006D1E30"/>
    <w:rsid w:val="006D3346"/>
    <w:rsid w:val="006D5E44"/>
    <w:rsid w:val="006E36A5"/>
    <w:rsid w:val="006E50F5"/>
    <w:rsid w:val="0070266B"/>
    <w:rsid w:val="00706337"/>
    <w:rsid w:val="00706740"/>
    <w:rsid w:val="00706CDE"/>
    <w:rsid w:val="0071036B"/>
    <w:rsid w:val="00713641"/>
    <w:rsid w:val="0071403A"/>
    <w:rsid w:val="0071742D"/>
    <w:rsid w:val="00717F97"/>
    <w:rsid w:val="00733F09"/>
    <w:rsid w:val="00737CC0"/>
    <w:rsid w:val="00744E55"/>
    <w:rsid w:val="0074593E"/>
    <w:rsid w:val="00746FAA"/>
    <w:rsid w:val="00753386"/>
    <w:rsid w:val="00755FAB"/>
    <w:rsid w:val="00757B6E"/>
    <w:rsid w:val="007629C6"/>
    <w:rsid w:val="00773064"/>
    <w:rsid w:val="007A3783"/>
    <w:rsid w:val="007B09E2"/>
    <w:rsid w:val="007E75ED"/>
    <w:rsid w:val="007F34FD"/>
    <w:rsid w:val="007F6A8B"/>
    <w:rsid w:val="00815E60"/>
    <w:rsid w:val="008232F6"/>
    <w:rsid w:val="008267B0"/>
    <w:rsid w:val="00832CB5"/>
    <w:rsid w:val="008347AE"/>
    <w:rsid w:val="008449DA"/>
    <w:rsid w:val="00845040"/>
    <w:rsid w:val="008478AE"/>
    <w:rsid w:val="00873736"/>
    <w:rsid w:val="008762D1"/>
    <w:rsid w:val="00876FB9"/>
    <w:rsid w:val="00881883"/>
    <w:rsid w:val="00886B20"/>
    <w:rsid w:val="00890410"/>
    <w:rsid w:val="008A20CE"/>
    <w:rsid w:val="008C3E64"/>
    <w:rsid w:val="008D3D46"/>
    <w:rsid w:val="008E2210"/>
    <w:rsid w:val="008E259A"/>
    <w:rsid w:val="008F127C"/>
    <w:rsid w:val="008F7E4B"/>
    <w:rsid w:val="0090464E"/>
    <w:rsid w:val="00912EC1"/>
    <w:rsid w:val="00921905"/>
    <w:rsid w:val="009243CA"/>
    <w:rsid w:val="0092461C"/>
    <w:rsid w:val="009318A3"/>
    <w:rsid w:val="00932059"/>
    <w:rsid w:val="0093284F"/>
    <w:rsid w:val="0094199E"/>
    <w:rsid w:val="009523EF"/>
    <w:rsid w:val="0095254B"/>
    <w:rsid w:val="00961DED"/>
    <w:rsid w:val="009652F8"/>
    <w:rsid w:val="00965830"/>
    <w:rsid w:val="0097506C"/>
    <w:rsid w:val="0097632D"/>
    <w:rsid w:val="009821FA"/>
    <w:rsid w:val="009831D6"/>
    <w:rsid w:val="009955E4"/>
    <w:rsid w:val="009962D2"/>
    <w:rsid w:val="009A285C"/>
    <w:rsid w:val="009A58F4"/>
    <w:rsid w:val="009A72C2"/>
    <w:rsid w:val="009B5589"/>
    <w:rsid w:val="009C2B13"/>
    <w:rsid w:val="009C7230"/>
    <w:rsid w:val="009D029E"/>
    <w:rsid w:val="009D100D"/>
    <w:rsid w:val="009D45C8"/>
    <w:rsid w:val="009D4796"/>
    <w:rsid w:val="009D7181"/>
    <w:rsid w:val="009E1D60"/>
    <w:rsid w:val="009E3CCD"/>
    <w:rsid w:val="009E4907"/>
    <w:rsid w:val="00A01E4C"/>
    <w:rsid w:val="00A01EEA"/>
    <w:rsid w:val="00A05607"/>
    <w:rsid w:val="00A05DFF"/>
    <w:rsid w:val="00A0722D"/>
    <w:rsid w:val="00A134F3"/>
    <w:rsid w:val="00A176EE"/>
    <w:rsid w:val="00A201D8"/>
    <w:rsid w:val="00A21D49"/>
    <w:rsid w:val="00A26520"/>
    <w:rsid w:val="00A273EE"/>
    <w:rsid w:val="00A40668"/>
    <w:rsid w:val="00A42B5A"/>
    <w:rsid w:val="00A431E4"/>
    <w:rsid w:val="00A51784"/>
    <w:rsid w:val="00A57501"/>
    <w:rsid w:val="00A65279"/>
    <w:rsid w:val="00A65697"/>
    <w:rsid w:val="00A711D8"/>
    <w:rsid w:val="00A71A73"/>
    <w:rsid w:val="00A75406"/>
    <w:rsid w:val="00A76763"/>
    <w:rsid w:val="00A8384D"/>
    <w:rsid w:val="00A9089F"/>
    <w:rsid w:val="00A90C5A"/>
    <w:rsid w:val="00AA7C3C"/>
    <w:rsid w:val="00AB252D"/>
    <w:rsid w:val="00AC7D21"/>
    <w:rsid w:val="00AD61A7"/>
    <w:rsid w:val="00AD757C"/>
    <w:rsid w:val="00AE0213"/>
    <w:rsid w:val="00AE0BC0"/>
    <w:rsid w:val="00AE518E"/>
    <w:rsid w:val="00AF0580"/>
    <w:rsid w:val="00AF2682"/>
    <w:rsid w:val="00AF3F3E"/>
    <w:rsid w:val="00B00987"/>
    <w:rsid w:val="00B10D0B"/>
    <w:rsid w:val="00B11D82"/>
    <w:rsid w:val="00B14DDC"/>
    <w:rsid w:val="00B15EDA"/>
    <w:rsid w:val="00B20BD3"/>
    <w:rsid w:val="00B46B1E"/>
    <w:rsid w:val="00B620A2"/>
    <w:rsid w:val="00B62F92"/>
    <w:rsid w:val="00B65A8B"/>
    <w:rsid w:val="00B70E7F"/>
    <w:rsid w:val="00B73FB8"/>
    <w:rsid w:val="00B746D7"/>
    <w:rsid w:val="00B92C3E"/>
    <w:rsid w:val="00BB1928"/>
    <w:rsid w:val="00BB6C16"/>
    <w:rsid w:val="00BC66AC"/>
    <w:rsid w:val="00BD061A"/>
    <w:rsid w:val="00BD1C3F"/>
    <w:rsid w:val="00BD6715"/>
    <w:rsid w:val="00BE41A2"/>
    <w:rsid w:val="00BE5778"/>
    <w:rsid w:val="00BE5C8C"/>
    <w:rsid w:val="00BE73A5"/>
    <w:rsid w:val="00C045BC"/>
    <w:rsid w:val="00C109DD"/>
    <w:rsid w:val="00C16C49"/>
    <w:rsid w:val="00C33D4B"/>
    <w:rsid w:val="00C34318"/>
    <w:rsid w:val="00C347BF"/>
    <w:rsid w:val="00C363B4"/>
    <w:rsid w:val="00C42E44"/>
    <w:rsid w:val="00C46455"/>
    <w:rsid w:val="00C50102"/>
    <w:rsid w:val="00C51C99"/>
    <w:rsid w:val="00C559A6"/>
    <w:rsid w:val="00C63169"/>
    <w:rsid w:val="00C80C79"/>
    <w:rsid w:val="00C84B89"/>
    <w:rsid w:val="00CA21CE"/>
    <w:rsid w:val="00CB1F6C"/>
    <w:rsid w:val="00CB5628"/>
    <w:rsid w:val="00CB62E4"/>
    <w:rsid w:val="00CC0B47"/>
    <w:rsid w:val="00CD3BC1"/>
    <w:rsid w:val="00CD4EAF"/>
    <w:rsid w:val="00CF2E19"/>
    <w:rsid w:val="00CF681F"/>
    <w:rsid w:val="00D060EC"/>
    <w:rsid w:val="00D06406"/>
    <w:rsid w:val="00D10C3F"/>
    <w:rsid w:val="00D1412F"/>
    <w:rsid w:val="00D1584C"/>
    <w:rsid w:val="00D16BB4"/>
    <w:rsid w:val="00D21BF3"/>
    <w:rsid w:val="00D23A5D"/>
    <w:rsid w:val="00D27351"/>
    <w:rsid w:val="00D443E4"/>
    <w:rsid w:val="00D46B01"/>
    <w:rsid w:val="00D50EB1"/>
    <w:rsid w:val="00D5347A"/>
    <w:rsid w:val="00D66604"/>
    <w:rsid w:val="00D74740"/>
    <w:rsid w:val="00D757C9"/>
    <w:rsid w:val="00D87DC1"/>
    <w:rsid w:val="00DA11C4"/>
    <w:rsid w:val="00DA136C"/>
    <w:rsid w:val="00DA5BC8"/>
    <w:rsid w:val="00DA6923"/>
    <w:rsid w:val="00DB060F"/>
    <w:rsid w:val="00DB494B"/>
    <w:rsid w:val="00DB5201"/>
    <w:rsid w:val="00DF07EE"/>
    <w:rsid w:val="00E01F56"/>
    <w:rsid w:val="00E04705"/>
    <w:rsid w:val="00E15776"/>
    <w:rsid w:val="00E27704"/>
    <w:rsid w:val="00E321CF"/>
    <w:rsid w:val="00E33DB6"/>
    <w:rsid w:val="00E36432"/>
    <w:rsid w:val="00E40B10"/>
    <w:rsid w:val="00E511A6"/>
    <w:rsid w:val="00E5549E"/>
    <w:rsid w:val="00E5611D"/>
    <w:rsid w:val="00E61242"/>
    <w:rsid w:val="00E6555A"/>
    <w:rsid w:val="00E70AC8"/>
    <w:rsid w:val="00E74D7E"/>
    <w:rsid w:val="00E774FE"/>
    <w:rsid w:val="00E8643B"/>
    <w:rsid w:val="00E9416A"/>
    <w:rsid w:val="00E946A9"/>
    <w:rsid w:val="00EA3A77"/>
    <w:rsid w:val="00EA5E71"/>
    <w:rsid w:val="00EB26C4"/>
    <w:rsid w:val="00EC6819"/>
    <w:rsid w:val="00ED5C5A"/>
    <w:rsid w:val="00EE506E"/>
    <w:rsid w:val="00EE73B8"/>
    <w:rsid w:val="00EF05FD"/>
    <w:rsid w:val="00EF3BDA"/>
    <w:rsid w:val="00EF4EDE"/>
    <w:rsid w:val="00EF774F"/>
    <w:rsid w:val="00F05D4D"/>
    <w:rsid w:val="00F061B7"/>
    <w:rsid w:val="00F13993"/>
    <w:rsid w:val="00F20F0A"/>
    <w:rsid w:val="00F2745F"/>
    <w:rsid w:val="00F3357B"/>
    <w:rsid w:val="00F341F8"/>
    <w:rsid w:val="00F36BDD"/>
    <w:rsid w:val="00F42E2E"/>
    <w:rsid w:val="00F46162"/>
    <w:rsid w:val="00F50DCE"/>
    <w:rsid w:val="00F51C1E"/>
    <w:rsid w:val="00F56947"/>
    <w:rsid w:val="00F579FE"/>
    <w:rsid w:val="00F610C6"/>
    <w:rsid w:val="00F65DCD"/>
    <w:rsid w:val="00F7418F"/>
    <w:rsid w:val="00F7777B"/>
    <w:rsid w:val="00F8345D"/>
    <w:rsid w:val="00F874C4"/>
    <w:rsid w:val="00F94562"/>
    <w:rsid w:val="00F951AA"/>
    <w:rsid w:val="00FA1B4A"/>
    <w:rsid w:val="00FA320A"/>
    <w:rsid w:val="00FB3968"/>
    <w:rsid w:val="00FB4205"/>
    <w:rsid w:val="00FC1CC2"/>
    <w:rsid w:val="00FC4420"/>
    <w:rsid w:val="00FC47D9"/>
    <w:rsid w:val="00FE254B"/>
    <w:rsid w:val="00FE2F14"/>
    <w:rsid w:val="00FE4BD2"/>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s://github.com/OHDSI/CohortMetho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5AFFB-115C-2D4A-9C13-676B028F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9550</Words>
  <Characters>54436</Characters>
  <Application>Microsoft Office Word</Application>
  <DocSecurity>0</DocSecurity>
  <Lines>453</Lines>
  <Paragraphs>127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63859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41</cp:revision>
  <dcterms:created xsi:type="dcterms:W3CDTF">2017-07-07T04:52:00Z</dcterms:created>
  <dcterms:modified xsi:type="dcterms:W3CDTF">2018-12-20T06:02:00Z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id="u8K7Z3Yh"/&gt;&lt;style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