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Operating Co Template</w:t>
      </w:r>
    </w:p>
    <w:p>
      <w:pPr>
        <w:jc w:val="center"/>
      </w:pPr>
      <w:r>
        <w:rPr>
          <w:b/>
          <w:sz w:val="44"/>
        </w:rPr>
        <w:t>Master Specification v1.5</w:t>
      </w:r>
    </w:p>
    <w:p>
      <w:pPr>
        <w:jc w:val="center"/>
      </w:pPr>
      <w:r>
        <w:rPr>
          <w:i/>
          <w:sz w:val="26"/>
        </w:rPr>
        <w:t>Huvudspecifikation / Styrdokument för Operating Co Template</w:t>
      </w:r>
    </w:p>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8"/>
              </w:rPr>
              <w:t>Field</w:t>
            </w:r>
          </w:p>
        </w:tc>
        <w:tc>
          <w:tcPr>
            <w:tcW w:type="dxa" w:w="5270"/>
            <w:vAlign w:val="top"/>
            <w:shd w:fill="D9EAF7"/>
          </w:tcPr>
          <w:p>
            <w:pPr>
              <w:spacing w:after="0" w:line="240" w:lineRule="auto"/>
            </w:pPr>
            <w:r/>
            <w:r>
              <w:rPr>
                <w:b/>
                <w:sz w:val="18"/>
              </w:rPr>
              <w:t>Value</w:t>
            </w:r>
          </w:p>
        </w:tc>
      </w:tr>
      <w:tr>
        <w:tc>
          <w:tcPr>
            <w:tcW w:type="dxa" w:w="5270"/>
            <w:vAlign w:val="top"/>
          </w:tcPr>
          <w:p>
            <w:pPr>
              <w:spacing w:after="0" w:line="240" w:lineRule="auto"/>
            </w:pPr>
            <w:r/>
            <w:r>
              <w:rPr>
                <w:b w:val="0"/>
                <w:sz w:val="17"/>
              </w:rPr>
              <w:t>Status</w:t>
            </w:r>
          </w:p>
        </w:tc>
        <w:tc>
          <w:tcPr>
            <w:tcW w:type="dxa" w:w="5270"/>
            <w:vAlign w:val="top"/>
          </w:tcPr>
          <w:p>
            <w:pPr>
              <w:spacing w:after="0" w:line="240" w:lineRule="auto"/>
            </w:pPr>
            <w:r/>
            <w:r>
              <w:rPr>
                <w:b w:val="0"/>
                <w:sz w:val="17"/>
              </w:rPr>
              <w:t>Working Draft v1.5 - Benchmark-First Industry Revision</w:t>
            </w:r>
          </w:p>
        </w:tc>
      </w:tr>
      <w:tr>
        <w:tc>
          <w:tcPr>
            <w:tcW w:type="dxa" w:w="5270"/>
            <w:vAlign w:val="top"/>
          </w:tcPr>
          <w:p>
            <w:pPr>
              <w:spacing w:after="0" w:line="240" w:lineRule="auto"/>
            </w:pPr>
            <w:r/>
            <w:r>
              <w:rPr>
                <w:b w:val="0"/>
                <w:sz w:val="17"/>
              </w:rPr>
              <w:t>Purpose</w:t>
            </w:r>
          </w:p>
        </w:tc>
        <w:tc>
          <w:tcPr>
            <w:tcW w:type="dxa" w:w="5270"/>
            <w:vAlign w:val="top"/>
          </w:tcPr>
          <w:p>
            <w:pPr>
              <w:spacing w:after="0" w:line="240" w:lineRule="auto"/>
            </w:pPr>
            <w:r/>
            <w:r>
              <w:rPr>
                <w:b w:val="0"/>
                <w:sz w:val="17"/>
              </w:rPr>
              <w:t>Source of truth for building a Google Sheets / Apps Script template for listed operating companies.</w:t>
            </w:r>
          </w:p>
        </w:tc>
      </w:tr>
      <w:tr>
        <w:tc>
          <w:tcPr>
            <w:tcW w:type="dxa" w:w="5270"/>
            <w:vAlign w:val="top"/>
          </w:tcPr>
          <w:p>
            <w:pPr>
              <w:spacing w:after="0" w:line="240" w:lineRule="auto"/>
            </w:pPr>
            <w:r/>
            <w:r>
              <w:rPr>
                <w:b w:val="0"/>
                <w:sz w:val="17"/>
              </w:rPr>
              <w:t>Core valuation chain</w:t>
            </w:r>
          </w:p>
        </w:tc>
        <w:tc>
          <w:tcPr>
            <w:tcW w:type="dxa" w:w="5270"/>
            <w:vAlign w:val="top"/>
          </w:tcPr>
          <w:p>
            <w:pPr>
              <w:spacing w:after="0" w:line="240" w:lineRule="auto"/>
            </w:pPr>
            <w:r/>
            <w:r>
              <w:rPr>
                <w:b w:val="0"/>
                <w:sz w:val="17"/>
              </w:rPr>
              <w:t>Forecast Operating Performance -&gt; NOPAT -&gt; Reinvestment -&gt; FCFF -&gt; WACC -&gt; Value of Operating Assets -&gt; Firm-to-Equity Bridge -&gt; Equity Value -&gt; Official Intrinsic Value per Share</w:t>
            </w:r>
          </w:p>
        </w:tc>
      </w:tr>
      <w:tr>
        <w:tc>
          <w:tcPr>
            <w:tcW w:type="dxa" w:w="5270"/>
            <w:vAlign w:val="top"/>
          </w:tcPr>
          <w:p>
            <w:pPr>
              <w:spacing w:after="0" w:line="240" w:lineRule="auto"/>
            </w:pPr>
            <w:r/>
            <w:r>
              <w:rPr>
                <w:b w:val="0"/>
                <w:sz w:val="17"/>
              </w:rPr>
              <w:t>Primary industry anchor</w:t>
            </w:r>
          </w:p>
        </w:tc>
        <w:tc>
          <w:tcPr>
            <w:tcW w:type="dxa" w:w="5270"/>
            <w:vAlign w:val="top"/>
          </w:tcPr>
          <w:p>
            <w:pPr>
              <w:spacing w:after="0" w:line="240" w:lineRule="auto"/>
            </w:pPr>
            <w:r/>
            <w:r>
              <w:rPr>
                <w:b w:val="0"/>
                <w:sz w:val="17"/>
              </w:rPr>
              <w:t>Damodaran Industrial Benchmark</w:t>
            </w:r>
          </w:p>
        </w:tc>
      </w:tr>
      <w:tr>
        <w:tc>
          <w:tcPr>
            <w:tcW w:type="dxa" w:w="5270"/>
            <w:vAlign w:val="top"/>
          </w:tcPr>
          <w:p>
            <w:pPr>
              <w:spacing w:after="0" w:line="240" w:lineRule="auto"/>
            </w:pPr>
            <w:r/>
            <w:r>
              <w:rPr>
                <w:b w:val="0"/>
                <w:sz w:val="17"/>
              </w:rPr>
              <w:t>Dashboard presentation</w:t>
            </w:r>
          </w:p>
        </w:tc>
        <w:tc>
          <w:tcPr>
            <w:tcW w:type="dxa" w:w="5270"/>
            <w:vAlign w:val="top"/>
          </w:tcPr>
          <w:p>
            <w:pPr>
              <w:spacing w:after="0" w:line="240" w:lineRule="auto"/>
            </w:pPr>
            <w:r/>
            <w:r>
              <w:rPr>
                <w:b w:val="0"/>
                <w:sz w:val="17"/>
              </w:rPr>
              <w:t>DashBoard shows Industry as the selected Damodaran Industrial Benchmark and may show ISM-sector as display-only information.</w:t>
            </w:r>
          </w:p>
        </w:tc>
      </w:tr>
      <w:tr>
        <w:tc>
          <w:tcPr>
            <w:tcW w:type="dxa" w:w="5270"/>
            <w:vAlign w:val="top"/>
          </w:tcPr>
          <w:p>
            <w:pPr>
              <w:spacing w:after="0" w:line="240" w:lineRule="auto"/>
            </w:pPr>
            <w:r/>
            <w:r>
              <w:rPr>
                <w:b w:val="0"/>
                <w:sz w:val="17"/>
              </w:rPr>
              <w:t>Language rule</w:t>
            </w:r>
          </w:p>
        </w:tc>
        <w:tc>
          <w:tcPr>
            <w:tcW w:type="dxa" w:w="5270"/>
            <w:vAlign w:val="top"/>
          </w:tcPr>
          <w:p>
            <w:pPr>
              <w:spacing w:after="0" w:line="240" w:lineRule="auto"/>
            </w:pPr>
            <w:r/>
            <w:r>
              <w:rPr>
                <w:b w:val="0"/>
                <w:sz w:val="17"/>
              </w:rPr>
              <w:t>Workbook sheet names, labels, outputs, flags and technical terms are in English. Swedish text may be used in this specification for explanation.</w:t>
            </w:r>
          </w:p>
        </w:tc>
      </w:tr>
      <w:tr>
        <w:tc>
          <w:tcPr>
            <w:tcW w:type="dxa" w:w="5270"/>
            <w:vAlign w:val="top"/>
          </w:tcPr>
          <w:p>
            <w:pPr>
              <w:spacing w:after="0" w:line="240" w:lineRule="auto"/>
            </w:pPr>
            <w:r/>
            <w:r>
              <w:rPr>
                <w:b w:val="0"/>
                <w:sz w:val="17"/>
              </w:rPr>
              <w:t>Prepared date</w:t>
            </w:r>
          </w:p>
        </w:tc>
        <w:tc>
          <w:tcPr>
            <w:tcW w:type="dxa" w:w="5270"/>
            <w:vAlign w:val="top"/>
          </w:tcPr>
          <w:p>
            <w:pPr>
              <w:spacing w:after="0" w:line="240" w:lineRule="auto"/>
            </w:pPr>
            <w:r/>
            <w:r>
              <w:rPr>
                <w:b w:val="0"/>
                <w:sz w:val="17"/>
              </w:rPr>
              <w:t>2026-05-25</w:t>
            </w:r>
          </w:p>
        </w:tc>
      </w:tr>
    </w:tbl>
    <w:p/>
    <w:p>
      <w:r>
        <w:br w:type="page"/>
      </w:r>
    </w:p>
    <w:p>
      <w:pPr>
        <w:pStyle w:val="Heading1"/>
      </w:pPr>
      <w:r>
        <w:t>Table of Contents</w:t>
      </w:r>
    </w:p>
    <w:p>
      <w:pPr>
        <w:pStyle w:val="ListBullet"/>
      </w:pPr>
      <w:r>
        <w:t>0. Dokumentidentitet</w:t>
      </w:r>
    </w:p>
    <w:p>
      <w:pPr>
        <w:pStyle w:val="ListBullet"/>
      </w:pPr>
      <w:r>
        <w:t>1. Grundidé</w:t>
      </w:r>
    </w:p>
    <w:p>
      <w:pPr>
        <w:pStyle w:val="ListBullet"/>
      </w:pPr>
      <w:r>
        <w:t>2. Metodgrund</w:t>
      </w:r>
    </w:p>
    <w:p>
      <w:pPr>
        <w:pStyle w:val="ListBullet"/>
      </w:pPr>
      <w:r>
        <w:t>3. Scope &amp; Exclusions</w:t>
      </w:r>
    </w:p>
    <w:p>
      <w:pPr>
        <w:pStyle w:val="ListBullet"/>
      </w:pPr>
      <w:r>
        <w:t>4. Produktkoncept</w:t>
      </w:r>
    </w:p>
    <w:p>
      <w:pPr>
        <w:pStyle w:val="ListBullet"/>
      </w:pPr>
      <w:r>
        <w:t>5. Build Philosophy</w:t>
      </w:r>
    </w:p>
    <w:p>
      <w:pPr>
        <w:pStyle w:val="ListBullet"/>
      </w:pPr>
      <w:r>
        <w:t>6. Workbook Architecture &amp; System Sheets</w:t>
      </w:r>
    </w:p>
    <w:p>
      <w:pPr>
        <w:pStyle w:val="ListBullet"/>
      </w:pPr>
      <w:r>
        <w:t>7. Språkregel</w:t>
      </w:r>
    </w:p>
    <w:p>
      <w:pPr>
        <w:pStyle w:val="ListBullet"/>
      </w:pPr>
      <w:r>
        <w:t>8. Company Identity &amp; Ticker Logic</w:t>
      </w:r>
    </w:p>
    <w:p>
      <w:pPr>
        <w:pStyle w:val="ListBullet"/>
      </w:pPr>
      <w:r>
        <w:t>9. Company Logo &amp; Visual Identity</w:t>
      </w:r>
    </w:p>
    <w:p>
      <w:pPr>
        <w:pStyle w:val="ListBullet"/>
      </w:pPr>
      <w:r>
        <w:t>10. Manual Inputs &amp; Input Layout</w:t>
      </w:r>
    </w:p>
    <w:p>
      <w:pPr>
        <w:pStyle w:val="ListBullet"/>
      </w:pPr>
      <w:r>
        <w:t>11. Exact Manual Inputs List</w:t>
      </w:r>
    </w:p>
    <w:p>
      <w:pPr>
        <w:pStyle w:val="ListBullet"/>
      </w:pPr>
      <w:r>
        <w:t>12. Units &amp; Scale Rules</w:t>
      </w:r>
    </w:p>
    <w:p>
      <w:pPr>
        <w:pStyle w:val="ListBullet"/>
      </w:pPr>
      <w:r>
        <w:t>13. Time Framework</w:t>
      </w:r>
    </w:p>
    <w:p>
      <w:pPr>
        <w:pStyle w:val="ListBullet"/>
      </w:pPr>
      <w:r>
        <w:t>14. Stage Selection &amp; Generalized FCFF Engine</w:t>
      </w:r>
    </w:p>
    <w:p>
      <w:pPr>
        <w:pStyle w:val="ListBullet"/>
      </w:pPr>
      <w:r>
        <w:t>15. Forecast &amp; Fade Rules</w:t>
      </w:r>
    </w:p>
    <w:p>
      <w:pPr>
        <w:pStyle w:val="ListBullet"/>
      </w:pPr>
      <w:r>
        <w:t>16. Historical Data Engine</w:t>
      </w:r>
    </w:p>
    <w:p>
      <w:pPr>
        <w:pStyle w:val="ListBullet"/>
      </w:pPr>
      <w:r>
        <w:t>17. Reinvestment &amp; FCFF Engine</w:t>
      </w:r>
    </w:p>
    <w:p>
      <w:pPr>
        <w:pStyle w:val="ListBullet"/>
      </w:pPr>
      <w:r>
        <w:t>18. Risk / WACC System</w:t>
      </w:r>
    </w:p>
    <w:p>
      <w:pPr>
        <w:pStyle w:val="ListBullet"/>
      </w:pPr>
      <w:r>
        <w:t>19. Damodaran Data &amp; Source Links</w:t>
      </w:r>
    </w:p>
    <w:p>
      <w:pPr>
        <w:pStyle w:val="ListBullet"/>
      </w:pPr>
      <w:r>
        <w:t>20. Industry Benchmark Config</w:t>
      </w:r>
    </w:p>
    <w:p>
      <w:pPr>
        <w:pStyle w:val="ListBullet"/>
      </w:pPr>
      <w:r>
        <w:t>21. Terminal Value</w:t>
      </w:r>
    </w:p>
    <w:p>
      <w:pPr>
        <w:pStyle w:val="ListBullet"/>
      </w:pPr>
      <w:r>
        <w:t>22. Value of Operating Assets</w:t>
      </w:r>
    </w:p>
    <w:p>
      <w:pPr>
        <w:pStyle w:val="ListBullet"/>
      </w:pPr>
      <w:r>
        <w:t>23. Firm-to-Equity Bridge</w:t>
      </w:r>
    </w:p>
    <w:p>
      <w:pPr>
        <w:pStyle w:val="ListBullet"/>
      </w:pPr>
      <w:r>
        <w:t>24. Share Count</w:t>
      </w:r>
    </w:p>
    <w:p>
      <w:pPr>
        <w:pStyle w:val="ListBullet"/>
      </w:pPr>
      <w:r>
        <w:t>25. MOS / Entry / Exit / Decision Layer</w:t>
      </w:r>
    </w:p>
    <w:p>
      <w:pPr>
        <w:pStyle w:val="ListBullet"/>
      </w:pPr>
      <w:r>
        <w:t>26. Quality / Review Checks</w:t>
      </w:r>
    </w:p>
    <w:p>
      <w:pPr>
        <w:pStyle w:val="ListBullet"/>
      </w:pPr>
      <w:r>
        <w:t>27. Company Snapshot</w:t>
      </w:r>
    </w:p>
    <w:p>
      <w:pPr>
        <w:pStyle w:val="ListBullet"/>
      </w:pPr>
      <w:r>
        <w:t>28. DashBoard</w:t>
      </w:r>
    </w:p>
    <w:p>
      <w:pPr>
        <w:pStyle w:val="ListBullet"/>
      </w:pPr>
      <w:r>
        <w:t>29. Scenario &amp; Sensitivity</w:t>
      </w:r>
    </w:p>
    <w:p>
      <w:pPr>
        <w:pStyle w:val="ListBullet"/>
      </w:pPr>
      <w:r>
        <w:t>30. Financial Health</w:t>
      </w:r>
    </w:p>
    <w:p>
      <w:pPr>
        <w:pStyle w:val="ListBullet"/>
      </w:pPr>
      <w:r>
        <w:t>31. Business Quality</w:t>
      </w:r>
    </w:p>
    <w:p>
      <w:pPr>
        <w:pStyle w:val="ListBullet"/>
      </w:pPr>
      <w:r>
        <w:t>32. Assumption Quality</w:t>
      </w:r>
    </w:p>
    <w:p>
      <w:pPr>
        <w:pStyle w:val="ListBullet"/>
      </w:pPr>
      <w:r>
        <w:t>33. Integrated Valuation Flow / Module Dependency Map</w:t>
      </w:r>
    </w:p>
    <w:p>
      <w:pPr>
        <w:pStyle w:val="ListBullet"/>
      </w:pPr>
      <w:r>
        <w:t>34. Formula &amp; Calculation Specification</w:t>
      </w:r>
    </w:p>
    <w:p>
      <w:pPr>
        <w:pStyle w:val="ListBullet"/>
      </w:pPr>
      <w:r>
        <w:t>35. Dashboard Config / Output Keys</w:t>
      </w:r>
    </w:p>
    <w:p>
      <w:pPr>
        <w:pStyle w:val="ListBullet"/>
      </w:pPr>
      <w:r>
        <w:t>36. Documentation / Notes</w:t>
      </w:r>
    </w:p>
    <w:p>
      <w:pPr>
        <w:pStyle w:val="ListBullet"/>
      </w:pPr>
      <w:r>
        <w:t>37. Calibration, Testing &amp; Refinement</w:t>
      </w:r>
    </w:p>
    <w:p>
      <w:pPr>
        <w:pStyle w:val="ListBullet"/>
      </w:pPr>
      <w:r>
        <w:t>38. Build Roadmap</w:t>
      </w:r>
    </w:p>
    <w:p>
      <w:pPr>
        <w:pStyle w:val="ListBullet"/>
      </w:pPr>
      <w:r>
        <w:t>39. Locked Decisions</w:t>
      </w:r>
    </w:p>
    <w:p>
      <w:pPr>
        <w:pStyle w:val="ListBullet"/>
      </w:pPr>
      <w:r>
        <w:t>40. Change Log / Version Notes</w:t>
      </w:r>
    </w:p>
    <w:p>
      <w:pPr>
        <w:pStyle w:val="ListBullet"/>
      </w:pPr>
      <w:r>
        <w:t>41. Nästa steg efter v1.5</w:t>
      </w:r>
    </w:p>
    <w:p>
      <w:r>
        <w:br w:type="page"/>
      </w:r>
    </w:p>
    <w:p>
      <w:pPr>
        <w:pStyle w:val="Heading1"/>
      </w:pPr>
      <w:r>
        <w:t>0. Dokumentidentitet</w:t>
      </w:r>
    </w:p>
    <w:p>
      <w:r>
        <w:t>Detta dokument beskriver Operating Co Template, en Google Sheets-baserad analys- och värderingsmall för noterade rörelsedrivande bolag. Dokumentet är Master Specification och ska styra metod, modulstruktur, inputs, systemdata, outputs, formler, review rules och bygglogik. Build Specification är ett separat dokument som senare anger exakt hur Apps Script ska bygga flikar, tabeller, named ranges, dropdowns och layout.</w:t>
      </w:r>
    </w:p>
    <w:p>
      <w:r>
        <w:t>Master Specification anger vad mallen ska vara och hur den ska fungera. Apps Script och implementation får dela upp formler i hjälpsteg, men får inte ändra den metodlogik som anges här.</w:t>
      </w:r>
    </w:p>
    <w:p>
      <w:pPr>
        <w:pStyle w:val="ListBullet"/>
      </w:pPr>
      <w:r>
        <w:t>Dokumentet låser inte celladresser. Celladresser, named ranges och layoutpositioner hör till Build Specification / implementation.</w:t>
      </w:r>
    </w:p>
    <w:p>
      <w:pPr>
        <w:pStyle w:val="ListBullet"/>
      </w:pPr>
      <w:r>
        <w:t>Om äldre chattar, äldre frameworks eller tidigare build-försök motsäger detta dokument ska v1.5 prioriteras som source of truth.</w:t>
      </w:r>
    </w:p>
    <w:p>
      <w:pPr>
        <w:pStyle w:val="ListBullet"/>
      </w:pPr>
      <w:r>
        <w:t>Mallen ska byggas som en ren standardmall för Listed Operating Companies, inte som pilotprojekt.</w:t>
      </w:r>
    </w:p>
    <w:p>
      <w:pPr>
        <w:pStyle w:val="Heading1"/>
      </w:pPr>
      <w:r>
        <w:t>1. Grundidé</w:t>
      </w:r>
    </w:p>
    <w:p>
      <w:r>
        <w:t>Operating Co Template ska analysera och värdera noterade Operating Companies med en Damodaran-inspirerad FCFF/WACC-logik. Mallen ska vara användbar som standardmall: användaren skapar en bolagsflik, fyller manual inputs och modellen räknar live via formler.</w:t>
      </w:r>
    </w:p>
    <w:p>
      <w:r>
        <w:t>Huvudflödet är: Manual Inputs + Google Finance Data where possible + External / Reference Data + Damodaran Data + System Rules -&gt; Forecast &amp; Fade Engine -&gt; Reinvestment &amp; FCFF -&gt; Risk / WACC -&gt; Terminal Value -&gt; Value of Operating Assets -&gt; Firm-to-Equity Bridge -&gt; Equity Value -&gt; Intrinsic Value per Share -&gt; Entry Price / Exit Price / Decision Status -&gt; Company Snapshot -&gt; DashBoard.</w:t>
      </w:r>
    </w:p>
    <w:p>
      <w:r>
        <w:t>Industry-flödet är benchmark-first: Company Sheet -&gt; Selected Damodaran Industrial Benchmark -&gt; Industry Benchmark Config + Damodaran Data -&gt; Engines. Damodaran Industrial Benchmark är mallens branschankare, normaliseringsstöd och sanity-check-system. Det ersätter inte bolagets egna siffror, forecast eller analytisk bedömning.</w:t>
      </w:r>
    </w:p>
    <w:p>
      <w:pPr>
        <w:pStyle w:val="ListNumber"/>
      </w:pPr>
      <w:r>
        <w:t>Användaren skapar en ny bolagsflik via Operating Co Tools.</w:t>
      </w:r>
    </w:p>
    <w:p>
      <w:pPr>
        <w:pStyle w:val="ListNumber"/>
      </w:pPr>
      <w:r>
        <w:t>Användaren anger Full Ticker.</w:t>
      </w:r>
    </w:p>
    <w:p>
      <w:pPr>
        <w:pStyle w:val="ListNumber"/>
      </w:pPr>
      <w:r>
        <w:t>Mallen skapar en ny tom bolagsflik från Operating Co Template.</w:t>
      </w:r>
    </w:p>
    <w:p>
      <w:pPr>
        <w:pStyle w:val="ListNumber"/>
      </w:pPr>
      <w:r>
        <w:t>Användaren väljer Selected Damodaran Industrial Benchmark och fyller historiska inputs samt forecast/estimate inputs.</w:t>
      </w:r>
    </w:p>
    <w:p>
      <w:pPr>
        <w:pStyle w:val="ListNumber"/>
      </w:pPr>
      <w:r>
        <w:t>Mallen hämtar vissa live/reference data där möjligt.</w:t>
      </w:r>
    </w:p>
    <w:p>
      <w:pPr>
        <w:pStyle w:val="ListNumber"/>
      </w:pPr>
      <w:r>
        <w:t>Mallen analyserar bolaget live.</w:t>
      </w:r>
    </w:p>
    <w:p>
      <w:pPr>
        <w:pStyle w:val="ListNumber"/>
      </w:pPr>
      <w:r>
        <w:t>Mallen räknar Official Intrinsic Value per Share.</w:t>
      </w:r>
    </w:p>
    <w:p>
      <w:pPr>
        <w:pStyle w:val="ListNumber"/>
      </w:pPr>
      <w:r>
        <w:t>Company Snapshot och DashBoard visar official outputs.</w:t>
      </w:r>
    </w:p>
    <w:p>
      <w:pPr>
        <w:pStyle w:val="Heading1"/>
      </w:pPr>
      <w:r>
        <w:t>2. Metodgrund</w:t>
      </w:r>
    </w:p>
    <w:p>
      <w:r>
        <w:t>Mallen bygger på FCFF till firm, diskonterat med WACC. Official valuation engine är inte en marknadsmultipel, scenario, score eller presentationstabell. Official value kommer från operating cash flows, reinvestment, risk och terminal assumptions.</w:t>
      </w:r>
    </w:p>
    <w:p>
      <w:pPr>
        <w:pStyle w:val="TableTitle"/>
      </w:pPr>
      <w:r>
        <w:rPr>
          <w:b/>
        </w:rPr>
        <w:t>Table - Official Valuation Chain</w:t>
      </w:r>
    </w:p>
    <w:p>
      <w:pPr>
        <w:pStyle w:val="TablePurpose"/>
      </w:pPr>
      <w:r>
        <w:t>This chain defines the official value route in the template.</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513"/>
            <w:vAlign w:val="top"/>
            <w:shd w:fill="D9EAF7"/>
          </w:tcPr>
          <w:p>
            <w:pPr>
              <w:spacing w:after="0" w:line="240" w:lineRule="auto"/>
            </w:pPr>
            <w:r/>
            <w:r>
              <w:rPr>
                <w:b/>
                <w:sz w:val="16"/>
              </w:rPr>
              <w:t>Step</w:t>
            </w:r>
          </w:p>
        </w:tc>
        <w:tc>
          <w:tcPr>
            <w:tcW w:type="dxa" w:w="3513"/>
            <w:vAlign w:val="top"/>
            <w:shd w:fill="D9EAF7"/>
          </w:tcPr>
          <w:p>
            <w:pPr>
              <w:spacing w:after="0" w:line="240" w:lineRule="auto"/>
            </w:pPr>
            <w:r/>
            <w:r>
              <w:rPr>
                <w:b/>
                <w:sz w:val="16"/>
              </w:rPr>
              <w:t>Output</w:t>
            </w:r>
          </w:p>
        </w:tc>
        <w:tc>
          <w:tcPr>
            <w:tcW w:type="dxa" w:w="3513"/>
            <w:vAlign w:val="top"/>
            <w:shd w:fill="D9EAF7"/>
          </w:tcPr>
          <w:p>
            <w:pPr>
              <w:spacing w:after="0" w:line="240" w:lineRule="auto"/>
            </w:pPr>
            <w:r/>
            <w:r>
              <w:rPr>
                <w:b/>
                <w:sz w:val="16"/>
              </w:rPr>
              <w:t>Purpose</w:t>
            </w:r>
          </w:p>
        </w:tc>
      </w:tr>
      <w:tr>
        <w:tc>
          <w:tcPr>
            <w:tcW w:type="dxa" w:w="3513"/>
            <w:vAlign w:val="top"/>
          </w:tcPr>
          <w:p>
            <w:pPr>
              <w:spacing w:after="0" w:line="240" w:lineRule="auto"/>
            </w:pPr>
            <w:r/>
            <w:r>
              <w:rPr>
                <w:b w:val="0"/>
                <w:sz w:val="15"/>
              </w:rPr>
              <w:t>1</w:t>
            </w:r>
          </w:p>
        </w:tc>
        <w:tc>
          <w:tcPr>
            <w:tcW w:type="dxa" w:w="3513"/>
            <w:vAlign w:val="top"/>
          </w:tcPr>
          <w:p>
            <w:pPr>
              <w:spacing w:after="0" w:line="240" w:lineRule="auto"/>
            </w:pPr>
            <w:r/>
            <w:r>
              <w:rPr>
                <w:b w:val="0"/>
                <w:sz w:val="15"/>
              </w:rPr>
              <w:t>Forecast Operating Performance</w:t>
            </w:r>
          </w:p>
        </w:tc>
        <w:tc>
          <w:tcPr>
            <w:tcW w:type="dxa" w:w="3513"/>
            <w:vAlign w:val="top"/>
          </w:tcPr>
          <w:p>
            <w:pPr>
              <w:spacing w:after="0" w:line="240" w:lineRule="auto"/>
            </w:pPr>
            <w:r/>
            <w:r>
              <w:rPr>
                <w:b w:val="0"/>
                <w:sz w:val="15"/>
              </w:rPr>
              <w:t>Revenue, EBIT, margin, tax and operating assumptions by year.</w:t>
            </w:r>
          </w:p>
        </w:tc>
      </w:tr>
      <w:tr>
        <w:tc>
          <w:tcPr>
            <w:tcW w:type="dxa" w:w="3513"/>
            <w:vAlign w:val="top"/>
          </w:tcPr>
          <w:p>
            <w:pPr>
              <w:spacing w:after="0" w:line="240" w:lineRule="auto"/>
            </w:pPr>
            <w:r/>
            <w:r>
              <w:rPr>
                <w:b w:val="0"/>
                <w:sz w:val="15"/>
              </w:rPr>
              <w:t>2</w:t>
            </w:r>
          </w:p>
        </w:tc>
        <w:tc>
          <w:tcPr>
            <w:tcW w:type="dxa" w:w="3513"/>
            <w:vAlign w:val="top"/>
          </w:tcPr>
          <w:p>
            <w:pPr>
              <w:spacing w:after="0" w:line="240" w:lineRule="auto"/>
            </w:pPr>
            <w:r/>
            <w:r>
              <w:rPr>
                <w:b w:val="0"/>
                <w:sz w:val="15"/>
              </w:rPr>
              <w:t>NOPAT</w:t>
            </w:r>
          </w:p>
        </w:tc>
        <w:tc>
          <w:tcPr>
            <w:tcW w:type="dxa" w:w="3513"/>
            <w:vAlign w:val="top"/>
          </w:tcPr>
          <w:p>
            <w:pPr>
              <w:spacing w:after="0" w:line="240" w:lineRule="auto"/>
            </w:pPr>
            <w:r/>
            <w:r>
              <w:rPr>
                <w:b w:val="0"/>
                <w:sz w:val="15"/>
              </w:rPr>
              <w:t>EBIT x (1 - tax rate).</w:t>
            </w:r>
          </w:p>
        </w:tc>
      </w:tr>
      <w:tr>
        <w:tc>
          <w:tcPr>
            <w:tcW w:type="dxa" w:w="3513"/>
            <w:vAlign w:val="top"/>
          </w:tcPr>
          <w:p>
            <w:pPr>
              <w:spacing w:after="0" w:line="240" w:lineRule="auto"/>
            </w:pPr>
            <w:r/>
            <w:r>
              <w:rPr>
                <w:b w:val="0"/>
                <w:sz w:val="15"/>
              </w:rPr>
              <w:t>3</w:t>
            </w:r>
          </w:p>
        </w:tc>
        <w:tc>
          <w:tcPr>
            <w:tcW w:type="dxa" w:w="3513"/>
            <w:vAlign w:val="top"/>
          </w:tcPr>
          <w:p>
            <w:pPr>
              <w:spacing w:after="0" w:line="240" w:lineRule="auto"/>
            </w:pPr>
            <w:r/>
            <w:r>
              <w:rPr>
                <w:b w:val="0"/>
                <w:sz w:val="15"/>
              </w:rPr>
              <w:t>Reinvestment</w:t>
            </w:r>
          </w:p>
        </w:tc>
        <w:tc>
          <w:tcPr>
            <w:tcW w:type="dxa" w:w="3513"/>
            <w:vAlign w:val="top"/>
          </w:tcPr>
          <w:p>
            <w:pPr>
              <w:spacing w:after="0" w:line="240" w:lineRule="auto"/>
            </w:pPr>
            <w:r/>
            <w:r>
              <w:rPr>
                <w:b w:val="0"/>
                <w:sz w:val="15"/>
              </w:rPr>
              <w:t>Operating capital required to fund growth.</w:t>
            </w:r>
          </w:p>
        </w:tc>
      </w:tr>
      <w:tr>
        <w:tc>
          <w:tcPr>
            <w:tcW w:type="dxa" w:w="3513"/>
            <w:vAlign w:val="top"/>
          </w:tcPr>
          <w:p>
            <w:pPr>
              <w:spacing w:after="0" w:line="240" w:lineRule="auto"/>
            </w:pPr>
            <w:r/>
            <w:r>
              <w:rPr>
                <w:b w:val="0"/>
                <w:sz w:val="15"/>
              </w:rPr>
              <w:t>4</w:t>
            </w:r>
          </w:p>
        </w:tc>
        <w:tc>
          <w:tcPr>
            <w:tcW w:type="dxa" w:w="3513"/>
            <w:vAlign w:val="top"/>
          </w:tcPr>
          <w:p>
            <w:pPr>
              <w:spacing w:after="0" w:line="240" w:lineRule="auto"/>
            </w:pPr>
            <w:r/>
            <w:r>
              <w:rPr>
                <w:b w:val="0"/>
                <w:sz w:val="15"/>
              </w:rPr>
              <w:t>FCFF</w:t>
            </w:r>
          </w:p>
        </w:tc>
        <w:tc>
          <w:tcPr>
            <w:tcW w:type="dxa" w:w="3513"/>
            <w:vAlign w:val="top"/>
          </w:tcPr>
          <w:p>
            <w:pPr>
              <w:spacing w:after="0" w:line="240" w:lineRule="auto"/>
            </w:pPr>
            <w:r/>
            <w:r>
              <w:rPr>
                <w:b w:val="0"/>
                <w:sz w:val="15"/>
              </w:rPr>
              <w:t>NOPAT - Reinvestment.</w:t>
            </w:r>
          </w:p>
        </w:tc>
      </w:tr>
      <w:tr>
        <w:tc>
          <w:tcPr>
            <w:tcW w:type="dxa" w:w="3513"/>
            <w:vAlign w:val="top"/>
          </w:tcPr>
          <w:p>
            <w:pPr>
              <w:spacing w:after="0" w:line="240" w:lineRule="auto"/>
            </w:pPr>
            <w:r/>
            <w:r>
              <w:rPr>
                <w:b w:val="0"/>
                <w:sz w:val="15"/>
              </w:rPr>
              <w:t>5</w:t>
            </w:r>
          </w:p>
        </w:tc>
        <w:tc>
          <w:tcPr>
            <w:tcW w:type="dxa" w:w="3513"/>
            <w:vAlign w:val="top"/>
          </w:tcPr>
          <w:p>
            <w:pPr>
              <w:spacing w:after="0" w:line="240" w:lineRule="auto"/>
            </w:pPr>
            <w:r/>
            <w:r>
              <w:rPr>
                <w:b w:val="0"/>
                <w:sz w:val="15"/>
              </w:rPr>
              <w:t>WACC</w:t>
            </w:r>
          </w:p>
        </w:tc>
        <w:tc>
          <w:tcPr>
            <w:tcW w:type="dxa" w:w="3513"/>
            <w:vAlign w:val="top"/>
          </w:tcPr>
          <w:p>
            <w:pPr>
              <w:spacing w:after="0" w:line="240" w:lineRule="auto"/>
            </w:pPr>
            <w:r/>
            <w:r>
              <w:rPr>
                <w:b w:val="0"/>
                <w:sz w:val="15"/>
              </w:rPr>
              <w:t>Cost of capital for operating assets.</w:t>
            </w:r>
          </w:p>
        </w:tc>
      </w:tr>
      <w:tr>
        <w:tc>
          <w:tcPr>
            <w:tcW w:type="dxa" w:w="3513"/>
            <w:vAlign w:val="top"/>
          </w:tcPr>
          <w:p>
            <w:pPr>
              <w:spacing w:after="0" w:line="240" w:lineRule="auto"/>
            </w:pPr>
            <w:r/>
            <w:r>
              <w:rPr>
                <w:b w:val="0"/>
                <w:sz w:val="15"/>
              </w:rPr>
              <w:t>6</w:t>
            </w:r>
          </w:p>
        </w:tc>
        <w:tc>
          <w:tcPr>
            <w:tcW w:type="dxa" w:w="3513"/>
            <w:vAlign w:val="top"/>
          </w:tcPr>
          <w:p>
            <w:pPr>
              <w:spacing w:after="0" w:line="240" w:lineRule="auto"/>
            </w:pPr>
            <w:r/>
            <w:r>
              <w:rPr>
                <w:b w:val="0"/>
                <w:sz w:val="15"/>
              </w:rPr>
              <w:t>PV of FCFF + PV Terminal Value</w:t>
            </w:r>
          </w:p>
        </w:tc>
        <w:tc>
          <w:tcPr>
            <w:tcW w:type="dxa" w:w="3513"/>
            <w:vAlign w:val="top"/>
          </w:tcPr>
          <w:p>
            <w:pPr>
              <w:spacing w:after="0" w:line="240" w:lineRule="auto"/>
            </w:pPr>
            <w:r/>
            <w:r>
              <w:rPr>
                <w:b w:val="0"/>
                <w:sz w:val="15"/>
              </w:rPr>
              <w:t>Value of Operating Assets.</w:t>
            </w:r>
          </w:p>
        </w:tc>
      </w:tr>
      <w:tr>
        <w:tc>
          <w:tcPr>
            <w:tcW w:type="dxa" w:w="3513"/>
            <w:vAlign w:val="top"/>
          </w:tcPr>
          <w:p>
            <w:pPr>
              <w:spacing w:after="0" w:line="240" w:lineRule="auto"/>
            </w:pPr>
            <w:r/>
            <w:r>
              <w:rPr>
                <w:b w:val="0"/>
                <w:sz w:val="15"/>
              </w:rPr>
              <w:t>7</w:t>
            </w:r>
          </w:p>
        </w:tc>
        <w:tc>
          <w:tcPr>
            <w:tcW w:type="dxa" w:w="3513"/>
            <w:vAlign w:val="top"/>
          </w:tcPr>
          <w:p>
            <w:pPr>
              <w:spacing w:after="0" w:line="240" w:lineRule="auto"/>
            </w:pPr>
            <w:r/>
            <w:r>
              <w:rPr>
                <w:b w:val="0"/>
                <w:sz w:val="15"/>
              </w:rPr>
              <w:t>Firm-to-Equity Bridge</w:t>
            </w:r>
          </w:p>
        </w:tc>
        <w:tc>
          <w:tcPr>
            <w:tcW w:type="dxa" w:w="3513"/>
            <w:vAlign w:val="top"/>
          </w:tcPr>
          <w:p>
            <w:pPr>
              <w:spacing w:after="0" w:line="240" w:lineRule="auto"/>
            </w:pPr>
            <w:r/>
            <w:r>
              <w:rPr>
                <w:b w:val="0"/>
                <w:sz w:val="15"/>
              </w:rPr>
              <w:t>Cash, debt, leases, preferred equity, NCI and other claims.</w:t>
            </w:r>
          </w:p>
        </w:tc>
      </w:tr>
      <w:tr>
        <w:tc>
          <w:tcPr>
            <w:tcW w:type="dxa" w:w="3513"/>
            <w:vAlign w:val="top"/>
          </w:tcPr>
          <w:p>
            <w:pPr>
              <w:spacing w:after="0" w:line="240" w:lineRule="auto"/>
            </w:pPr>
            <w:r/>
            <w:r>
              <w:rPr>
                <w:b w:val="0"/>
                <w:sz w:val="15"/>
              </w:rPr>
              <w:t>8</w:t>
            </w:r>
          </w:p>
        </w:tc>
        <w:tc>
          <w:tcPr>
            <w:tcW w:type="dxa" w:w="3513"/>
            <w:vAlign w:val="top"/>
          </w:tcPr>
          <w:p>
            <w:pPr>
              <w:spacing w:after="0" w:line="240" w:lineRule="auto"/>
            </w:pPr>
            <w:r/>
            <w:r>
              <w:rPr>
                <w:b w:val="0"/>
                <w:sz w:val="15"/>
              </w:rPr>
              <w:t>Equity Value</w:t>
            </w:r>
          </w:p>
        </w:tc>
        <w:tc>
          <w:tcPr>
            <w:tcW w:type="dxa" w:w="3513"/>
            <w:vAlign w:val="top"/>
          </w:tcPr>
          <w:p>
            <w:pPr>
              <w:spacing w:after="0" w:line="240" w:lineRule="auto"/>
            </w:pPr>
            <w:r/>
            <w:r>
              <w:rPr>
                <w:b w:val="0"/>
                <w:sz w:val="15"/>
              </w:rPr>
              <w:t>Firm value after bridge adjustments.</w:t>
            </w:r>
          </w:p>
        </w:tc>
      </w:tr>
      <w:tr>
        <w:tc>
          <w:tcPr>
            <w:tcW w:type="dxa" w:w="3513"/>
            <w:vAlign w:val="top"/>
          </w:tcPr>
          <w:p>
            <w:pPr>
              <w:spacing w:after="0" w:line="240" w:lineRule="auto"/>
            </w:pPr>
            <w:r/>
            <w:r>
              <w:rPr>
                <w:b w:val="0"/>
                <w:sz w:val="15"/>
              </w:rPr>
              <w:t>9</w:t>
            </w:r>
          </w:p>
        </w:tc>
        <w:tc>
          <w:tcPr>
            <w:tcW w:type="dxa" w:w="3513"/>
            <w:vAlign w:val="top"/>
          </w:tcPr>
          <w:p>
            <w:pPr>
              <w:spacing w:after="0" w:line="240" w:lineRule="auto"/>
            </w:pPr>
            <w:r/>
            <w:r>
              <w:rPr>
                <w:b w:val="0"/>
                <w:sz w:val="15"/>
              </w:rPr>
              <w:t>Official Intrinsic Value per Share</w:t>
            </w:r>
          </w:p>
        </w:tc>
        <w:tc>
          <w:tcPr>
            <w:tcW w:type="dxa" w:w="3513"/>
            <w:vAlign w:val="top"/>
          </w:tcPr>
          <w:p>
            <w:pPr>
              <w:spacing w:after="0" w:line="240" w:lineRule="auto"/>
            </w:pPr>
            <w:r/>
            <w:r>
              <w:rPr>
                <w:b w:val="0"/>
                <w:sz w:val="15"/>
              </w:rPr>
              <w:t>Equity Value / Selected Diluted Shares.</w:t>
            </w:r>
          </w:p>
        </w:tc>
      </w:tr>
    </w:tbl>
    <w:p/>
    <w:p>
      <w:pPr>
        <w:pStyle w:val="ListBullet"/>
      </w:pPr>
      <w:r>
        <w:t>FCFF är official valuation engine.</w:t>
      </w:r>
    </w:p>
    <w:p>
      <w:pPr>
        <w:pStyle w:val="ListBullet"/>
      </w:pPr>
      <w:r>
        <w:t>FCFF diskonteras med WACC.</w:t>
      </w:r>
    </w:p>
    <w:p>
      <w:pPr>
        <w:pStyle w:val="ListBullet"/>
      </w:pPr>
      <w:r>
        <w:t>Gordon FCFF Terminal Value är official terminal value.</w:t>
      </w:r>
    </w:p>
    <w:p>
      <w:pPr>
        <w:pStyle w:val="ListBullet"/>
      </w:pPr>
      <w:r>
        <w:t>Firm-to-Equity Bridge tar Value of Operating Assets till Equity Value.</w:t>
      </w:r>
    </w:p>
    <w:p>
      <w:pPr>
        <w:pStyle w:val="ListBullet"/>
      </w:pPr>
      <w:r>
        <w:t>Selected Diluted Shares används för Official Intrinsic Value per Share.</w:t>
      </w:r>
    </w:p>
    <w:p>
      <w:pPr>
        <w:pStyle w:val="ListBullet"/>
      </w:pPr>
      <w:r>
        <w:t>MOS, scoring, scenario, sensitivity och multiples får inte ändra Intrinsic Value direkt.</w:t>
      </w:r>
    </w:p>
    <w:p>
      <w:pPr>
        <w:pStyle w:val="ListBullet"/>
      </w:pPr>
      <w:r>
        <w:t>Multiples, scenario och sensitivity får användas som sanity checks och decision support.</w:t>
      </w:r>
    </w:p>
    <w:p>
      <w:pPr>
        <w:pStyle w:val="Heading2"/>
      </w:pPr>
      <w:r>
        <w:t>2.1 Implementationstekniska anpassningar</w:t>
      </w:r>
    </w:p>
    <w:p>
      <w:pPr>
        <w:pStyle w:val="ListBullet"/>
      </w:pPr>
      <w:r>
        <w:t>Tillåtet: dela upp formler i hjälprader, använda named ranges, strukturera inputs i tabeller och låta Apps Script bygga layout automatiskt.</w:t>
      </w:r>
    </w:p>
    <w:p>
      <w:pPr>
        <w:pStyle w:val="ListBullet"/>
      </w:pPr>
      <w:r>
        <w:t>Inte tillåtet: ändra FCFF-logik, WACC-logik eller terminal value-logik utan stöd i Master Specification eller källmaterial.</w:t>
      </w:r>
    </w:p>
    <w:p>
      <w:pPr>
        <w:pStyle w:val="ListBullet"/>
      </w:pPr>
      <w:r>
        <w:t>Om en formel eller regel är osäker ska den markeras som oklar och kontrolleras innan den ändras.</w:t>
      </w:r>
    </w:p>
    <w:p>
      <w:pPr>
        <w:pStyle w:val="Heading1"/>
      </w:pPr>
      <w:r>
        <w:t>3. Scope &amp; Exclusions</w:t>
      </w:r>
    </w:p>
    <w:p>
      <w:r>
        <w:t>Mallen gäller endast Listed Operating Companies. Vissa Damodaran industry rows finns i referensuniverset men är inte normala operating-company-kategorier för denna mall.</w:t>
      </w:r>
    </w:p>
    <w:p>
      <w:pPr>
        <w:pStyle w:val="TableTitle"/>
      </w:pPr>
      <w:r>
        <w:rPr>
          <w:b/>
        </w:rPr>
        <w:t>Table - Scope Rules</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513"/>
            <w:vAlign w:val="top"/>
            <w:shd w:fill="D9EAF7"/>
          </w:tcPr>
          <w:p>
            <w:pPr>
              <w:spacing w:after="0" w:line="240" w:lineRule="auto"/>
            </w:pPr>
            <w:r/>
            <w:r>
              <w:rPr>
                <w:b/>
                <w:sz w:val="16"/>
              </w:rPr>
              <w:t>Company / Industry Type</w:t>
            </w:r>
          </w:p>
        </w:tc>
        <w:tc>
          <w:tcPr>
            <w:tcW w:type="dxa" w:w="3513"/>
            <w:vAlign w:val="top"/>
            <w:shd w:fill="D9EAF7"/>
          </w:tcPr>
          <w:p>
            <w:pPr>
              <w:spacing w:after="0" w:line="240" w:lineRule="auto"/>
            </w:pPr>
            <w:r/>
            <w:r>
              <w:rPr>
                <w:b/>
                <w:sz w:val="16"/>
              </w:rPr>
              <w:t>Template Treatment</w:t>
            </w:r>
          </w:p>
        </w:tc>
        <w:tc>
          <w:tcPr>
            <w:tcW w:type="dxa" w:w="3513"/>
            <w:vAlign w:val="top"/>
            <w:shd w:fill="D9EAF7"/>
          </w:tcPr>
          <w:p>
            <w:pPr>
              <w:spacing w:after="0" w:line="240" w:lineRule="auto"/>
            </w:pPr>
            <w:r/>
            <w:r>
              <w:rPr>
                <w:b/>
                <w:sz w:val="16"/>
              </w:rPr>
              <w:t>Notes</w:t>
            </w:r>
          </w:p>
        </w:tc>
      </w:tr>
      <w:tr>
        <w:tc>
          <w:tcPr>
            <w:tcW w:type="dxa" w:w="3513"/>
            <w:vAlign w:val="top"/>
          </w:tcPr>
          <w:p>
            <w:pPr>
              <w:spacing w:after="0" w:line="240" w:lineRule="auto"/>
            </w:pPr>
            <w:r/>
            <w:r>
              <w:rPr>
                <w:b w:val="0"/>
                <w:sz w:val="15"/>
              </w:rPr>
              <w:t>Listed Operating Companies</w:t>
            </w:r>
          </w:p>
        </w:tc>
        <w:tc>
          <w:tcPr>
            <w:tcW w:type="dxa" w:w="3513"/>
            <w:vAlign w:val="top"/>
          </w:tcPr>
          <w:p>
            <w:pPr>
              <w:spacing w:after="0" w:line="240" w:lineRule="auto"/>
            </w:pPr>
            <w:r/>
            <w:r>
              <w:rPr>
                <w:b w:val="0"/>
                <w:sz w:val="15"/>
              </w:rPr>
              <w:t>Supported</w:t>
            </w:r>
          </w:p>
        </w:tc>
        <w:tc>
          <w:tcPr>
            <w:tcW w:type="dxa" w:w="3513"/>
            <w:vAlign w:val="top"/>
          </w:tcPr>
          <w:p>
            <w:pPr>
              <w:spacing w:after="0" w:line="240" w:lineRule="auto"/>
            </w:pPr>
            <w:r/>
            <w:r>
              <w:rPr>
                <w:b w:val="0"/>
                <w:sz w:val="15"/>
              </w:rPr>
              <w:t>Standard use case.</w:t>
            </w:r>
          </w:p>
        </w:tc>
      </w:tr>
      <w:tr>
        <w:tc>
          <w:tcPr>
            <w:tcW w:type="dxa" w:w="3513"/>
            <w:vAlign w:val="top"/>
          </w:tcPr>
          <w:p>
            <w:pPr>
              <w:spacing w:after="0" w:line="240" w:lineRule="auto"/>
            </w:pPr>
            <w:r/>
            <w:r>
              <w:rPr>
                <w:b w:val="0"/>
                <w:sz w:val="15"/>
              </w:rPr>
              <w:t>Banks, Insurance, Brokerage, Asset Managers, Financial Service Firms</w:t>
            </w:r>
          </w:p>
        </w:tc>
        <w:tc>
          <w:tcPr>
            <w:tcW w:type="dxa" w:w="3513"/>
            <w:vAlign w:val="top"/>
          </w:tcPr>
          <w:p>
            <w:pPr>
              <w:spacing w:after="0" w:line="240" w:lineRule="auto"/>
            </w:pPr>
            <w:r/>
            <w:r>
              <w:rPr>
                <w:b w:val="0"/>
                <w:sz w:val="15"/>
              </w:rPr>
              <w:t>Excluded / Special Review</w:t>
            </w:r>
          </w:p>
        </w:tc>
        <w:tc>
          <w:tcPr>
            <w:tcW w:type="dxa" w:w="3513"/>
            <w:vAlign w:val="top"/>
          </w:tcPr>
          <w:p>
            <w:pPr>
              <w:spacing w:after="0" w:line="240" w:lineRule="auto"/>
            </w:pPr>
            <w:r/>
            <w:r>
              <w:rPr>
                <w:b w:val="0"/>
                <w:sz w:val="15"/>
              </w:rPr>
              <w:t>Require separate financial-company model.</w:t>
            </w:r>
          </w:p>
        </w:tc>
      </w:tr>
      <w:tr>
        <w:tc>
          <w:tcPr>
            <w:tcW w:type="dxa" w:w="3513"/>
            <w:vAlign w:val="top"/>
          </w:tcPr>
          <w:p>
            <w:pPr>
              <w:spacing w:after="0" w:line="240" w:lineRule="auto"/>
            </w:pPr>
            <w:r/>
            <w:r>
              <w:rPr>
                <w:b w:val="0"/>
                <w:sz w:val="15"/>
              </w:rPr>
              <w:t>REITs and NAV-driven Real Estate Companies</w:t>
            </w:r>
          </w:p>
        </w:tc>
        <w:tc>
          <w:tcPr>
            <w:tcW w:type="dxa" w:w="3513"/>
            <w:vAlign w:val="top"/>
          </w:tcPr>
          <w:p>
            <w:pPr>
              <w:spacing w:after="0" w:line="240" w:lineRule="auto"/>
            </w:pPr>
            <w:r/>
            <w:r>
              <w:rPr>
                <w:b w:val="0"/>
                <w:sz w:val="15"/>
              </w:rPr>
              <w:t>Excluded / Special Review</w:t>
            </w:r>
          </w:p>
        </w:tc>
        <w:tc>
          <w:tcPr>
            <w:tcW w:type="dxa" w:w="3513"/>
            <w:vAlign w:val="top"/>
          </w:tcPr>
          <w:p>
            <w:pPr>
              <w:spacing w:after="0" w:line="240" w:lineRule="auto"/>
            </w:pPr>
            <w:r/>
            <w:r>
              <w:rPr>
                <w:b w:val="0"/>
                <w:sz w:val="15"/>
              </w:rPr>
              <w:t>Require NAV/real-estate-specific model.</w:t>
            </w:r>
          </w:p>
        </w:tc>
      </w:tr>
      <w:tr>
        <w:tc>
          <w:tcPr>
            <w:tcW w:type="dxa" w:w="3513"/>
            <w:vAlign w:val="top"/>
          </w:tcPr>
          <w:p>
            <w:pPr>
              <w:spacing w:after="0" w:line="240" w:lineRule="auto"/>
            </w:pPr>
            <w:r/>
            <w:r>
              <w:rPr>
                <w:b w:val="0"/>
                <w:sz w:val="15"/>
              </w:rPr>
              <w:t>Investment Companies / Financial Holding Companies</w:t>
            </w:r>
          </w:p>
        </w:tc>
        <w:tc>
          <w:tcPr>
            <w:tcW w:type="dxa" w:w="3513"/>
            <w:vAlign w:val="top"/>
          </w:tcPr>
          <w:p>
            <w:pPr>
              <w:spacing w:after="0" w:line="240" w:lineRule="auto"/>
            </w:pPr>
            <w:r/>
            <w:r>
              <w:rPr>
                <w:b w:val="0"/>
                <w:sz w:val="15"/>
              </w:rPr>
              <w:t>Excluded / Special Review</w:t>
            </w:r>
          </w:p>
        </w:tc>
        <w:tc>
          <w:tcPr>
            <w:tcW w:type="dxa" w:w="3513"/>
            <w:vAlign w:val="top"/>
          </w:tcPr>
          <w:p>
            <w:pPr>
              <w:spacing w:after="0" w:line="240" w:lineRule="auto"/>
            </w:pPr>
            <w:r/>
            <w:r>
              <w:rPr>
                <w:b w:val="0"/>
                <w:sz w:val="15"/>
              </w:rPr>
              <w:t>May be NAV/holding-company valuation.</w:t>
            </w:r>
          </w:p>
        </w:tc>
      </w:tr>
      <w:tr>
        <w:tc>
          <w:tcPr>
            <w:tcW w:type="dxa" w:w="3513"/>
            <w:vAlign w:val="top"/>
          </w:tcPr>
          <w:p>
            <w:pPr>
              <w:spacing w:after="0" w:line="240" w:lineRule="auto"/>
            </w:pPr>
            <w:r/>
            <w:r>
              <w:rPr>
                <w:b w:val="0"/>
                <w:sz w:val="15"/>
              </w:rPr>
              <w:t>Damodaran Total Market rows</w:t>
            </w:r>
          </w:p>
        </w:tc>
        <w:tc>
          <w:tcPr>
            <w:tcW w:type="dxa" w:w="3513"/>
            <w:vAlign w:val="top"/>
          </w:tcPr>
          <w:p>
            <w:pPr>
              <w:spacing w:after="0" w:line="240" w:lineRule="auto"/>
            </w:pPr>
            <w:r/>
            <w:r>
              <w:rPr>
                <w:b w:val="0"/>
                <w:sz w:val="15"/>
              </w:rPr>
              <w:t>Reference Only</w:t>
            </w:r>
          </w:p>
        </w:tc>
        <w:tc>
          <w:tcPr>
            <w:tcW w:type="dxa" w:w="3513"/>
            <w:vAlign w:val="top"/>
          </w:tcPr>
          <w:p>
            <w:pPr>
              <w:spacing w:after="0" w:line="240" w:lineRule="auto"/>
            </w:pPr>
            <w:r/>
            <w:r>
              <w:rPr>
                <w:b w:val="0"/>
                <w:sz w:val="15"/>
              </w:rPr>
              <w:t>May support broad sanity checks, not company industry selection.</w:t>
            </w:r>
          </w:p>
        </w:tc>
      </w:tr>
    </w:tbl>
    <w:p/>
    <w:p>
      <w:pPr>
        <w:pStyle w:val="Heading1"/>
      </w:pPr>
      <w:r>
        <w:t>4. Produktkoncept</w:t>
      </w:r>
    </w:p>
    <w:p>
      <w:r>
        <w:t>Operating Co Template består av en template-flik, en bolagsflik per analyserat bolag, system/reference sheets, Company Snapshot, DashBoard och Operating Co Tools-meny. Manual company inputs hör hemma i bolagsfliken. External / system reference data hör hemma i system/reference sheets.</w:t>
      </w:r>
    </w:p>
    <w:p>
      <w:pPr>
        <w:pStyle w:val="TableTitle"/>
      </w:pPr>
      <w:r>
        <w:rPr>
          <w:b/>
        </w:rPr>
        <w:t>Table - Product Components</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6"/>
              </w:rPr>
              <w:t>Component</w:t>
            </w:r>
          </w:p>
        </w:tc>
        <w:tc>
          <w:tcPr>
            <w:tcW w:type="dxa" w:w="5270"/>
            <w:vAlign w:val="top"/>
            <w:shd w:fill="D9EAF7"/>
          </w:tcPr>
          <w:p>
            <w:pPr>
              <w:spacing w:after="0" w:line="240" w:lineRule="auto"/>
            </w:pPr>
            <w:r/>
            <w:r>
              <w:rPr>
                <w:b/>
                <w:sz w:val="16"/>
              </w:rPr>
              <w:t>Role</w:t>
            </w:r>
          </w:p>
        </w:tc>
      </w:tr>
      <w:tr>
        <w:tc>
          <w:tcPr>
            <w:tcW w:type="dxa" w:w="5270"/>
            <w:vAlign w:val="top"/>
          </w:tcPr>
          <w:p>
            <w:pPr>
              <w:spacing w:after="0" w:line="240" w:lineRule="auto"/>
            </w:pPr>
            <w:r/>
            <w:r>
              <w:rPr>
                <w:b w:val="0"/>
                <w:sz w:val="15"/>
              </w:rPr>
              <w:t>Operating Co Template</w:t>
            </w:r>
          </w:p>
        </w:tc>
        <w:tc>
          <w:tcPr>
            <w:tcW w:type="dxa" w:w="5270"/>
            <w:vAlign w:val="top"/>
          </w:tcPr>
          <w:p>
            <w:pPr>
              <w:spacing w:after="0" w:line="240" w:lineRule="auto"/>
            </w:pPr>
            <w:r/>
            <w:r>
              <w:rPr>
                <w:b w:val="0"/>
                <w:sz w:val="15"/>
              </w:rPr>
              <w:t>Template/source sheet for new company sheets.</w:t>
            </w:r>
          </w:p>
        </w:tc>
      </w:tr>
      <w:tr>
        <w:tc>
          <w:tcPr>
            <w:tcW w:type="dxa" w:w="5270"/>
            <w:vAlign w:val="top"/>
          </w:tcPr>
          <w:p>
            <w:pPr>
              <w:spacing w:after="0" w:line="240" w:lineRule="auto"/>
            </w:pPr>
            <w:r/>
            <w:r>
              <w:rPr>
                <w:b w:val="0"/>
                <w:sz w:val="15"/>
              </w:rPr>
              <w:t>Company Sheets</w:t>
            </w:r>
          </w:p>
        </w:tc>
        <w:tc>
          <w:tcPr>
            <w:tcW w:type="dxa" w:w="5270"/>
            <w:vAlign w:val="top"/>
          </w:tcPr>
          <w:p>
            <w:pPr>
              <w:spacing w:after="0" w:line="240" w:lineRule="auto"/>
            </w:pPr>
            <w:r/>
            <w:r>
              <w:rPr>
                <w:b w:val="0"/>
                <w:sz w:val="15"/>
              </w:rPr>
              <w:t>One sheet per company; valuation is calculated here.</w:t>
            </w:r>
          </w:p>
        </w:tc>
      </w:tr>
      <w:tr>
        <w:tc>
          <w:tcPr>
            <w:tcW w:type="dxa" w:w="5270"/>
            <w:vAlign w:val="top"/>
          </w:tcPr>
          <w:p>
            <w:pPr>
              <w:spacing w:after="0" w:line="240" w:lineRule="auto"/>
            </w:pPr>
            <w:r/>
            <w:r>
              <w:rPr>
                <w:b w:val="0"/>
                <w:sz w:val="15"/>
              </w:rPr>
              <w:t>System / Reference Sheets</w:t>
            </w:r>
          </w:p>
        </w:tc>
        <w:tc>
          <w:tcPr>
            <w:tcW w:type="dxa" w:w="5270"/>
            <w:vAlign w:val="top"/>
          </w:tcPr>
          <w:p>
            <w:pPr>
              <w:spacing w:after="0" w:line="240" w:lineRule="auto"/>
            </w:pPr>
            <w:r/>
            <w:r>
              <w:rPr>
                <w:b w:val="0"/>
                <w:sz w:val="15"/>
              </w:rPr>
              <w:t>Shared data, rules, mappings and benchmarks.</w:t>
            </w:r>
          </w:p>
        </w:tc>
      </w:tr>
      <w:tr>
        <w:tc>
          <w:tcPr>
            <w:tcW w:type="dxa" w:w="5270"/>
            <w:vAlign w:val="top"/>
          </w:tcPr>
          <w:p>
            <w:pPr>
              <w:spacing w:after="0" w:line="240" w:lineRule="auto"/>
            </w:pPr>
            <w:r/>
            <w:r>
              <w:rPr>
                <w:b w:val="0"/>
                <w:sz w:val="15"/>
              </w:rPr>
              <w:t>Company Snapshot</w:t>
            </w:r>
          </w:p>
        </w:tc>
        <w:tc>
          <w:tcPr>
            <w:tcW w:type="dxa" w:w="5270"/>
            <w:vAlign w:val="top"/>
          </w:tcPr>
          <w:p>
            <w:pPr>
              <w:spacing w:after="0" w:line="240" w:lineRule="auto"/>
            </w:pPr>
            <w:r/>
            <w:r>
              <w:rPr>
                <w:b w:val="0"/>
                <w:sz w:val="15"/>
              </w:rPr>
              <w:t>Top presentation layer in each company sheet.</w:t>
            </w:r>
          </w:p>
        </w:tc>
      </w:tr>
      <w:tr>
        <w:tc>
          <w:tcPr>
            <w:tcW w:type="dxa" w:w="5270"/>
            <w:vAlign w:val="top"/>
          </w:tcPr>
          <w:p>
            <w:pPr>
              <w:spacing w:after="0" w:line="240" w:lineRule="auto"/>
            </w:pPr>
            <w:r/>
            <w:r>
              <w:rPr>
                <w:b w:val="0"/>
                <w:sz w:val="15"/>
              </w:rPr>
              <w:t>DashBoard</w:t>
            </w:r>
          </w:p>
        </w:tc>
        <w:tc>
          <w:tcPr>
            <w:tcW w:type="dxa" w:w="5270"/>
            <w:vAlign w:val="top"/>
          </w:tcPr>
          <w:p>
            <w:pPr>
              <w:spacing w:after="0" w:line="240" w:lineRule="auto"/>
            </w:pPr>
            <w:r/>
            <w:r>
              <w:rPr>
                <w:b w:val="0"/>
                <w:sz w:val="15"/>
              </w:rPr>
              <w:t>Live output/navigation layer for all included companies.</w:t>
            </w:r>
          </w:p>
        </w:tc>
      </w:tr>
      <w:tr>
        <w:tc>
          <w:tcPr>
            <w:tcW w:type="dxa" w:w="5270"/>
            <w:vAlign w:val="top"/>
          </w:tcPr>
          <w:p>
            <w:pPr>
              <w:spacing w:after="0" w:line="240" w:lineRule="auto"/>
            </w:pPr>
            <w:r/>
            <w:r>
              <w:rPr>
                <w:b w:val="0"/>
                <w:sz w:val="15"/>
              </w:rPr>
              <w:t>Operating Co Tools</w:t>
            </w:r>
          </w:p>
        </w:tc>
        <w:tc>
          <w:tcPr>
            <w:tcW w:type="dxa" w:w="5270"/>
            <w:vAlign w:val="top"/>
          </w:tcPr>
          <w:p>
            <w:pPr>
              <w:spacing w:after="0" w:line="240" w:lineRule="auto"/>
            </w:pPr>
            <w:r/>
            <w:r>
              <w:rPr>
                <w:b w:val="0"/>
                <w:sz w:val="15"/>
              </w:rPr>
              <w:t>Menu for creating sheets, refreshing structure and opening system sheets.</w:t>
            </w:r>
          </w:p>
        </w:tc>
      </w:tr>
    </w:tbl>
    <w:p/>
    <w:p>
      <w:pPr>
        <w:pStyle w:val="Heading1"/>
      </w:pPr>
      <w:r>
        <w:t>5. Build Philosophy</w:t>
      </w:r>
    </w:p>
    <w:p>
      <w:pPr>
        <w:pStyle w:val="ListBullet"/>
      </w:pPr>
      <w:r>
        <w:t>Build the clean standard template directly.</w:t>
      </w:r>
    </w:p>
    <w:p>
      <w:pPr>
        <w:pStyle w:val="ListBullet"/>
      </w:pPr>
      <w:r>
        <w:t>Do not build pilot project architecture into the standard model.</w:t>
      </w:r>
    </w:p>
    <w:p>
      <w:pPr>
        <w:pStyle w:val="ListBullet"/>
      </w:pPr>
      <w:r>
        <w:t>Do not create permanent shadow, gate, readiness or smoke-test layers as core architecture.</w:t>
      </w:r>
    </w:p>
    <w:p>
      <w:pPr>
        <w:pStyle w:val="ListBullet"/>
      </w:pPr>
      <w:r>
        <w:t>Do not create extra middle layers unless they are required by the specification.</w:t>
      </w:r>
    </w:p>
    <w:p>
      <w:pPr>
        <w:pStyle w:val="ListBullet"/>
      </w:pPr>
      <w:r>
        <w:t>Build order may be stepwise, but the final base template must include all central modules before calibration starts.</w:t>
      </w:r>
    </w:p>
    <w:p>
      <w:pPr>
        <w:pStyle w:val="TableTitle"/>
      </w:pPr>
      <w:r>
        <w:rPr>
          <w:b/>
        </w:rPr>
        <w:t>Table - Required Base Template Modules Before Calibration</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6"/>
              </w:rPr>
              <w:t>Module / Sheet</w:t>
            </w:r>
          </w:p>
        </w:tc>
        <w:tc>
          <w:tcPr>
            <w:tcW w:type="dxa" w:w="5270"/>
            <w:vAlign w:val="top"/>
            <w:shd w:fill="D9EAF7"/>
          </w:tcPr>
          <w:p>
            <w:pPr>
              <w:spacing w:after="0" w:line="240" w:lineRule="auto"/>
            </w:pPr>
            <w:r/>
            <w:r>
              <w:rPr>
                <w:b/>
                <w:sz w:val="16"/>
              </w:rPr>
              <w:t>Required role before calibration</w:t>
            </w:r>
          </w:p>
        </w:tc>
      </w:tr>
      <w:tr>
        <w:tc>
          <w:tcPr>
            <w:tcW w:type="dxa" w:w="5270"/>
            <w:vAlign w:val="top"/>
          </w:tcPr>
          <w:p>
            <w:pPr>
              <w:spacing w:after="0" w:line="240" w:lineRule="auto"/>
            </w:pPr>
            <w:r/>
            <w:r>
              <w:rPr>
                <w:b w:val="0"/>
                <w:sz w:val="15"/>
              </w:rPr>
              <w:t>Forecast &amp; Fade Rules</w:t>
            </w:r>
          </w:p>
        </w:tc>
        <w:tc>
          <w:tcPr>
            <w:tcW w:type="dxa" w:w="5270"/>
            <w:vAlign w:val="top"/>
          </w:tcPr>
          <w:p>
            <w:pPr>
              <w:spacing w:after="0" w:line="240" w:lineRule="auto"/>
            </w:pPr>
            <w:r/>
            <w:r>
              <w:rPr>
                <w:b w:val="0"/>
                <w:sz w:val="15"/>
              </w:rPr>
              <w:t>Rule engine for anchor/fade/stable-state logic.</w:t>
            </w:r>
          </w:p>
        </w:tc>
      </w:tr>
      <w:tr>
        <w:tc>
          <w:tcPr>
            <w:tcW w:type="dxa" w:w="5270"/>
            <w:vAlign w:val="top"/>
          </w:tcPr>
          <w:p>
            <w:pPr>
              <w:spacing w:after="0" w:line="240" w:lineRule="auto"/>
            </w:pPr>
            <w:r/>
            <w:r>
              <w:rPr>
                <w:b w:val="0"/>
                <w:sz w:val="15"/>
              </w:rPr>
              <w:t>Industry Benchmark Config</w:t>
            </w:r>
          </w:p>
        </w:tc>
        <w:tc>
          <w:tcPr>
            <w:tcW w:type="dxa" w:w="5270"/>
            <w:vAlign w:val="top"/>
          </w:tcPr>
          <w:p>
            <w:pPr>
              <w:spacing w:after="0" w:line="240" w:lineRule="auto"/>
            </w:pPr>
            <w:r/>
            <w:r>
              <w:rPr>
                <w:b w:val="0"/>
                <w:sz w:val="15"/>
              </w:rPr>
              <w:t>Benchmark-first industry logic, status, stage, cyclicality and display mapping.</w:t>
            </w:r>
          </w:p>
        </w:tc>
      </w:tr>
      <w:tr>
        <w:tc>
          <w:tcPr>
            <w:tcW w:type="dxa" w:w="5270"/>
            <w:vAlign w:val="top"/>
          </w:tcPr>
          <w:p>
            <w:pPr>
              <w:spacing w:after="0" w:line="240" w:lineRule="auto"/>
            </w:pPr>
            <w:r/>
            <w:r>
              <w:rPr>
                <w:b w:val="0"/>
                <w:sz w:val="15"/>
              </w:rPr>
              <w:t>Damodaran Data</w:t>
            </w:r>
          </w:p>
        </w:tc>
        <w:tc>
          <w:tcPr>
            <w:tcW w:type="dxa" w:w="5270"/>
            <w:vAlign w:val="top"/>
          </w:tcPr>
          <w:p>
            <w:pPr>
              <w:spacing w:after="0" w:line="240" w:lineRule="auto"/>
            </w:pPr>
            <w:r/>
            <w:r>
              <w:rPr>
                <w:b w:val="0"/>
                <w:sz w:val="15"/>
              </w:rPr>
              <w:t>Reference library for beta, margins, ROC, reinvestment, sales-to-capital, WACC support, tax and sanity multiples.</w:t>
            </w:r>
          </w:p>
        </w:tc>
      </w:tr>
      <w:tr>
        <w:tc>
          <w:tcPr>
            <w:tcW w:type="dxa" w:w="5270"/>
            <w:vAlign w:val="top"/>
          </w:tcPr>
          <w:p>
            <w:pPr>
              <w:spacing w:after="0" w:line="240" w:lineRule="auto"/>
            </w:pPr>
            <w:r/>
            <w:r>
              <w:rPr>
                <w:b w:val="0"/>
                <w:sz w:val="15"/>
              </w:rPr>
              <w:t>Country Risk / ERP</w:t>
            </w:r>
          </w:p>
        </w:tc>
        <w:tc>
          <w:tcPr>
            <w:tcW w:type="dxa" w:w="5270"/>
            <w:vAlign w:val="top"/>
          </w:tcPr>
          <w:p>
            <w:pPr>
              <w:spacing w:after="0" w:line="240" w:lineRule="auto"/>
            </w:pPr>
            <w:r/>
            <w:r>
              <w:rPr>
                <w:b w:val="0"/>
                <w:sz w:val="15"/>
              </w:rPr>
              <w:t>Country and revenue-weighted ERP support.</w:t>
            </w:r>
          </w:p>
        </w:tc>
      </w:tr>
      <w:tr>
        <w:tc>
          <w:tcPr>
            <w:tcW w:type="dxa" w:w="5270"/>
            <w:vAlign w:val="top"/>
          </w:tcPr>
          <w:p>
            <w:pPr>
              <w:spacing w:after="0" w:line="240" w:lineRule="auto"/>
            </w:pPr>
            <w:r/>
            <w:r>
              <w:rPr>
                <w:b w:val="0"/>
                <w:sz w:val="15"/>
              </w:rPr>
              <w:t>Riskfree Rates</w:t>
            </w:r>
          </w:p>
        </w:tc>
        <w:tc>
          <w:tcPr>
            <w:tcW w:type="dxa" w:w="5270"/>
            <w:vAlign w:val="top"/>
          </w:tcPr>
          <w:p>
            <w:pPr>
              <w:spacing w:after="0" w:line="240" w:lineRule="auto"/>
            </w:pPr>
            <w:r/>
            <w:r>
              <w:rPr>
                <w:b w:val="0"/>
                <w:sz w:val="15"/>
              </w:rPr>
              <w:t>Riskfree rate by valuation currency.</w:t>
            </w:r>
          </w:p>
        </w:tc>
      </w:tr>
      <w:tr>
        <w:tc>
          <w:tcPr>
            <w:tcW w:type="dxa" w:w="5270"/>
            <w:vAlign w:val="top"/>
          </w:tcPr>
          <w:p>
            <w:pPr>
              <w:spacing w:after="0" w:line="240" w:lineRule="auto"/>
            </w:pPr>
            <w:r/>
            <w:r>
              <w:rPr>
                <w:b w:val="0"/>
                <w:sz w:val="15"/>
              </w:rPr>
              <w:t>FX Rates</w:t>
            </w:r>
          </w:p>
        </w:tc>
        <w:tc>
          <w:tcPr>
            <w:tcW w:type="dxa" w:w="5270"/>
            <w:vAlign w:val="top"/>
          </w:tcPr>
          <w:p>
            <w:pPr>
              <w:spacing w:after="0" w:line="240" w:lineRule="auto"/>
            </w:pPr>
            <w:r/>
            <w:r>
              <w:rPr>
                <w:b w:val="0"/>
                <w:sz w:val="15"/>
              </w:rPr>
              <w:t>Currency conversion and currency review support.</w:t>
            </w:r>
          </w:p>
        </w:tc>
      </w:tr>
      <w:tr>
        <w:tc>
          <w:tcPr>
            <w:tcW w:type="dxa" w:w="5270"/>
            <w:vAlign w:val="top"/>
          </w:tcPr>
          <w:p>
            <w:pPr>
              <w:spacing w:after="0" w:line="240" w:lineRule="auto"/>
            </w:pPr>
            <w:r/>
            <w:r>
              <w:rPr>
                <w:b w:val="0"/>
                <w:sz w:val="15"/>
              </w:rPr>
              <w:t>Beta Engine</w:t>
            </w:r>
          </w:p>
        </w:tc>
        <w:tc>
          <w:tcPr>
            <w:tcW w:type="dxa" w:w="5270"/>
            <w:vAlign w:val="top"/>
          </w:tcPr>
          <w:p>
            <w:pPr>
              <w:spacing w:after="0" w:line="240" w:lineRule="auto"/>
            </w:pPr>
            <w:r/>
            <w:r>
              <w:rPr>
                <w:b w:val="0"/>
                <w:sz w:val="15"/>
              </w:rPr>
              <w:t>Current/stable beta support and beta review.</w:t>
            </w:r>
          </w:p>
        </w:tc>
      </w:tr>
      <w:tr>
        <w:tc>
          <w:tcPr>
            <w:tcW w:type="dxa" w:w="5270"/>
            <w:vAlign w:val="top"/>
          </w:tcPr>
          <w:p>
            <w:pPr>
              <w:spacing w:after="0" w:line="240" w:lineRule="auto"/>
            </w:pPr>
            <w:r/>
            <w:r>
              <w:rPr>
                <w:b w:val="0"/>
                <w:sz w:val="15"/>
              </w:rPr>
              <w:t>Historical Data</w:t>
            </w:r>
          </w:p>
        </w:tc>
        <w:tc>
          <w:tcPr>
            <w:tcW w:type="dxa" w:w="5270"/>
            <w:vAlign w:val="top"/>
          </w:tcPr>
          <w:p>
            <w:pPr>
              <w:spacing w:after="0" w:line="240" w:lineRule="auto"/>
            </w:pPr>
            <w:r/>
            <w:r>
              <w:rPr>
                <w:b w:val="0"/>
                <w:sz w:val="15"/>
              </w:rPr>
              <w:t>Historical trend and base-year support.</w:t>
            </w:r>
          </w:p>
        </w:tc>
      </w:tr>
      <w:tr>
        <w:tc>
          <w:tcPr>
            <w:tcW w:type="dxa" w:w="5270"/>
            <w:vAlign w:val="top"/>
          </w:tcPr>
          <w:p>
            <w:pPr>
              <w:spacing w:after="0" w:line="240" w:lineRule="auto"/>
            </w:pPr>
            <w:r/>
            <w:r>
              <w:rPr>
                <w:b w:val="0"/>
                <w:sz w:val="15"/>
              </w:rPr>
              <w:t>Reinvestment &amp; FCFF</w:t>
            </w:r>
          </w:p>
        </w:tc>
        <w:tc>
          <w:tcPr>
            <w:tcW w:type="dxa" w:w="5270"/>
            <w:vAlign w:val="top"/>
          </w:tcPr>
          <w:p>
            <w:pPr>
              <w:spacing w:after="0" w:line="240" w:lineRule="auto"/>
            </w:pPr>
            <w:r/>
            <w:r>
              <w:rPr>
                <w:b w:val="0"/>
                <w:sz w:val="15"/>
              </w:rPr>
              <w:t>NOPAT, reinvestment and FCFF engine.</w:t>
            </w:r>
          </w:p>
        </w:tc>
      </w:tr>
      <w:tr>
        <w:tc>
          <w:tcPr>
            <w:tcW w:type="dxa" w:w="5270"/>
            <w:vAlign w:val="top"/>
          </w:tcPr>
          <w:p>
            <w:pPr>
              <w:spacing w:after="0" w:line="240" w:lineRule="auto"/>
            </w:pPr>
            <w:r/>
            <w:r>
              <w:rPr>
                <w:b w:val="0"/>
                <w:sz w:val="15"/>
              </w:rPr>
              <w:t>Risk / WACC</w:t>
            </w:r>
          </w:p>
        </w:tc>
        <w:tc>
          <w:tcPr>
            <w:tcW w:type="dxa" w:w="5270"/>
            <w:vAlign w:val="top"/>
          </w:tcPr>
          <w:p>
            <w:pPr>
              <w:spacing w:after="0" w:line="240" w:lineRule="auto"/>
            </w:pPr>
            <w:r/>
            <w:r>
              <w:rPr>
                <w:b w:val="0"/>
                <w:sz w:val="15"/>
              </w:rPr>
              <w:t>Cost of equity, cost of debt, weights and WACC path.</w:t>
            </w:r>
          </w:p>
        </w:tc>
      </w:tr>
      <w:tr>
        <w:tc>
          <w:tcPr>
            <w:tcW w:type="dxa" w:w="5270"/>
            <w:vAlign w:val="top"/>
          </w:tcPr>
          <w:p>
            <w:pPr>
              <w:spacing w:after="0" w:line="240" w:lineRule="auto"/>
            </w:pPr>
            <w:r/>
            <w:r>
              <w:rPr>
                <w:b w:val="0"/>
                <w:sz w:val="15"/>
              </w:rPr>
              <w:t>Terminal Value</w:t>
            </w:r>
          </w:p>
        </w:tc>
        <w:tc>
          <w:tcPr>
            <w:tcW w:type="dxa" w:w="5270"/>
            <w:vAlign w:val="top"/>
          </w:tcPr>
          <w:p>
            <w:pPr>
              <w:spacing w:after="0" w:line="240" w:lineRule="auto"/>
            </w:pPr>
            <w:r/>
            <w:r>
              <w:rPr>
                <w:b w:val="0"/>
                <w:sz w:val="15"/>
              </w:rPr>
              <w:t>Gordon FCFF terminal value.</w:t>
            </w:r>
          </w:p>
        </w:tc>
      </w:tr>
      <w:tr>
        <w:tc>
          <w:tcPr>
            <w:tcW w:type="dxa" w:w="5270"/>
            <w:vAlign w:val="top"/>
          </w:tcPr>
          <w:p>
            <w:pPr>
              <w:spacing w:after="0" w:line="240" w:lineRule="auto"/>
            </w:pPr>
            <w:r/>
            <w:r>
              <w:rPr>
                <w:b w:val="0"/>
                <w:sz w:val="15"/>
              </w:rPr>
              <w:t>Firm-to-Equity Bridge</w:t>
            </w:r>
          </w:p>
        </w:tc>
        <w:tc>
          <w:tcPr>
            <w:tcW w:type="dxa" w:w="5270"/>
            <w:vAlign w:val="top"/>
          </w:tcPr>
          <w:p>
            <w:pPr>
              <w:spacing w:after="0" w:line="240" w:lineRule="auto"/>
            </w:pPr>
            <w:r/>
            <w:r>
              <w:rPr>
                <w:b w:val="0"/>
                <w:sz w:val="15"/>
              </w:rPr>
              <w:t>Bridge from firm value to equity value.</w:t>
            </w:r>
          </w:p>
        </w:tc>
      </w:tr>
      <w:tr>
        <w:tc>
          <w:tcPr>
            <w:tcW w:type="dxa" w:w="5270"/>
            <w:vAlign w:val="top"/>
          </w:tcPr>
          <w:p>
            <w:pPr>
              <w:spacing w:after="0" w:line="240" w:lineRule="auto"/>
            </w:pPr>
            <w:r/>
            <w:r>
              <w:rPr>
                <w:b w:val="0"/>
                <w:sz w:val="15"/>
              </w:rPr>
              <w:t>Quality / Review Checks</w:t>
            </w:r>
          </w:p>
        </w:tc>
        <w:tc>
          <w:tcPr>
            <w:tcW w:type="dxa" w:w="5270"/>
            <w:vAlign w:val="top"/>
          </w:tcPr>
          <w:p>
            <w:pPr>
              <w:spacing w:after="0" w:line="240" w:lineRule="auto"/>
            </w:pPr>
            <w:r/>
            <w:r>
              <w:rPr>
                <w:b w:val="0"/>
                <w:sz w:val="15"/>
              </w:rPr>
              <w:t>Worst-flag-wins review architecture.</w:t>
            </w:r>
          </w:p>
        </w:tc>
      </w:tr>
      <w:tr>
        <w:tc>
          <w:tcPr>
            <w:tcW w:type="dxa" w:w="5270"/>
            <w:vAlign w:val="top"/>
          </w:tcPr>
          <w:p>
            <w:pPr>
              <w:spacing w:after="0" w:line="240" w:lineRule="auto"/>
            </w:pPr>
            <w:r/>
            <w:r>
              <w:rPr>
                <w:b w:val="0"/>
                <w:sz w:val="15"/>
              </w:rPr>
              <w:t>Company Snapshot and DashBoard</w:t>
            </w:r>
          </w:p>
        </w:tc>
        <w:tc>
          <w:tcPr>
            <w:tcW w:type="dxa" w:w="5270"/>
            <w:vAlign w:val="top"/>
          </w:tcPr>
          <w:p>
            <w:pPr>
              <w:spacing w:after="0" w:line="240" w:lineRule="auto"/>
            </w:pPr>
            <w:r/>
            <w:r>
              <w:rPr>
                <w:b w:val="0"/>
                <w:sz w:val="15"/>
              </w:rPr>
              <w:t>Presentation/navigation layers.</w:t>
            </w:r>
          </w:p>
        </w:tc>
      </w:tr>
    </w:tbl>
    <w:p/>
    <w:p>
      <w:pPr>
        <w:pStyle w:val="Heading1"/>
      </w:pPr>
      <w:r>
        <w:t>6. Workbook Architecture &amp; System Sheets</w:t>
      </w:r>
    </w:p>
    <w:p>
      <w:pPr>
        <w:pStyle w:val="Heading2"/>
      </w:pPr>
      <w:r>
        <w:t>6.1 Bolagsflikar</w:t>
      </w:r>
    </w:p>
    <w:p>
      <w:r>
        <w:t>Varje bolag får en egen flik skapad från Operating Co Template. Bolagsfliken är där valuation engines räknar. Den ska innehålla Company Setup, Company Identity, Manual Inputs, Historical Data, Forecast Inputs, Forecast &amp; Fade Engine, Reinvestment &amp; FCFF Engine, Risk / WACC Engine, Terminal Value Engine, Firm-to-Equity Bridge, Quality / Review Checks, Company Snapshot och Dashboard Output Keys.</w:t>
      </w:r>
    </w:p>
    <w:p>
      <w:pPr>
        <w:pStyle w:val="Heading2"/>
      </w:pPr>
      <w:r>
        <w:t>6.2 Permanenta system/reference sheets</w:t>
      </w:r>
    </w:p>
    <w:p>
      <w:pPr>
        <w:pStyle w:val="ListBullet"/>
      </w:pPr>
      <w:r>
        <w:t>Operating Co Template</w:t>
      </w:r>
    </w:p>
    <w:p>
      <w:pPr>
        <w:pStyle w:val="ListBullet"/>
      </w:pPr>
      <w:r>
        <w:t>DashBoard</w:t>
      </w:r>
    </w:p>
    <w:p>
      <w:pPr>
        <w:pStyle w:val="ListBullet"/>
      </w:pPr>
      <w:r>
        <w:t>Settings</w:t>
      </w:r>
    </w:p>
    <w:p>
      <w:pPr>
        <w:pStyle w:val="ListBullet"/>
      </w:pPr>
      <w:r>
        <w:t>Riskfree Rates</w:t>
      </w:r>
    </w:p>
    <w:p>
      <w:pPr>
        <w:pStyle w:val="ListBullet"/>
      </w:pPr>
      <w:r>
        <w:t>FX Rates</w:t>
      </w:r>
    </w:p>
    <w:p>
      <w:pPr>
        <w:pStyle w:val="ListBullet"/>
      </w:pPr>
      <w:r>
        <w:t>Country Risk / ERP</w:t>
      </w:r>
    </w:p>
    <w:p>
      <w:pPr>
        <w:pStyle w:val="ListBullet"/>
      </w:pPr>
      <w:r>
        <w:t>Damodaran Data</w:t>
      </w:r>
    </w:p>
    <w:p>
      <w:pPr>
        <w:pStyle w:val="ListBullet"/>
      </w:pPr>
      <w:r>
        <w:t>Industry Benchmark Config</w:t>
      </w:r>
    </w:p>
    <w:p>
      <w:pPr>
        <w:pStyle w:val="ListBullet"/>
      </w:pPr>
      <w:r>
        <w:t>Beta Engine</w:t>
      </w:r>
    </w:p>
    <w:p>
      <w:pPr>
        <w:pStyle w:val="ListBullet"/>
      </w:pPr>
      <w:r>
        <w:t>Forecast &amp; Fade Rules</w:t>
      </w:r>
    </w:p>
    <w:p>
      <w:pPr>
        <w:pStyle w:val="ListBullet"/>
      </w:pPr>
      <w:r>
        <w:t>Dashboard Config</w:t>
      </w:r>
    </w:p>
    <w:p>
      <w:pPr>
        <w:pStyle w:val="ListBullet"/>
      </w:pPr>
      <w:r>
        <w:t>Documentation / Notes</w:t>
      </w:r>
    </w:p>
    <w:p>
      <w:pPr>
        <w:pStyle w:val="ListBullet"/>
      </w:pPr>
      <w:r>
        <w:t>Script Log</w:t>
      </w:r>
    </w:p>
    <w:p>
      <w:pPr>
        <w:pStyle w:val="Heading2"/>
      </w:pPr>
      <w:r>
        <w:t>6.3 Möjliga framtida systemflikar</w:t>
      </w:r>
    </w:p>
    <w:p>
      <w:pPr>
        <w:pStyle w:val="ListBullet"/>
      </w:pPr>
      <w:r>
        <w:t>Risk Settings</w:t>
      </w:r>
    </w:p>
    <w:p>
      <w:pPr>
        <w:pStyle w:val="ListBullet"/>
      </w:pPr>
      <w:r>
        <w:t>Scenario Rules</w:t>
      </w:r>
    </w:p>
    <w:p>
      <w:pPr>
        <w:pStyle w:val="ListBullet"/>
      </w:pPr>
      <w:r>
        <w:t>Sensitivity Rules</w:t>
      </w:r>
    </w:p>
    <w:p>
      <w:pPr>
        <w:pStyle w:val="ListBullet"/>
      </w:pPr>
      <w:r>
        <w:t>Calibration Cases</w:t>
      </w:r>
    </w:p>
    <w:p>
      <w:pPr>
        <w:pStyle w:val="ListBullet"/>
      </w:pPr>
      <w:r>
        <w:t>Source Links</w:t>
      </w:r>
    </w:p>
    <w:p>
      <w:pPr>
        <w:pStyle w:val="ListBullet"/>
      </w:pPr>
      <w:r>
        <w:t>Data Freshness Log</w:t>
      </w:r>
    </w:p>
    <w:p>
      <w:pPr>
        <w:pStyle w:val="ListBullet"/>
      </w:pPr>
      <w:r>
        <w:t>Advanced Regression Data</w:t>
      </w:r>
    </w:p>
    <w:p>
      <w:pPr>
        <w:pStyle w:val="Heading2"/>
      </w:pPr>
      <w:r>
        <w:t>6.4 Systemflikarnas roll</w:t>
      </w:r>
    </w:p>
    <w:p>
      <w:pPr>
        <w:pStyle w:val="TableTitle"/>
      </w:pPr>
      <w:r>
        <w:rPr>
          <w:b/>
        </w:rPr>
        <w:t>Table - System Sheet Roles</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6"/>
              </w:rPr>
              <w:t>Sheet</w:t>
            </w:r>
          </w:p>
        </w:tc>
        <w:tc>
          <w:tcPr>
            <w:tcW w:type="dxa" w:w="5270"/>
            <w:vAlign w:val="top"/>
            <w:shd w:fill="D9EAF7"/>
          </w:tcPr>
          <w:p>
            <w:pPr>
              <w:spacing w:after="0" w:line="240" w:lineRule="auto"/>
            </w:pPr>
            <w:r/>
            <w:r>
              <w:rPr>
                <w:b/>
                <w:sz w:val="16"/>
              </w:rPr>
              <w:t>Role</w:t>
            </w:r>
          </w:p>
        </w:tc>
      </w:tr>
      <w:tr>
        <w:tc>
          <w:tcPr>
            <w:tcW w:type="dxa" w:w="5270"/>
            <w:vAlign w:val="top"/>
          </w:tcPr>
          <w:p>
            <w:pPr>
              <w:spacing w:after="0" w:line="240" w:lineRule="auto"/>
            </w:pPr>
            <w:r/>
            <w:r>
              <w:rPr>
                <w:b w:val="0"/>
                <w:sz w:val="15"/>
              </w:rPr>
              <w:t>Operating Co Template</w:t>
            </w:r>
          </w:p>
        </w:tc>
        <w:tc>
          <w:tcPr>
            <w:tcW w:type="dxa" w:w="5270"/>
            <w:vAlign w:val="top"/>
          </w:tcPr>
          <w:p>
            <w:pPr>
              <w:spacing w:after="0" w:line="240" w:lineRule="auto"/>
            </w:pPr>
            <w:r/>
            <w:r>
              <w:rPr>
                <w:b w:val="0"/>
                <w:sz w:val="15"/>
              </w:rPr>
              <w:t>Template/source sheet for new company sheets.</w:t>
            </w:r>
          </w:p>
        </w:tc>
      </w:tr>
      <w:tr>
        <w:tc>
          <w:tcPr>
            <w:tcW w:type="dxa" w:w="5270"/>
            <w:vAlign w:val="top"/>
          </w:tcPr>
          <w:p>
            <w:pPr>
              <w:spacing w:after="0" w:line="240" w:lineRule="auto"/>
            </w:pPr>
            <w:r/>
            <w:r>
              <w:rPr>
                <w:b w:val="0"/>
                <w:sz w:val="15"/>
              </w:rPr>
              <w:t>DashBoard</w:t>
            </w:r>
          </w:p>
        </w:tc>
        <w:tc>
          <w:tcPr>
            <w:tcW w:type="dxa" w:w="5270"/>
            <w:vAlign w:val="top"/>
          </w:tcPr>
          <w:p>
            <w:pPr>
              <w:spacing w:after="0" w:line="240" w:lineRule="auto"/>
            </w:pPr>
            <w:r/>
            <w:r>
              <w:rPr>
                <w:b w:val="0"/>
                <w:sz w:val="15"/>
              </w:rPr>
              <w:t>Live output/navigation sheet for analysed companies.</w:t>
            </w:r>
          </w:p>
        </w:tc>
      </w:tr>
      <w:tr>
        <w:tc>
          <w:tcPr>
            <w:tcW w:type="dxa" w:w="5270"/>
            <w:vAlign w:val="top"/>
          </w:tcPr>
          <w:p>
            <w:pPr>
              <w:spacing w:after="0" w:line="240" w:lineRule="auto"/>
            </w:pPr>
            <w:r/>
            <w:r>
              <w:rPr>
                <w:b w:val="0"/>
                <w:sz w:val="15"/>
              </w:rPr>
              <w:t>Settings</w:t>
            </w:r>
          </w:p>
        </w:tc>
        <w:tc>
          <w:tcPr>
            <w:tcW w:type="dxa" w:w="5270"/>
            <w:vAlign w:val="top"/>
          </w:tcPr>
          <w:p>
            <w:pPr>
              <w:spacing w:after="0" w:line="240" w:lineRule="auto"/>
            </w:pPr>
            <w:r/>
            <w:r>
              <w:rPr>
                <w:b w:val="0"/>
                <w:sz w:val="15"/>
              </w:rPr>
              <w:t>Global settings, status values, MOS caps and technical settings.</w:t>
            </w:r>
          </w:p>
        </w:tc>
      </w:tr>
      <w:tr>
        <w:tc>
          <w:tcPr>
            <w:tcW w:type="dxa" w:w="5270"/>
            <w:vAlign w:val="top"/>
          </w:tcPr>
          <w:p>
            <w:pPr>
              <w:spacing w:after="0" w:line="240" w:lineRule="auto"/>
            </w:pPr>
            <w:r/>
            <w:r>
              <w:rPr>
                <w:b w:val="0"/>
                <w:sz w:val="15"/>
              </w:rPr>
              <w:t>Riskfree Rates</w:t>
            </w:r>
          </w:p>
        </w:tc>
        <w:tc>
          <w:tcPr>
            <w:tcW w:type="dxa" w:w="5270"/>
            <w:vAlign w:val="top"/>
          </w:tcPr>
          <w:p>
            <w:pPr>
              <w:spacing w:after="0" w:line="240" w:lineRule="auto"/>
            </w:pPr>
            <w:r/>
            <w:r>
              <w:rPr>
                <w:b w:val="0"/>
                <w:sz w:val="15"/>
              </w:rPr>
              <w:t>Riskfree rates by Valuation Currency.</w:t>
            </w:r>
          </w:p>
        </w:tc>
      </w:tr>
      <w:tr>
        <w:tc>
          <w:tcPr>
            <w:tcW w:type="dxa" w:w="5270"/>
            <w:vAlign w:val="top"/>
          </w:tcPr>
          <w:p>
            <w:pPr>
              <w:spacing w:after="0" w:line="240" w:lineRule="auto"/>
            </w:pPr>
            <w:r/>
            <w:r>
              <w:rPr>
                <w:b w:val="0"/>
                <w:sz w:val="15"/>
              </w:rPr>
              <w:t>FX Rates</w:t>
            </w:r>
          </w:p>
        </w:tc>
        <w:tc>
          <w:tcPr>
            <w:tcW w:type="dxa" w:w="5270"/>
            <w:vAlign w:val="top"/>
          </w:tcPr>
          <w:p>
            <w:pPr>
              <w:spacing w:after="0" w:line="240" w:lineRule="auto"/>
            </w:pPr>
            <w:r/>
            <w:r>
              <w:rPr>
                <w:b w:val="0"/>
                <w:sz w:val="15"/>
              </w:rPr>
              <w:t>Currency conversion support for Reporting Currency, Valuation Currency and Trading / Price Currency.</w:t>
            </w:r>
          </w:p>
        </w:tc>
      </w:tr>
      <w:tr>
        <w:tc>
          <w:tcPr>
            <w:tcW w:type="dxa" w:w="5270"/>
            <w:vAlign w:val="top"/>
          </w:tcPr>
          <w:p>
            <w:pPr>
              <w:spacing w:after="0" w:line="240" w:lineRule="auto"/>
            </w:pPr>
            <w:r/>
            <w:r>
              <w:rPr>
                <w:b w:val="0"/>
                <w:sz w:val="15"/>
              </w:rPr>
              <w:t>Country Risk / ERP</w:t>
            </w:r>
          </w:p>
        </w:tc>
        <w:tc>
          <w:tcPr>
            <w:tcW w:type="dxa" w:w="5270"/>
            <w:vAlign w:val="top"/>
          </w:tcPr>
          <w:p>
            <w:pPr>
              <w:spacing w:after="0" w:line="240" w:lineRule="auto"/>
            </w:pPr>
            <w:r/>
            <w:r>
              <w:rPr>
                <w:b w:val="0"/>
                <w:sz w:val="15"/>
              </w:rPr>
              <w:t>Country ERP, country risk premium, regional ERP and revenue-weighted ERP logic.</w:t>
            </w:r>
          </w:p>
        </w:tc>
      </w:tr>
      <w:tr>
        <w:tc>
          <w:tcPr>
            <w:tcW w:type="dxa" w:w="5270"/>
            <w:vAlign w:val="top"/>
          </w:tcPr>
          <w:p>
            <w:pPr>
              <w:spacing w:after="0" w:line="240" w:lineRule="auto"/>
            </w:pPr>
            <w:r/>
            <w:r>
              <w:rPr>
                <w:b w:val="0"/>
                <w:sz w:val="15"/>
              </w:rPr>
              <w:t>Damodaran Data</w:t>
            </w:r>
          </w:p>
        </w:tc>
        <w:tc>
          <w:tcPr>
            <w:tcW w:type="dxa" w:w="5270"/>
            <w:vAlign w:val="top"/>
          </w:tcPr>
          <w:p>
            <w:pPr>
              <w:spacing w:after="0" w:line="240" w:lineRule="auto"/>
            </w:pPr>
            <w:r/>
            <w:r>
              <w:rPr>
                <w:b w:val="0"/>
                <w:sz w:val="15"/>
              </w:rPr>
              <w:t>Reference data: industry beta, margins, ROC, reinvestment, sales-to-capital, cost of capital, working capital, tax and multiples sanity.</w:t>
            </w:r>
          </w:p>
        </w:tc>
      </w:tr>
      <w:tr>
        <w:tc>
          <w:tcPr>
            <w:tcW w:type="dxa" w:w="5270"/>
            <w:vAlign w:val="top"/>
          </w:tcPr>
          <w:p>
            <w:pPr>
              <w:spacing w:after="0" w:line="240" w:lineRule="auto"/>
            </w:pPr>
            <w:r/>
            <w:r>
              <w:rPr>
                <w:b w:val="0"/>
                <w:sz w:val="15"/>
              </w:rPr>
              <w:t>Industry Benchmark Config</w:t>
            </w:r>
          </w:p>
        </w:tc>
        <w:tc>
          <w:tcPr>
            <w:tcW w:type="dxa" w:w="5270"/>
            <w:vAlign w:val="top"/>
          </w:tcPr>
          <w:p>
            <w:pPr>
              <w:spacing w:after="0" w:line="240" w:lineRule="auto"/>
            </w:pPr>
            <w:r/>
            <w:r>
              <w:rPr>
                <w:b w:val="0"/>
                <w:sz w:val="15"/>
              </w:rPr>
              <w:t>Damodaran Industrial Benchmark universe, eligibility, config, stage/cyclicality/history/default rules and ISM display mapping.</w:t>
            </w:r>
          </w:p>
        </w:tc>
      </w:tr>
      <w:tr>
        <w:tc>
          <w:tcPr>
            <w:tcW w:type="dxa" w:w="5270"/>
            <w:vAlign w:val="top"/>
          </w:tcPr>
          <w:p>
            <w:pPr>
              <w:spacing w:after="0" w:line="240" w:lineRule="auto"/>
            </w:pPr>
            <w:r/>
            <w:r>
              <w:rPr>
                <w:b w:val="0"/>
                <w:sz w:val="15"/>
              </w:rPr>
              <w:t>Beta Engine</w:t>
            </w:r>
          </w:p>
        </w:tc>
        <w:tc>
          <w:tcPr>
            <w:tcW w:type="dxa" w:w="5270"/>
            <w:vAlign w:val="top"/>
          </w:tcPr>
          <w:p>
            <w:pPr>
              <w:spacing w:after="0" w:line="240" w:lineRule="auto"/>
            </w:pPr>
            <w:r/>
            <w:r>
              <w:rPr>
                <w:b w:val="0"/>
                <w:sz w:val="15"/>
              </w:rPr>
              <w:t>Regression/User Beta, bottom-up beta, selected current beta, selected stable beta and beta review support.</w:t>
            </w:r>
          </w:p>
        </w:tc>
      </w:tr>
      <w:tr>
        <w:tc>
          <w:tcPr>
            <w:tcW w:type="dxa" w:w="5270"/>
            <w:vAlign w:val="top"/>
          </w:tcPr>
          <w:p>
            <w:pPr>
              <w:spacing w:after="0" w:line="240" w:lineRule="auto"/>
            </w:pPr>
            <w:r/>
            <w:r>
              <w:rPr>
                <w:b w:val="0"/>
                <w:sz w:val="15"/>
              </w:rPr>
              <w:t>Forecast &amp; Fade Rules</w:t>
            </w:r>
          </w:p>
        </w:tc>
        <w:tc>
          <w:tcPr>
            <w:tcW w:type="dxa" w:w="5270"/>
            <w:vAlign w:val="top"/>
          </w:tcPr>
          <w:p>
            <w:pPr>
              <w:spacing w:after="0" w:line="240" w:lineRule="auto"/>
            </w:pPr>
            <w:r/>
            <w:r>
              <w:rPr>
                <w:b w:val="0"/>
                <w:sz w:val="15"/>
              </w:rPr>
              <w:t>Forecast-anchor rules, forecast quality, fade-to-stable rules and terminal readiness definitions.</w:t>
            </w:r>
          </w:p>
        </w:tc>
      </w:tr>
      <w:tr>
        <w:tc>
          <w:tcPr>
            <w:tcW w:type="dxa" w:w="5270"/>
            <w:vAlign w:val="top"/>
          </w:tcPr>
          <w:p>
            <w:pPr>
              <w:spacing w:after="0" w:line="240" w:lineRule="auto"/>
            </w:pPr>
            <w:r/>
            <w:r>
              <w:rPr>
                <w:b w:val="0"/>
                <w:sz w:val="15"/>
              </w:rPr>
              <w:t>Dashboard Config</w:t>
            </w:r>
          </w:p>
        </w:tc>
        <w:tc>
          <w:tcPr>
            <w:tcW w:type="dxa" w:w="5270"/>
            <w:vAlign w:val="top"/>
          </w:tcPr>
          <w:p>
            <w:pPr>
              <w:spacing w:after="0" w:line="240" w:lineRule="auto"/>
            </w:pPr>
            <w:r/>
            <w:r>
              <w:rPr>
                <w:b w:val="0"/>
                <w:sz w:val="15"/>
              </w:rPr>
              <w:t>Defines output keys and DashBoard columns.</w:t>
            </w:r>
          </w:p>
        </w:tc>
      </w:tr>
      <w:tr>
        <w:tc>
          <w:tcPr>
            <w:tcW w:type="dxa" w:w="5270"/>
            <w:vAlign w:val="top"/>
          </w:tcPr>
          <w:p>
            <w:pPr>
              <w:spacing w:after="0" w:line="240" w:lineRule="auto"/>
            </w:pPr>
            <w:r/>
            <w:r>
              <w:rPr>
                <w:b w:val="0"/>
                <w:sz w:val="15"/>
              </w:rPr>
              <w:t>Documentation / Notes</w:t>
            </w:r>
          </w:p>
        </w:tc>
        <w:tc>
          <w:tcPr>
            <w:tcW w:type="dxa" w:w="5270"/>
            <w:vAlign w:val="top"/>
          </w:tcPr>
          <w:p>
            <w:pPr>
              <w:spacing w:after="0" w:line="240" w:lineRule="auto"/>
            </w:pPr>
            <w:r/>
            <w:r>
              <w:rPr>
                <w:b w:val="0"/>
                <w:sz w:val="15"/>
              </w:rPr>
              <w:t>User manual, method notes, source notes and version log.</w:t>
            </w:r>
          </w:p>
        </w:tc>
      </w:tr>
      <w:tr>
        <w:tc>
          <w:tcPr>
            <w:tcW w:type="dxa" w:w="5270"/>
            <w:vAlign w:val="top"/>
          </w:tcPr>
          <w:p>
            <w:pPr>
              <w:spacing w:after="0" w:line="240" w:lineRule="auto"/>
            </w:pPr>
            <w:r/>
            <w:r>
              <w:rPr>
                <w:b w:val="0"/>
                <w:sz w:val="15"/>
              </w:rPr>
              <w:t>Script Log</w:t>
            </w:r>
          </w:p>
        </w:tc>
        <w:tc>
          <w:tcPr>
            <w:tcW w:type="dxa" w:w="5270"/>
            <w:vAlign w:val="top"/>
          </w:tcPr>
          <w:p>
            <w:pPr>
              <w:spacing w:after="0" w:line="240" w:lineRule="auto"/>
            </w:pPr>
            <w:r/>
            <w:r>
              <w:rPr>
                <w:b w:val="0"/>
                <w:sz w:val="15"/>
              </w:rPr>
              <w:t>Technical log for Apps Script runs.</w:t>
            </w:r>
          </w:p>
        </w:tc>
      </w:tr>
    </w:tbl>
    <w:p/>
    <w:p>
      <w:pPr>
        <w:pStyle w:val="Heading1"/>
      </w:pPr>
      <w:r>
        <w:t>7. Språkregel</w:t>
      </w:r>
    </w:p>
    <w:p>
      <w:r>
        <w:t>Själva Google Sheets-mallen ska vara på engelska: sheet names, labels, statuses, flags, dropdown values, output names, formula block names, menu items and technical/model terminology. Detta dokument kan förklara på svenska, men key model terms ska vara på engelska.</w:t>
      </w:r>
    </w:p>
    <w:p>
      <w:pPr>
        <w:pStyle w:val="ListBullet"/>
      </w:pPr>
      <w:r>
        <w:t>Industry</w:t>
      </w:r>
    </w:p>
    <w:p>
      <w:pPr>
        <w:pStyle w:val="ListBullet"/>
      </w:pPr>
      <w:r>
        <w:t>Damodaran Industrial Benchmark</w:t>
      </w:r>
    </w:p>
    <w:p>
      <w:pPr>
        <w:pStyle w:val="ListBullet"/>
      </w:pPr>
      <w:r>
        <w:t>Selected Damodaran Industrial Benchmark</w:t>
      </w:r>
    </w:p>
    <w:p>
      <w:pPr>
        <w:pStyle w:val="ListBullet"/>
      </w:pPr>
      <w:r>
        <w:t>ISM-sector</w:t>
      </w:r>
    </w:p>
    <w:p>
      <w:pPr>
        <w:pStyle w:val="ListBullet"/>
      </w:pPr>
      <w:r>
        <w:t>Review Flag</w:t>
      </w:r>
    </w:p>
    <w:p>
      <w:pPr>
        <w:pStyle w:val="ListBullet"/>
      </w:pPr>
      <w:r>
        <w:t>Decision Status</w:t>
      </w:r>
    </w:p>
    <w:p>
      <w:pPr>
        <w:pStyle w:val="ListBullet"/>
      </w:pPr>
      <w:r>
        <w:t>Forecast Quality</w:t>
      </w:r>
    </w:p>
    <w:p>
      <w:pPr>
        <w:pStyle w:val="ListBullet"/>
      </w:pPr>
      <w:r>
        <w:t>Fade Quality</w:t>
      </w:r>
    </w:p>
    <w:p>
      <w:pPr>
        <w:pStyle w:val="ListBullet"/>
      </w:pPr>
      <w:r>
        <w:t>Terminal Readiness</w:t>
      </w:r>
    </w:p>
    <w:p>
      <w:pPr>
        <w:pStyle w:val="ListBullet"/>
      </w:pPr>
      <w:r>
        <w:t>Selected Current Beta</w:t>
      </w:r>
    </w:p>
    <w:p>
      <w:pPr>
        <w:pStyle w:val="ListBullet"/>
      </w:pPr>
      <w:r>
        <w:t>Selected Stable Beta</w:t>
      </w:r>
    </w:p>
    <w:p>
      <w:pPr>
        <w:pStyle w:val="ListBullet"/>
      </w:pPr>
      <w:r>
        <w:t>Official Intrinsic Value per Share</w:t>
      </w:r>
    </w:p>
    <w:p>
      <w:pPr>
        <w:pStyle w:val="Heading1"/>
      </w:pPr>
      <w:r>
        <w:t>8. Company Identity &amp; Ticker Logic</w:t>
      </w:r>
    </w:p>
    <w:p>
      <w:r>
        <w:t>När användaren skapar ett nytt bolag anges Full Ticker, t.ex. NYSE:DIS, NASDAQ:MSFT eller STO:VOLV-B. Mallen härleder Exchange och Clean Ticker. Full Ticker är dashboardens synliga ticker-output. Clean Ticker används som sheet name och intern identifiering.</w:t>
      </w:r>
    </w:p>
    <w:p>
      <w:pPr>
        <w:pStyle w:val="TableTitle"/>
      </w:pPr>
      <w:r>
        <w:rPr>
          <w:b/>
        </w:rPr>
        <w:t>Table - Company Identity Fields</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513"/>
            <w:vAlign w:val="top"/>
            <w:shd w:fill="D9EAF7"/>
          </w:tcPr>
          <w:p>
            <w:pPr>
              <w:spacing w:after="0" w:line="240" w:lineRule="auto"/>
            </w:pPr>
            <w:r/>
            <w:r>
              <w:rPr>
                <w:b/>
                <w:sz w:val="16"/>
              </w:rPr>
              <w:t>Field</w:t>
            </w:r>
          </w:p>
        </w:tc>
        <w:tc>
          <w:tcPr>
            <w:tcW w:type="dxa" w:w="3513"/>
            <w:vAlign w:val="top"/>
            <w:shd w:fill="D9EAF7"/>
          </w:tcPr>
          <w:p>
            <w:pPr>
              <w:spacing w:after="0" w:line="240" w:lineRule="auto"/>
            </w:pPr>
            <w:r/>
            <w:r>
              <w:rPr>
                <w:b/>
                <w:sz w:val="16"/>
              </w:rPr>
              <w:t>Role</w:t>
            </w:r>
          </w:p>
        </w:tc>
        <w:tc>
          <w:tcPr>
            <w:tcW w:type="dxa" w:w="3513"/>
            <w:vAlign w:val="top"/>
            <w:shd w:fill="D9EAF7"/>
          </w:tcPr>
          <w:p>
            <w:pPr>
              <w:spacing w:after="0" w:line="240" w:lineRule="auto"/>
            </w:pPr>
            <w:r/>
            <w:r>
              <w:rPr>
                <w:b/>
                <w:sz w:val="16"/>
              </w:rPr>
              <w:t>Valuation impact</w:t>
            </w:r>
          </w:p>
        </w:tc>
      </w:tr>
      <w:tr>
        <w:tc>
          <w:tcPr>
            <w:tcW w:type="dxa" w:w="3513"/>
            <w:vAlign w:val="top"/>
          </w:tcPr>
          <w:p>
            <w:pPr>
              <w:spacing w:after="0" w:line="240" w:lineRule="auto"/>
            </w:pPr>
            <w:r/>
            <w:r>
              <w:rPr>
                <w:b w:val="0"/>
                <w:sz w:val="15"/>
              </w:rPr>
              <w:t>Full Ticker</w:t>
            </w:r>
          </w:p>
        </w:tc>
        <w:tc>
          <w:tcPr>
            <w:tcW w:type="dxa" w:w="3513"/>
            <w:vAlign w:val="top"/>
          </w:tcPr>
          <w:p>
            <w:pPr>
              <w:spacing w:after="0" w:line="240" w:lineRule="auto"/>
            </w:pPr>
            <w:r/>
            <w:r>
              <w:rPr>
                <w:b w:val="0"/>
                <w:sz w:val="15"/>
              </w:rPr>
              <w:t>Primary listed company identity; used for Google Finance where possible.</w:t>
            </w:r>
          </w:p>
        </w:tc>
        <w:tc>
          <w:tcPr>
            <w:tcW w:type="dxa" w:w="3513"/>
            <w:vAlign w:val="top"/>
          </w:tcPr>
          <w:p>
            <w:pPr>
              <w:spacing w:after="0" w:line="240" w:lineRule="auto"/>
            </w:pPr>
            <w:r/>
            <w:r>
              <w:rPr>
                <w:b w:val="0"/>
                <w:sz w:val="15"/>
              </w:rPr>
              <w:t>No direct valuation impact, but critical for market data.</w:t>
            </w:r>
          </w:p>
        </w:tc>
      </w:tr>
      <w:tr>
        <w:tc>
          <w:tcPr>
            <w:tcW w:type="dxa" w:w="3513"/>
            <w:vAlign w:val="top"/>
          </w:tcPr>
          <w:p>
            <w:pPr>
              <w:spacing w:after="0" w:line="240" w:lineRule="auto"/>
            </w:pPr>
            <w:r/>
            <w:r>
              <w:rPr>
                <w:b w:val="0"/>
                <w:sz w:val="15"/>
              </w:rPr>
              <w:t>Clean Ticker</w:t>
            </w:r>
          </w:p>
        </w:tc>
        <w:tc>
          <w:tcPr>
            <w:tcW w:type="dxa" w:w="3513"/>
            <w:vAlign w:val="top"/>
          </w:tcPr>
          <w:p>
            <w:pPr>
              <w:spacing w:after="0" w:line="240" w:lineRule="auto"/>
            </w:pPr>
            <w:r/>
            <w:r>
              <w:rPr>
                <w:b w:val="0"/>
                <w:sz w:val="15"/>
              </w:rPr>
              <w:t>Ticker without exchange prefix; used as sheet name.</w:t>
            </w:r>
          </w:p>
        </w:tc>
        <w:tc>
          <w:tcPr>
            <w:tcW w:type="dxa" w:w="3513"/>
            <w:vAlign w:val="top"/>
          </w:tcPr>
          <w:p>
            <w:pPr>
              <w:spacing w:after="0" w:line="240" w:lineRule="auto"/>
            </w:pPr>
            <w:r/>
            <w:r>
              <w:rPr>
                <w:b w:val="0"/>
                <w:sz w:val="15"/>
              </w:rPr>
              <w:t>No direct valuation impact.</w:t>
            </w:r>
          </w:p>
        </w:tc>
      </w:tr>
      <w:tr>
        <w:tc>
          <w:tcPr>
            <w:tcW w:type="dxa" w:w="3513"/>
            <w:vAlign w:val="top"/>
          </w:tcPr>
          <w:p>
            <w:pPr>
              <w:spacing w:after="0" w:line="240" w:lineRule="auto"/>
            </w:pPr>
            <w:r/>
            <w:r>
              <w:rPr>
                <w:b w:val="0"/>
                <w:sz w:val="15"/>
              </w:rPr>
              <w:t>Exchange</w:t>
            </w:r>
          </w:p>
        </w:tc>
        <w:tc>
          <w:tcPr>
            <w:tcW w:type="dxa" w:w="3513"/>
            <w:vAlign w:val="top"/>
          </w:tcPr>
          <w:p>
            <w:pPr>
              <w:spacing w:after="0" w:line="240" w:lineRule="auto"/>
            </w:pPr>
            <w:r/>
            <w:r>
              <w:rPr>
                <w:b w:val="0"/>
                <w:sz w:val="15"/>
              </w:rPr>
              <w:t>Exchange parsed from Full Ticker.</w:t>
            </w:r>
          </w:p>
        </w:tc>
        <w:tc>
          <w:tcPr>
            <w:tcW w:type="dxa" w:w="3513"/>
            <w:vAlign w:val="top"/>
          </w:tcPr>
          <w:p>
            <w:pPr>
              <w:spacing w:after="0" w:line="240" w:lineRule="auto"/>
            </w:pPr>
            <w:r/>
            <w:r>
              <w:rPr>
                <w:b w:val="0"/>
                <w:sz w:val="15"/>
              </w:rPr>
              <w:t>No direct valuation impact.</w:t>
            </w:r>
          </w:p>
        </w:tc>
      </w:tr>
      <w:tr>
        <w:tc>
          <w:tcPr>
            <w:tcW w:type="dxa" w:w="3513"/>
            <w:vAlign w:val="top"/>
          </w:tcPr>
          <w:p>
            <w:pPr>
              <w:spacing w:after="0" w:line="240" w:lineRule="auto"/>
            </w:pPr>
            <w:r/>
            <w:r>
              <w:rPr>
                <w:b w:val="0"/>
                <w:sz w:val="15"/>
              </w:rPr>
              <w:t>Company Name</w:t>
            </w:r>
          </w:p>
        </w:tc>
        <w:tc>
          <w:tcPr>
            <w:tcW w:type="dxa" w:w="3513"/>
            <w:vAlign w:val="top"/>
          </w:tcPr>
          <w:p>
            <w:pPr>
              <w:spacing w:after="0" w:line="240" w:lineRule="auto"/>
            </w:pPr>
            <w:r/>
            <w:r>
              <w:rPr>
                <w:b w:val="0"/>
                <w:sz w:val="15"/>
              </w:rPr>
              <w:t>Identity/display field.</w:t>
            </w:r>
          </w:p>
        </w:tc>
        <w:tc>
          <w:tcPr>
            <w:tcW w:type="dxa" w:w="3513"/>
            <w:vAlign w:val="top"/>
          </w:tcPr>
          <w:p>
            <w:pPr>
              <w:spacing w:after="0" w:line="240" w:lineRule="auto"/>
            </w:pPr>
            <w:r/>
            <w:r>
              <w:rPr>
                <w:b w:val="0"/>
                <w:sz w:val="15"/>
              </w:rPr>
              <w:t>No direct valuation impact.</w:t>
            </w:r>
          </w:p>
        </w:tc>
      </w:tr>
      <w:tr>
        <w:tc>
          <w:tcPr>
            <w:tcW w:type="dxa" w:w="3513"/>
            <w:vAlign w:val="top"/>
          </w:tcPr>
          <w:p>
            <w:pPr>
              <w:spacing w:after="0" w:line="240" w:lineRule="auto"/>
            </w:pPr>
            <w:r/>
            <w:r>
              <w:rPr>
                <w:b w:val="0"/>
                <w:sz w:val="15"/>
              </w:rPr>
              <w:t>Selected Damodaran Industrial Benchmark</w:t>
            </w:r>
          </w:p>
        </w:tc>
        <w:tc>
          <w:tcPr>
            <w:tcW w:type="dxa" w:w="3513"/>
            <w:vAlign w:val="top"/>
          </w:tcPr>
          <w:p>
            <w:pPr>
              <w:spacing w:after="0" w:line="240" w:lineRule="auto"/>
            </w:pPr>
            <w:r/>
            <w:r>
              <w:rPr>
                <w:b w:val="0"/>
                <w:sz w:val="15"/>
              </w:rPr>
              <w:t>Primary industry input and benchmark anchor.</w:t>
            </w:r>
          </w:p>
        </w:tc>
        <w:tc>
          <w:tcPr>
            <w:tcW w:type="dxa" w:w="3513"/>
            <w:vAlign w:val="top"/>
          </w:tcPr>
          <w:p>
            <w:pPr>
              <w:spacing w:after="0" w:line="240" w:lineRule="auto"/>
            </w:pPr>
            <w:r/>
            <w:r>
              <w:rPr>
                <w:b w:val="0"/>
                <w:sz w:val="15"/>
              </w:rPr>
              <w:t>Drives benchmark support and review logic, not intrinsic value directly.</w:t>
            </w:r>
          </w:p>
        </w:tc>
      </w:tr>
      <w:tr>
        <w:tc>
          <w:tcPr>
            <w:tcW w:type="dxa" w:w="3513"/>
            <w:vAlign w:val="top"/>
          </w:tcPr>
          <w:p>
            <w:pPr>
              <w:spacing w:after="0" w:line="240" w:lineRule="auto"/>
            </w:pPr>
            <w:r/>
            <w:r>
              <w:rPr>
                <w:b w:val="0"/>
                <w:sz w:val="15"/>
              </w:rPr>
              <w:t>ISM-sector</w:t>
            </w:r>
          </w:p>
        </w:tc>
        <w:tc>
          <w:tcPr>
            <w:tcW w:type="dxa" w:w="3513"/>
            <w:vAlign w:val="top"/>
          </w:tcPr>
          <w:p>
            <w:pPr>
              <w:spacing w:after="0" w:line="240" w:lineRule="auto"/>
            </w:pPr>
            <w:r/>
            <w:r>
              <w:rPr>
                <w:b w:val="0"/>
                <w:sz w:val="15"/>
              </w:rPr>
              <w:t>Automatically derived display field from selected benchmark.</w:t>
            </w:r>
          </w:p>
        </w:tc>
        <w:tc>
          <w:tcPr>
            <w:tcW w:type="dxa" w:w="3513"/>
            <w:vAlign w:val="top"/>
          </w:tcPr>
          <w:p>
            <w:pPr>
              <w:spacing w:after="0" w:line="240" w:lineRule="auto"/>
            </w:pPr>
            <w:r/>
            <w:r>
              <w:rPr>
                <w:b w:val="0"/>
                <w:sz w:val="15"/>
              </w:rPr>
              <w:t>No valuation impact.</w:t>
            </w:r>
          </w:p>
        </w:tc>
      </w:tr>
      <w:tr>
        <w:tc>
          <w:tcPr>
            <w:tcW w:type="dxa" w:w="3513"/>
            <w:vAlign w:val="top"/>
          </w:tcPr>
          <w:p>
            <w:pPr>
              <w:spacing w:after="0" w:line="240" w:lineRule="auto"/>
            </w:pPr>
            <w:r/>
            <w:r>
              <w:rPr>
                <w:b w:val="0"/>
                <w:sz w:val="15"/>
              </w:rPr>
              <w:t>Valuation Currency</w:t>
            </w:r>
          </w:p>
        </w:tc>
        <w:tc>
          <w:tcPr>
            <w:tcW w:type="dxa" w:w="3513"/>
            <w:vAlign w:val="top"/>
          </w:tcPr>
          <w:p>
            <w:pPr>
              <w:spacing w:after="0" w:line="240" w:lineRule="auto"/>
            </w:pPr>
            <w:r/>
            <w:r>
              <w:rPr>
                <w:b w:val="0"/>
                <w:sz w:val="15"/>
              </w:rPr>
              <w:t>Currency of valuation output.</w:t>
            </w:r>
          </w:p>
        </w:tc>
        <w:tc>
          <w:tcPr>
            <w:tcW w:type="dxa" w:w="3513"/>
            <w:vAlign w:val="top"/>
          </w:tcPr>
          <w:p>
            <w:pPr>
              <w:spacing w:after="0" w:line="240" w:lineRule="auto"/>
            </w:pPr>
            <w:r/>
            <w:r>
              <w:rPr>
                <w:b w:val="0"/>
                <w:sz w:val="15"/>
              </w:rPr>
              <w:t>Drives riskfree rate and currency consistency.</w:t>
            </w:r>
          </w:p>
        </w:tc>
      </w:tr>
      <w:tr>
        <w:tc>
          <w:tcPr>
            <w:tcW w:type="dxa" w:w="3513"/>
            <w:vAlign w:val="top"/>
          </w:tcPr>
          <w:p>
            <w:pPr>
              <w:spacing w:after="0" w:line="240" w:lineRule="auto"/>
            </w:pPr>
            <w:r/>
            <w:r>
              <w:rPr>
                <w:b w:val="0"/>
                <w:sz w:val="15"/>
              </w:rPr>
              <w:t>Reporting Currency</w:t>
            </w:r>
          </w:p>
        </w:tc>
        <w:tc>
          <w:tcPr>
            <w:tcW w:type="dxa" w:w="3513"/>
            <w:vAlign w:val="top"/>
          </w:tcPr>
          <w:p>
            <w:pPr>
              <w:spacing w:after="0" w:line="240" w:lineRule="auto"/>
            </w:pPr>
            <w:r/>
            <w:r>
              <w:rPr>
                <w:b w:val="0"/>
                <w:sz w:val="15"/>
              </w:rPr>
              <w:t>Currency of financial statements.</w:t>
            </w:r>
          </w:p>
        </w:tc>
        <w:tc>
          <w:tcPr>
            <w:tcW w:type="dxa" w:w="3513"/>
            <w:vAlign w:val="top"/>
          </w:tcPr>
          <w:p>
            <w:pPr>
              <w:spacing w:after="0" w:line="240" w:lineRule="auto"/>
            </w:pPr>
            <w:r/>
            <w:r>
              <w:rPr>
                <w:b w:val="0"/>
                <w:sz w:val="15"/>
              </w:rPr>
              <w:t>Currency review / conversion support.</w:t>
            </w:r>
          </w:p>
        </w:tc>
      </w:tr>
      <w:tr>
        <w:tc>
          <w:tcPr>
            <w:tcW w:type="dxa" w:w="3513"/>
            <w:vAlign w:val="top"/>
          </w:tcPr>
          <w:p>
            <w:pPr>
              <w:spacing w:after="0" w:line="240" w:lineRule="auto"/>
            </w:pPr>
            <w:r/>
            <w:r>
              <w:rPr>
                <w:b w:val="0"/>
                <w:sz w:val="15"/>
              </w:rPr>
              <w:t>Trading / Price Currency</w:t>
            </w:r>
          </w:p>
        </w:tc>
        <w:tc>
          <w:tcPr>
            <w:tcW w:type="dxa" w:w="3513"/>
            <w:vAlign w:val="top"/>
          </w:tcPr>
          <w:p>
            <w:pPr>
              <w:spacing w:after="0" w:line="240" w:lineRule="auto"/>
            </w:pPr>
            <w:r/>
            <w:r>
              <w:rPr>
                <w:b w:val="0"/>
                <w:sz w:val="15"/>
              </w:rPr>
              <w:t>Currency of current market price.</w:t>
            </w:r>
          </w:p>
        </w:tc>
        <w:tc>
          <w:tcPr>
            <w:tcW w:type="dxa" w:w="3513"/>
            <w:vAlign w:val="top"/>
          </w:tcPr>
          <w:p>
            <w:pPr>
              <w:spacing w:after="0" w:line="240" w:lineRule="auto"/>
            </w:pPr>
            <w:r/>
            <w:r>
              <w:rPr>
                <w:b w:val="0"/>
                <w:sz w:val="15"/>
              </w:rPr>
              <w:t>Used for price conversion to valuation currency.</w:t>
            </w:r>
          </w:p>
        </w:tc>
      </w:tr>
    </w:tbl>
    <w:p/>
    <w:p>
      <w:pPr>
        <w:pStyle w:val="Heading1"/>
      </w:pPr>
      <w:r>
        <w:t>9. Company Logo &amp; Visual Identity</w:t>
      </w:r>
    </w:p>
    <w:p>
      <w:r>
        <w:t>Company Logo is presentation only. It is based on Company Website / Domain -&gt; Clean Domain -&gt; Logo URL -&gt; Logo Image -&gt; Company Snapshot -&gt; DashBoard. Raw Logo URL is the data source; IMAGE() only displays the image. Missing or broken logo is Info only and must not affect valuation, WACC, FCFF, MOS, Review Flag or Decision Status.</w:t>
      </w:r>
    </w:p>
    <w:p>
      <w:pPr>
        <w:pStyle w:val="Heading1"/>
      </w:pPr>
      <w:r>
        <w:t>10. Manual Inputs &amp; Input Layout</w:t>
      </w:r>
    </w:p>
    <w:p>
      <w:r>
        <w:t>Manual company inputs must be grouped in visible input areas. Engine sections must read inputs and system/reference sheets and calculate automatically. Manual input areas should support normal use without exposing unnecessary advanced complexity.</w:t>
      </w:r>
    </w:p>
    <w:p>
      <w:pPr>
        <w:pStyle w:val="TableTitle"/>
      </w:pPr>
      <w:r>
        <w:rPr>
          <w:b/>
        </w:rPr>
        <w:t>Table - Manual Input Areas</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513"/>
            <w:vAlign w:val="top"/>
            <w:shd w:fill="D9EAF7"/>
          </w:tcPr>
          <w:p>
            <w:pPr>
              <w:spacing w:after="0" w:line="240" w:lineRule="auto"/>
            </w:pPr>
            <w:r/>
            <w:r>
              <w:rPr>
                <w:b/>
                <w:sz w:val="16"/>
              </w:rPr>
              <w:t>Input area</w:t>
            </w:r>
          </w:p>
        </w:tc>
        <w:tc>
          <w:tcPr>
            <w:tcW w:type="dxa" w:w="3513"/>
            <w:vAlign w:val="top"/>
            <w:shd w:fill="D9EAF7"/>
          </w:tcPr>
          <w:p>
            <w:pPr>
              <w:spacing w:after="0" w:line="240" w:lineRule="auto"/>
            </w:pPr>
            <w:r/>
            <w:r>
              <w:rPr>
                <w:b/>
                <w:sz w:val="16"/>
              </w:rPr>
              <w:t>Core content</w:t>
            </w:r>
          </w:p>
        </w:tc>
        <w:tc>
          <w:tcPr>
            <w:tcW w:type="dxa" w:w="3513"/>
            <w:vAlign w:val="top"/>
            <w:shd w:fill="D9EAF7"/>
          </w:tcPr>
          <w:p>
            <w:pPr>
              <w:spacing w:after="0" w:line="240" w:lineRule="auto"/>
            </w:pPr>
            <w:r/>
            <w:r>
              <w:rPr>
                <w:b/>
                <w:sz w:val="16"/>
              </w:rPr>
              <w:t>Notes</w:t>
            </w:r>
          </w:p>
        </w:tc>
      </w:tr>
      <w:tr>
        <w:tc>
          <w:tcPr>
            <w:tcW w:type="dxa" w:w="3513"/>
            <w:vAlign w:val="top"/>
          </w:tcPr>
          <w:p>
            <w:pPr>
              <w:spacing w:after="0" w:line="240" w:lineRule="auto"/>
            </w:pPr>
            <w:r/>
            <w:r>
              <w:rPr>
                <w:b w:val="0"/>
                <w:sz w:val="15"/>
              </w:rPr>
              <w:t>Company / Identification</w:t>
            </w:r>
          </w:p>
        </w:tc>
        <w:tc>
          <w:tcPr>
            <w:tcW w:type="dxa" w:w="3513"/>
            <w:vAlign w:val="top"/>
          </w:tcPr>
          <w:p>
            <w:pPr>
              <w:spacing w:after="0" w:line="240" w:lineRule="auto"/>
            </w:pPr>
            <w:r/>
            <w:r>
              <w:rPr>
                <w:b w:val="0"/>
                <w:sz w:val="15"/>
              </w:rPr>
              <w:t>Full Ticker, company name, website/domain, selected Damodaran benchmark, currencies, fiscal year end.</w:t>
            </w:r>
          </w:p>
        </w:tc>
        <w:tc>
          <w:tcPr>
            <w:tcW w:type="dxa" w:w="3513"/>
            <w:vAlign w:val="top"/>
          </w:tcPr>
          <w:p>
            <w:pPr>
              <w:spacing w:after="0" w:line="240" w:lineRule="auto"/>
            </w:pPr>
            <w:r/>
            <w:r>
              <w:rPr>
                <w:b w:val="0"/>
                <w:sz w:val="15"/>
              </w:rPr>
              <w:t>ISM-sector is derived display only.</w:t>
            </w:r>
          </w:p>
        </w:tc>
      </w:tr>
      <w:tr>
        <w:tc>
          <w:tcPr>
            <w:tcW w:type="dxa" w:w="3513"/>
            <w:vAlign w:val="top"/>
          </w:tcPr>
          <w:p>
            <w:pPr>
              <w:spacing w:after="0" w:line="240" w:lineRule="auto"/>
            </w:pPr>
            <w:r/>
            <w:r>
              <w:rPr>
                <w:b w:val="0"/>
                <w:sz w:val="15"/>
              </w:rPr>
              <w:t>Market Inputs</w:t>
            </w:r>
          </w:p>
        </w:tc>
        <w:tc>
          <w:tcPr>
            <w:tcW w:type="dxa" w:w="3513"/>
            <w:vAlign w:val="top"/>
          </w:tcPr>
          <w:p>
            <w:pPr>
              <w:spacing w:after="0" w:line="240" w:lineRule="auto"/>
            </w:pPr>
            <w:r/>
            <w:r>
              <w:rPr>
                <w:b w:val="0"/>
                <w:sz w:val="15"/>
              </w:rPr>
              <w:t>Current price, market cap, manual share count override where needed.</w:t>
            </w:r>
          </w:p>
        </w:tc>
        <w:tc>
          <w:tcPr>
            <w:tcW w:type="dxa" w:w="3513"/>
            <w:vAlign w:val="top"/>
          </w:tcPr>
          <w:p>
            <w:pPr>
              <w:spacing w:after="0" w:line="240" w:lineRule="auto"/>
            </w:pPr>
            <w:r/>
            <w:r>
              <w:rPr>
                <w:b w:val="0"/>
                <w:sz w:val="15"/>
              </w:rPr>
              <w:t>Google Finance where possible, manual fallback visible.</w:t>
            </w:r>
          </w:p>
        </w:tc>
      </w:tr>
      <w:tr>
        <w:tc>
          <w:tcPr>
            <w:tcW w:type="dxa" w:w="3513"/>
            <w:vAlign w:val="top"/>
          </w:tcPr>
          <w:p>
            <w:pPr>
              <w:spacing w:after="0" w:line="240" w:lineRule="auto"/>
            </w:pPr>
            <w:r/>
            <w:r>
              <w:rPr>
                <w:b w:val="0"/>
                <w:sz w:val="15"/>
              </w:rPr>
              <w:t>Historical Income Statement</w:t>
            </w:r>
          </w:p>
        </w:tc>
        <w:tc>
          <w:tcPr>
            <w:tcW w:type="dxa" w:w="3513"/>
            <w:vAlign w:val="top"/>
          </w:tcPr>
          <w:p>
            <w:pPr>
              <w:spacing w:after="0" w:line="240" w:lineRule="auto"/>
            </w:pPr>
            <w:r/>
            <w:r>
              <w:rPr>
                <w:b w:val="0"/>
                <w:sz w:val="15"/>
              </w:rPr>
              <w:t>Revenue, EBIT, tax, SBC and related operating inputs.</w:t>
            </w:r>
          </w:p>
        </w:tc>
        <w:tc>
          <w:tcPr>
            <w:tcW w:type="dxa" w:w="3513"/>
            <w:vAlign w:val="top"/>
          </w:tcPr>
          <w:p>
            <w:pPr>
              <w:spacing w:after="0" w:line="240" w:lineRule="auto"/>
            </w:pPr>
            <w:r/>
            <w:r>
              <w:rPr>
                <w:b w:val="0"/>
                <w:sz w:val="15"/>
              </w:rPr>
              <w:t>Base visible 4Y + LTM.</w:t>
            </w:r>
          </w:p>
        </w:tc>
      </w:tr>
      <w:tr>
        <w:tc>
          <w:tcPr>
            <w:tcW w:type="dxa" w:w="3513"/>
            <w:vAlign w:val="top"/>
          </w:tcPr>
          <w:p>
            <w:pPr>
              <w:spacing w:after="0" w:line="240" w:lineRule="auto"/>
            </w:pPr>
            <w:r/>
            <w:r>
              <w:rPr>
                <w:b w:val="0"/>
                <w:sz w:val="15"/>
              </w:rPr>
              <w:t>Historical Cash Flow</w:t>
            </w:r>
          </w:p>
        </w:tc>
        <w:tc>
          <w:tcPr>
            <w:tcW w:type="dxa" w:w="3513"/>
            <w:vAlign w:val="top"/>
          </w:tcPr>
          <w:p>
            <w:pPr>
              <w:spacing w:after="0" w:line="240" w:lineRule="auto"/>
            </w:pPr>
            <w:r/>
            <w:r>
              <w:rPr>
                <w:b w:val="0"/>
                <w:sz w:val="15"/>
              </w:rPr>
              <w:t>D&amp;A, CapEx and cash-flow support inputs.</w:t>
            </w:r>
          </w:p>
        </w:tc>
        <w:tc>
          <w:tcPr>
            <w:tcW w:type="dxa" w:w="3513"/>
            <w:vAlign w:val="top"/>
          </w:tcPr>
          <w:p>
            <w:pPr>
              <w:spacing w:after="0" w:line="240" w:lineRule="auto"/>
            </w:pPr>
            <w:r/>
            <w:r>
              <w:rPr>
                <w:b w:val="0"/>
                <w:sz w:val="15"/>
              </w:rPr>
              <w:t>Supports reinvestment and FCFF.</w:t>
            </w:r>
          </w:p>
        </w:tc>
      </w:tr>
      <w:tr>
        <w:tc>
          <w:tcPr>
            <w:tcW w:type="dxa" w:w="3513"/>
            <w:vAlign w:val="top"/>
          </w:tcPr>
          <w:p>
            <w:pPr>
              <w:spacing w:after="0" w:line="240" w:lineRule="auto"/>
            </w:pPr>
            <w:r/>
            <w:r>
              <w:rPr>
                <w:b w:val="0"/>
                <w:sz w:val="15"/>
              </w:rPr>
              <w:t>Working Capital Detail</w:t>
            </w:r>
          </w:p>
        </w:tc>
        <w:tc>
          <w:tcPr>
            <w:tcW w:type="dxa" w:w="3513"/>
            <w:vAlign w:val="top"/>
          </w:tcPr>
          <w:p>
            <w:pPr>
              <w:spacing w:after="0" w:line="240" w:lineRule="auto"/>
            </w:pPr>
            <w:r/>
            <w:r>
              <w:rPr>
                <w:b w:val="0"/>
                <w:sz w:val="15"/>
              </w:rPr>
              <w:t>Receivables, inventory, payables and other operating current assets/liabilities.</w:t>
            </w:r>
          </w:p>
        </w:tc>
        <w:tc>
          <w:tcPr>
            <w:tcW w:type="dxa" w:w="3513"/>
            <w:vAlign w:val="top"/>
          </w:tcPr>
          <w:p>
            <w:pPr>
              <w:spacing w:after="0" w:line="240" w:lineRule="auto"/>
            </w:pPr>
            <w:r/>
            <w:r>
              <w:rPr>
                <w:b w:val="0"/>
                <w:sz w:val="15"/>
              </w:rPr>
              <w:t>Supports non-cash working capital and reinvestment.</w:t>
            </w:r>
          </w:p>
        </w:tc>
      </w:tr>
      <w:tr>
        <w:tc>
          <w:tcPr>
            <w:tcW w:type="dxa" w:w="3513"/>
            <w:vAlign w:val="top"/>
          </w:tcPr>
          <w:p>
            <w:pPr>
              <w:spacing w:after="0" w:line="240" w:lineRule="auto"/>
            </w:pPr>
            <w:r/>
            <w:r>
              <w:rPr>
                <w:b w:val="0"/>
                <w:sz w:val="15"/>
              </w:rPr>
              <w:t>Balance Sheet / Bridge</w:t>
            </w:r>
          </w:p>
        </w:tc>
        <w:tc>
          <w:tcPr>
            <w:tcW w:type="dxa" w:w="3513"/>
            <w:vAlign w:val="top"/>
          </w:tcPr>
          <w:p>
            <w:pPr>
              <w:spacing w:after="0" w:line="240" w:lineRule="auto"/>
            </w:pPr>
            <w:r/>
            <w:r>
              <w:rPr>
                <w:b w:val="0"/>
                <w:sz w:val="15"/>
              </w:rPr>
              <w:t>Cash, debt, lease debt, preferred equity, NCI, claims and non-operating assets.</w:t>
            </w:r>
          </w:p>
        </w:tc>
        <w:tc>
          <w:tcPr>
            <w:tcW w:type="dxa" w:w="3513"/>
            <w:vAlign w:val="top"/>
          </w:tcPr>
          <w:p>
            <w:pPr>
              <w:spacing w:after="0" w:line="240" w:lineRule="auto"/>
            </w:pPr>
            <w:r/>
            <w:r>
              <w:rPr>
                <w:b w:val="0"/>
                <w:sz w:val="15"/>
              </w:rPr>
              <w:t>Bridge only; do not push into FCFF.</w:t>
            </w:r>
          </w:p>
        </w:tc>
      </w:tr>
      <w:tr>
        <w:tc>
          <w:tcPr>
            <w:tcW w:type="dxa" w:w="3513"/>
            <w:vAlign w:val="top"/>
          </w:tcPr>
          <w:p>
            <w:pPr>
              <w:spacing w:after="0" w:line="240" w:lineRule="auto"/>
            </w:pPr>
            <w:r/>
            <w:r>
              <w:rPr>
                <w:b w:val="0"/>
                <w:sz w:val="15"/>
              </w:rPr>
              <w:t>Forecast Inputs</w:t>
            </w:r>
          </w:p>
        </w:tc>
        <w:tc>
          <w:tcPr>
            <w:tcW w:type="dxa" w:w="3513"/>
            <w:vAlign w:val="top"/>
          </w:tcPr>
          <w:p>
            <w:pPr>
              <w:spacing w:after="0" w:line="240" w:lineRule="auto"/>
            </w:pPr>
            <w:r/>
            <w:r>
              <w:rPr>
                <w:b w:val="0"/>
                <w:sz w:val="15"/>
              </w:rPr>
              <w:t>Y+1 to Y+3 primary analyst anchors; Y+4/Y+5 optional.</w:t>
            </w:r>
          </w:p>
        </w:tc>
        <w:tc>
          <w:tcPr>
            <w:tcW w:type="dxa" w:w="3513"/>
            <w:vAlign w:val="top"/>
          </w:tcPr>
          <w:p>
            <w:pPr>
              <w:spacing w:after="0" w:line="240" w:lineRule="auto"/>
            </w:pPr>
            <w:r/>
            <w:r>
              <w:rPr>
                <w:b w:val="0"/>
                <w:sz w:val="15"/>
              </w:rPr>
              <w:t>Analyst Count separate from Value.</w:t>
            </w:r>
          </w:p>
        </w:tc>
      </w:tr>
      <w:tr>
        <w:tc>
          <w:tcPr>
            <w:tcW w:type="dxa" w:w="3513"/>
            <w:vAlign w:val="top"/>
          </w:tcPr>
          <w:p>
            <w:pPr>
              <w:spacing w:after="0" w:line="240" w:lineRule="auto"/>
            </w:pPr>
            <w:r/>
            <w:r>
              <w:rPr>
                <w:b w:val="0"/>
                <w:sz w:val="15"/>
              </w:rPr>
              <w:t>Risk / WACC Inputs</w:t>
            </w:r>
          </w:p>
        </w:tc>
        <w:tc>
          <w:tcPr>
            <w:tcW w:type="dxa" w:w="3513"/>
            <w:vAlign w:val="top"/>
          </w:tcPr>
          <w:p>
            <w:pPr>
              <w:spacing w:after="0" w:line="240" w:lineRule="auto"/>
            </w:pPr>
            <w:r/>
            <w:r>
              <w:rPr>
                <w:b w:val="0"/>
                <w:sz w:val="15"/>
              </w:rPr>
              <w:t>Overrides and risk inputs where needed.</w:t>
            </w:r>
          </w:p>
        </w:tc>
        <w:tc>
          <w:tcPr>
            <w:tcW w:type="dxa" w:w="3513"/>
            <w:vAlign w:val="top"/>
          </w:tcPr>
          <w:p>
            <w:pPr>
              <w:spacing w:after="0" w:line="240" w:lineRule="auto"/>
            </w:pPr>
            <w:r/>
            <w:r>
              <w:rPr>
                <w:b w:val="0"/>
                <w:sz w:val="15"/>
              </w:rPr>
              <w:t>Overrides require notes/review.</w:t>
            </w:r>
          </w:p>
        </w:tc>
      </w:tr>
      <w:tr>
        <w:tc>
          <w:tcPr>
            <w:tcW w:type="dxa" w:w="3513"/>
            <w:vAlign w:val="top"/>
          </w:tcPr>
          <w:p>
            <w:pPr>
              <w:spacing w:after="0" w:line="240" w:lineRule="auto"/>
            </w:pPr>
            <w:r/>
            <w:r>
              <w:rPr>
                <w:b w:val="0"/>
                <w:sz w:val="15"/>
              </w:rPr>
              <w:t>Terminal Value Inputs</w:t>
            </w:r>
          </w:p>
        </w:tc>
        <w:tc>
          <w:tcPr>
            <w:tcW w:type="dxa" w:w="3513"/>
            <w:vAlign w:val="top"/>
          </w:tcPr>
          <w:p>
            <w:pPr>
              <w:spacing w:after="0" w:line="240" w:lineRule="auto"/>
            </w:pPr>
            <w:r/>
            <w:r>
              <w:rPr>
                <w:b w:val="0"/>
                <w:sz w:val="15"/>
              </w:rPr>
              <w:t>Stable growth, stable ROC, stable margin, terminal assumptions.</w:t>
            </w:r>
          </w:p>
        </w:tc>
        <w:tc>
          <w:tcPr>
            <w:tcW w:type="dxa" w:w="3513"/>
            <w:vAlign w:val="top"/>
          </w:tcPr>
          <w:p>
            <w:pPr>
              <w:spacing w:after="0" w:line="240" w:lineRule="auto"/>
            </w:pPr>
            <w:r/>
            <w:r>
              <w:rPr>
                <w:b w:val="0"/>
                <w:sz w:val="15"/>
              </w:rPr>
              <w:t>Must pass terminal readiness checks.</w:t>
            </w:r>
          </w:p>
        </w:tc>
      </w:tr>
      <w:tr>
        <w:tc>
          <w:tcPr>
            <w:tcW w:type="dxa" w:w="3513"/>
            <w:vAlign w:val="top"/>
          </w:tcPr>
          <w:p>
            <w:pPr>
              <w:spacing w:after="0" w:line="240" w:lineRule="auto"/>
            </w:pPr>
            <w:r/>
            <w:r>
              <w:rPr>
                <w:b w:val="0"/>
                <w:sz w:val="15"/>
              </w:rPr>
              <w:t>Accounting Adjustments</w:t>
            </w:r>
          </w:p>
        </w:tc>
        <w:tc>
          <w:tcPr>
            <w:tcW w:type="dxa" w:w="3513"/>
            <w:vAlign w:val="top"/>
          </w:tcPr>
          <w:p>
            <w:pPr>
              <w:spacing w:after="0" w:line="240" w:lineRule="auto"/>
            </w:pPr>
            <w:r/>
            <w:r>
              <w:rPr>
                <w:b w:val="0"/>
                <w:sz w:val="15"/>
              </w:rPr>
              <w:t>R&amp;D, leases, SBC, one-offs, pensions, associates/JVs, NOLs, restructuring, options.</w:t>
            </w:r>
          </w:p>
        </w:tc>
        <w:tc>
          <w:tcPr>
            <w:tcW w:type="dxa" w:w="3513"/>
            <w:vAlign w:val="top"/>
          </w:tcPr>
          <w:p>
            <w:pPr>
              <w:spacing w:after="0" w:line="240" w:lineRule="auto"/>
            </w:pPr>
            <w:r/>
            <w:r>
              <w:rPr>
                <w:b w:val="0"/>
                <w:sz w:val="15"/>
              </w:rPr>
              <w:t>Policy-driven review and adjustments.</w:t>
            </w:r>
          </w:p>
        </w:tc>
      </w:tr>
    </w:tbl>
    <w:p/>
    <w:p>
      <w:pPr>
        <w:pStyle w:val="Heading1"/>
      </w:pPr>
      <w:r>
        <w:t>11. Exact Manual Inputs List</w:t>
      </w:r>
    </w:p>
    <w:p>
      <w:r>
        <w:t>The exact input list is implemented in Build Specification, but the Master Specification requires the following categories.</w:t>
      </w:r>
    </w:p>
    <w:p>
      <w:pPr>
        <w:pStyle w:val="TableTitle"/>
      </w:pPr>
      <w:r>
        <w:rPr>
          <w:b/>
        </w:rPr>
        <w:t>Table - Required Manual Input Categories</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513"/>
            <w:vAlign w:val="top"/>
            <w:shd w:fill="D9EAF7"/>
          </w:tcPr>
          <w:p>
            <w:pPr>
              <w:spacing w:after="0" w:line="240" w:lineRule="auto"/>
            </w:pPr>
            <w:r/>
            <w:r>
              <w:rPr>
                <w:b/>
                <w:sz w:val="16"/>
              </w:rPr>
              <w:t>Category</w:t>
            </w:r>
          </w:p>
        </w:tc>
        <w:tc>
          <w:tcPr>
            <w:tcW w:type="dxa" w:w="3513"/>
            <w:vAlign w:val="top"/>
            <w:shd w:fill="D9EAF7"/>
          </w:tcPr>
          <w:p>
            <w:pPr>
              <w:spacing w:after="0" w:line="240" w:lineRule="auto"/>
            </w:pPr>
            <w:r/>
            <w:r>
              <w:rPr>
                <w:b/>
                <w:sz w:val="16"/>
              </w:rPr>
              <w:t>Required / Optional</w:t>
            </w:r>
          </w:p>
        </w:tc>
        <w:tc>
          <w:tcPr>
            <w:tcW w:type="dxa" w:w="3513"/>
            <w:vAlign w:val="top"/>
            <w:shd w:fill="D9EAF7"/>
          </w:tcPr>
          <w:p>
            <w:pPr>
              <w:spacing w:after="0" w:line="240" w:lineRule="auto"/>
            </w:pPr>
            <w:r/>
            <w:r>
              <w:rPr>
                <w:b/>
                <w:sz w:val="16"/>
              </w:rPr>
              <w:t>Examples</w:t>
            </w:r>
          </w:p>
        </w:tc>
      </w:tr>
      <w:tr>
        <w:tc>
          <w:tcPr>
            <w:tcW w:type="dxa" w:w="3513"/>
            <w:vAlign w:val="top"/>
          </w:tcPr>
          <w:p>
            <w:pPr>
              <w:spacing w:after="0" w:line="240" w:lineRule="auto"/>
            </w:pPr>
            <w:r/>
            <w:r>
              <w:rPr>
                <w:b w:val="0"/>
                <w:sz w:val="15"/>
              </w:rPr>
              <w:t>Identity / Setup</w:t>
            </w:r>
          </w:p>
        </w:tc>
        <w:tc>
          <w:tcPr>
            <w:tcW w:type="dxa" w:w="3513"/>
            <w:vAlign w:val="top"/>
          </w:tcPr>
          <w:p>
            <w:pPr>
              <w:spacing w:after="0" w:line="240" w:lineRule="auto"/>
            </w:pPr>
            <w:r/>
            <w:r>
              <w:rPr>
                <w:b w:val="0"/>
                <w:sz w:val="15"/>
              </w:rPr>
              <w:t>Required</w:t>
            </w:r>
          </w:p>
        </w:tc>
        <w:tc>
          <w:tcPr>
            <w:tcW w:type="dxa" w:w="3513"/>
            <w:vAlign w:val="top"/>
          </w:tcPr>
          <w:p>
            <w:pPr>
              <w:spacing w:after="0" w:line="240" w:lineRule="auto"/>
            </w:pPr>
            <w:r/>
            <w:r>
              <w:rPr>
                <w:b w:val="0"/>
                <w:sz w:val="15"/>
              </w:rPr>
              <w:t>Full Ticker, Selected Damodaran Industrial Benchmark, Valuation Currency, Reporting Currency, Trading / Price Currency.</w:t>
            </w:r>
          </w:p>
        </w:tc>
      </w:tr>
      <w:tr>
        <w:tc>
          <w:tcPr>
            <w:tcW w:type="dxa" w:w="3513"/>
            <w:vAlign w:val="top"/>
          </w:tcPr>
          <w:p>
            <w:pPr>
              <w:spacing w:after="0" w:line="240" w:lineRule="auto"/>
            </w:pPr>
            <w:r/>
            <w:r>
              <w:rPr>
                <w:b w:val="0"/>
                <w:sz w:val="15"/>
              </w:rPr>
              <w:t>Historical Operating Inputs</w:t>
            </w:r>
          </w:p>
        </w:tc>
        <w:tc>
          <w:tcPr>
            <w:tcW w:type="dxa" w:w="3513"/>
            <w:vAlign w:val="top"/>
          </w:tcPr>
          <w:p>
            <w:pPr>
              <w:spacing w:after="0" w:line="240" w:lineRule="auto"/>
            </w:pPr>
            <w:r/>
            <w:r>
              <w:rPr>
                <w:b w:val="0"/>
                <w:sz w:val="15"/>
              </w:rPr>
              <w:t>Required where available</w:t>
            </w:r>
          </w:p>
        </w:tc>
        <w:tc>
          <w:tcPr>
            <w:tcW w:type="dxa" w:w="3513"/>
            <w:vAlign w:val="top"/>
          </w:tcPr>
          <w:p>
            <w:pPr>
              <w:spacing w:after="0" w:line="240" w:lineRule="auto"/>
            </w:pPr>
            <w:r/>
            <w:r>
              <w:rPr>
                <w:b w:val="0"/>
                <w:sz w:val="15"/>
              </w:rPr>
              <w:t>Revenue, EBIT, tax expense/rate, D&amp;A, CapEx, non-cash working capital components, SBC.</w:t>
            </w:r>
          </w:p>
        </w:tc>
      </w:tr>
      <w:tr>
        <w:tc>
          <w:tcPr>
            <w:tcW w:type="dxa" w:w="3513"/>
            <w:vAlign w:val="top"/>
          </w:tcPr>
          <w:p>
            <w:pPr>
              <w:spacing w:after="0" w:line="240" w:lineRule="auto"/>
            </w:pPr>
            <w:r/>
            <w:r>
              <w:rPr>
                <w:b w:val="0"/>
                <w:sz w:val="15"/>
              </w:rPr>
              <w:t>Forecast Inputs</w:t>
            </w:r>
          </w:p>
        </w:tc>
        <w:tc>
          <w:tcPr>
            <w:tcW w:type="dxa" w:w="3513"/>
            <w:vAlign w:val="top"/>
          </w:tcPr>
          <w:p>
            <w:pPr>
              <w:spacing w:after="0" w:line="240" w:lineRule="auto"/>
            </w:pPr>
            <w:r/>
            <w:r>
              <w:rPr>
                <w:b w:val="0"/>
                <w:sz w:val="15"/>
              </w:rPr>
              <w:t>Required for anchor period where available</w:t>
            </w:r>
          </w:p>
        </w:tc>
        <w:tc>
          <w:tcPr>
            <w:tcW w:type="dxa" w:w="3513"/>
            <w:vAlign w:val="top"/>
          </w:tcPr>
          <w:p>
            <w:pPr>
              <w:spacing w:after="0" w:line="240" w:lineRule="auto"/>
            </w:pPr>
            <w:r/>
            <w:r>
              <w:rPr>
                <w:b w:val="0"/>
                <w:sz w:val="15"/>
              </w:rPr>
              <w:t>Revenue and EBIT estimates Y+1 to Y+3; optional Y+4/Y+5; analyst counts.</w:t>
            </w:r>
          </w:p>
        </w:tc>
      </w:tr>
      <w:tr>
        <w:tc>
          <w:tcPr>
            <w:tcW w:type="dxa" w:w="3513"/>
            <w:vAlign w:val="top"/>
          </w:tcPr>
          <w:p>
            <w:pPr>
              <w:spacing w:after="0" w:line="240" w:lineRule="auto"/>
            </w:pPr>
            <w:r/>
            <w:r>
              <w:rPr>
                <w:b w:val="0"/>
                <w:sz w:val="15"/>
              </w:rPr>
              <w:t>Reinvestment Inputs</w:t>
            </w:r>
          </w:p>
        </w:tc>
        <w:tc>
          <w:tcPr>
            <w:tcW w:type="dxa" w:w="3513"/>
            <w:vAlign w:val="top"/>
          </w:tcPr>
          <w:p>
            <w:pPr>
              <w:spacing w:after="0" w:line="240" w:lineRule="auto"/>
            </w:pPr>
            <w:r/>
            <w:r>
              <w:rPr>
                <w:b w:val="0"/>
                <w:sz w:val="15"/>
              </w:rPr>
              <w:t>Required where available</w:t>
            </w:r>
          </w:p>
        </w:tc>
        <w:tc>
          <w:tcPr>
            <w:tcW w:type="dxa" w:w="3513"/>
            <w:vAlign w:val="top"/>
          </w:tcPr>
          <w:p>
            <w:pPr>
              <w:spacing w:after="0" w:line="240" w:lineRule="auto"/>
            </w:pPr>
            <w:r/>
            <w:r>
              <w:rPr>
                <w:b w:val="0"/>
                <w:sz w:val="15"/>
              </w:rPr>
              <w:t>CapEx, D&amp;A, working capital, sales-to-capital override where justified.</w:t>
            </w:r>
          </w:p>
        </w:tc>
      </w:tr>
      <w:tr>
        <w:tc>
          <w:tcPr>
            <w:tcW w:type="dxa" w:w="3513"/>
            <w:vAlign w:val="top"/>
          </w:tcPr>
          <w:p>
            <w:pPr>
              <w:spacing w:after="0" w:line="240" w:lineRule="auto"/>
            </w:pPr>
            <w:r/>
            <w:r>
              <w:rPr>
                <w:b w:val="0"/>
                <w:sz w:val="15"/>
              </w:rPr>
              <w:t>Risk Inputs</w:t>
            </w:r>
          </w:p>
        </w:tc>
        <w:tc>
          <w:tcPr>
            <w:tcW w:type="dxa" w:w="3513"/>
            <w:vAlign w:val="top"/>
          </w:tcPr>
          <w:p>
            <w:pPr>
              <w:spacing w:after="0" w:line="240" w:lineRule="auto"/>
            </w:pPr>
            <w:r/>
            <w:r>
              <w:rPr>
                <w:b w:val="0"/>
                <w:sz w:val="15"/>
              </w:rPr>
              <w:t>Required or fallback-supported</w:t>
            </w:r>
          </w:p>
        </w:tc>
        <w:tc>
          <w:tcPr>
            <w:tcW w:type="dxa" w:w="3513"/>
            <w:vAlign w:val="top"/>
          </w:tcPr>
          <w:p>
            <w:pPr>
              <w:spacing w:after="0" w:line="240" w:lineRule="auto"/>
            </w:pPr>
            <w:r/>
            <w:r>
              <w:rPr>
                <w:b w:val="0"/>
                <w:sz w:val="15"/>
              </w:rPr>
              <w:t>Debt, cash, tax rate, beta overrides, cost of debt inputs, rating/default spread inputs.</w:t>
            </w:r>
          </w:p>
        </w:tc>
      </w:tr>
      <w:tr>
        <w:tc>
          <w:tcPr>
            <w:tcW w:type="dxa" w:w="3513"/>
            <w:vAlign w:val="top"/>
          </w:tcPr>
          <w:p>
            <w:pPr>
              <w:spacing w:after="0" w:line="240" w:lineRule="auto"/>
            </w:pPr>
            <w:r/>
            <w:r>
              <w:rPr>
                <w:b w:val="0"/>
                <w:sz w:val="15"/>
              </w:rPr>
              <w:t>Bridge Inputs</w:t>
            </w:r>
          </w:p>
        </w:tc>
        <w:tc>
          <w:tcPr>
            <w:tcW w:type="dxa" w:w="3513"/>
            <w:vAlign w:val="top"/>
          </w:tcPr>
          <w:p>
            <w:pPr>
              <w:spacing w:after="0" w:line="240" w:lineRule="auto"/>
            </w:pPr>
            <w:r/>
            <w:r>
              <w:rPr>
                <w:b w:val="0"/>
                <w:sz w:val="15"/>
              </w:rPr>
              <w:t>Required where material</w:t>
            </w:r>
          </w:p>
        </w:tc>
        <w:tc>
          <w:tcPr>
            <w:tcW w:type="dxa" w:w="3513"/>
            <w:vAlign w:val="top"/>
          </w:tcPr>
          <w:p>
            <w:pPr>
              <w:spacing w:after="0" w:line="240" w:lineRule="auto"/>
            </w:pPr>
            <w:r/>
            <w:r>
              <w:rPr>
                <w:b w:val="0"/>
                <w:sz w:val="15"/>
              </w:rPr>
              <w:t>Cash, gross debt, lease debt, preferred equity, minority interest, non-operating assets and claims.</w:t>
            </w:r>
          </w:p>
        </w:tc>
      </w:tr>
      <w:tr>
        <w:tc>
          <w:tcPr>
            <w:tcW w:type="dxa" w:w="3513"/>
            <w:vAlign w:val="top"/>
          </w:tcPr>
          <w:p>
            <w:pPr>
              <w:spacing w:after="0" w:line="240" w:lineRule="auto"/>
            </w:pPr>
            <w:r/>
            <w:r>
              <w:rPr>
                <w:b w:val="0"/>
                <w:sz w:val="15"/>
              </w:rPr>
              <w:t>Terminal Inputs</w:t>
            </w:r>
          </w:p>
        </w:tc>
        <w:tc>
          <w:tcPr>
            <w:tcW w:type="dxa" w:w="3513"/>
            <w:vAlign w:val="top"/>
          </w:tcPr>
          <w:p>
            <w:pPr>
              <w:spacing w:after="0" w:line="240" w:lineRule="auto"/>
            </w:pPr>
            <w:r/>
            <w:r>
              <w:rPr>
                <w:b w:val="0"/>
                <w:sz w:val="15"/>
              </w:rPr>
              <w:t>Required</w:t>
            </w:r>
          </w:p>
        </w:tc>
        <w:tc>
          <w:tcPr>
            <w:tcW w:type="dxa" w:w="3513"/>
            <w:vAlign w:val="top"/>
          </w:tcPr>
          <w:p>
            <w:pPr>
              <w:spacing w:after="0" w:line="240" w:lineRule="auto"/>
            </w:pPr>
            <w:r/>
            <w:r>
              <w:rPr>
                <w:b w:val="0"/>
                <w:sz w:val="15"/>
              </w:rPr>
              <w:t>Stable growth, stable margin, stable ROC, stable reinvestment logic, stable WACC support.</w:t>
            </w:r>
          </w:p>
        </w:tc>
      </w:tr>
      <w:tr>
        <w:tc>
          <w:tcPr>
            <w:tcW w:type="dxa" w:w="3513"/>
            <w:vAlign w:val="top"/>
          </w:tcPr>
          <w:p>
            <w:pPr>
              <w:spacing w:after="0" w:line="240" w:lineRule="auto"/>
            </w:pPr>
            <w:r/>
            <w:r>
              <w:rPr>
                <w:b w:val="0"/>
                <w:sz w:val="15"/>
              </w:rPr>
              <w:t>Override Notes</w:t>
            </w:r>
          </w:p>
        </w:tc>
        <w:tc>
          <w:tcPr>
            <w:tcW w:type="dxa" w:w="3513"/>
            <w:vAlign w:val="top"/>
          </w:tcPr>
          <w:p>
            <w:pPr>
              <w:spacing w:after="0" w:line="240" w:lineRule="auto"/>
            </w:pPr>
            <w:r/>
            <w:r>
              <w:rPr>
                <w:b w:val="0"/>
                <w:sz w:val="15"/>
              </w:rPr>
              <w:t>Required when override used</w:t>
            </w:r>
          </w:p>
        </w:tc>
        <w:tc>
          <w:tcPr>
            <w:tcW w:type="dxa" w:w="3513"/>
            <w:vAlign w:val="top"/>
          </w:tcPr>
          <w:p>
            <w:pPr>
              <w:spacing w:after="0" w:line="240" w:lineRule="auto"/>
            </w:pPr>
            <w:r/>
            <w:r>
              <w:rPr>
                <w:b w:val="0"/>
                <w:sz w:val="15"/>
              </w:rPr>
              <w:t>Source, reason and review note.</w:t>
            </w:r>
          </w:p>
        </w:tc>
      </w:tr>
    </w:tbl>
    <w:p/>
    <w:p>
      <w:pPr>
        <w:pStyle w:val="Heading1"/>
      </w:pPr>
      <w:r>
        <w:t>12. Units &amp; Scale Rules</w:t>
      </w:r>
    </w:p>
    <w:p>
      <w:pPr>
        <w:pStyle w:val="ListBullet"/>
      </w:pPr>
      <w:r>
        <w:t>Financial statement inputs should be entered in millions unless explicitly stated otherwise.</w:t>
      </w:r>
    </w:p>
    <w:p>
      <w:pPr>
        <w:pStyle w:val="ListBullet"/>
      </w:pPr>
      <w:r>
        <w:t>Per-share items are entered per share.</w:t>
      </w:r>
    </w:p>
    <w:p>
      <w:pPr>
        <w:pStyle w:val="ListBullet"/>
      </w:pPr>
      <w:r>
        <w:t>Percent inputs should be entered as percentages in Google Sheets, e.g. 10% not 0.10 unless implementation explicitly uses decimal.</w:t>
      </w:r>
    </w:p>
    <w:p>
      <w:pPr>
        <w:pStyle w:val="ListBullet"/>
      </w:pPr>
      <w:r>
        <w:t>Beta is entered as a normal number, e.g. 1.10.</w:t>
      </w:r>
    </w:p>
    <w:p>
      <w:pPr>
        <w:pStyle w:val="ListBullet"/>
      </w:pPr>
      <w:r>
        <w:t>Current Price is entered in Trading / Price Currency and converted to Valuation Currency where needed.</w:t>
      </w:r>
    </w:p>
    <w:p>
      <w:pPr>
        <w:pStyle w:val="ListBullet"/>
      </w:pPr>
      <w:r>
        <w:t>Market Cap should be consistent with the price/share-count logic and documented when manual.</w:t>
      </w:r>
    </w:p>
    <w:p>
      <w:pPr>
        <w:pStyle w:val="Heading1"/>
      </w:pPr>
      <w:r>
        <w:t>13. Time Framework</w:t>
      </w:r>
    </w:p>
    <w:p>
      <w:r>
        <w:t>The base visible structure should show 4Y historical + LTM and forecast years Y+1 to Y+5. Extended historical/forecast years should be recommended or revealed when the model needs more history or longer fade because of cyclicality, volatility, turnaround, high growth or weak forecast support.</w:t>
      </w:r>
    </w:p>
    <w:p>
      <w:pPr>
        <w:pStyle w:val="TableTitle"/>
      </w:pPr>
      <w:r>
        <w:rPr>
          <w:b/>
        </w:rPr>
        <w:t>Table - Time Structure</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513"/>
            <w:vAlign w:val="top"/>
            <w:shd w:fill="D9EAF7"/>
          </w:tcPr>
          <w:p>
            <w:pPr>
              <w:spacing w:after="0" w:line="240" w:lineRule="auto"/>
            </w:pPr>
            <w:r/>
            <w:r>
              <w:rPr>
                <w:b/>
                <w:sz w:val="16"/>
              </w:rPr>
              <w:t>Period</w:t>
            </w:r>
          </w:p>
        </w:tc>
        <w:tc>
          <w:tcPr>
            <w:tcW w:type="dxa" w:w="3513"/>
            <w:vAlign w:val="top"/>
            <w:shd w:fill="D9EAF7"/>
          </w:tcPr>
          <w:p>
            <w:pPr>
              <w:spacing w:after="0" w:line="240" w:lineRule="auto"/>
            </w:pPr>
            <w:r/>
            <w:r>
              <w:rPr>
                <w:b/>
                <w:sz w:val="16"/>
              </w:rPr>
              <w:t>Role</w:t>
            </w:r>
          </w:p>
        </w:tc>
        <w:tc>
          <w:tcPr>
            <w:tcW w:type="dxa" w:w="3513"/>
            <w:vAlign w:val="top"/>
            <w:shd w:fill="D9EAF7"/>
          </w:tcPr>
          <w:p>
            <w:pPr>
              <w:spacing w:after="0" w:line="240" w:lineRule="auto"/>
            </w:pPr>
            <w:r/>
            <w:r>
              <w:rPr>
                <w:b/>
                <w:sz w:val="16"/>
              </w:rPr>
              <w:t>Default visibility</w:t>
            </w:r>
          </w:p>
        </w:tc>
      </w:tr>
      <w:tr>
        <w:tc>
          <w:tcPr>
            <w:tcW w:type="dxa" w:w="3513"/>
            <w:vAlign w:val="top"/>
          </w:tcPr>
          <w:p>
            <w:pPr>
              <w:spacing w:after="0" w:line="240" w:lineRule="auto"/>
            </w:pPr>
            <w:r/>
            <w:r>
              <w:rPr>
                <w:b w:val="0"/>
                <w:sz w:val="15"/>
              </w:rPr>
              <w:t>FY-4 to FY-1</w:t>
            </w:r>
          </w:p>
        </w:tc>
        <w:tc>
          <w:tcPr>
            <w:tcW w:type="dxa" w:w="3513"/>
            <w:vAlign w:val="top"/>
          </w:tcPr>
          <w:p>
            <w:pPr>
              <w:spacing w:after="0" w:line="240" w:lineRule="auto"/>
            </w:pPr>
            <w:r/>
            <w:r>
              <w:rPr>
                <w:b w:val="0"/>
                <w:sz w:val="15"/>
              </w:rPr>
              <w:t>Historical trend and normalization support.</w:t>
            </w:r>
          </w:p>
        </w:tc>
        <w:tc>
          <w:tcPr>
            <w:tcW w:type="dxa" w:w="3513"/>
            <w:vAlign w:val="top"/>
          </w:tcPr>
          <w:p>
            <w:pPr>
              <w:spacing w:after="0" w:line="240" w:lineRule="auto"/>
            </w:pPr>
            <w:r/>
            <w:r>
              <w:rPr>
                <w:b w:val="0"/>
                <w:sz w:val="15"/>
              </w:rPr>
              <w:t>Visible base history.</w:t>
            </w:r>
          </w:p>
        </w:tc>
      </w:tr>
      <w:tr>
        <w:tc>
          <w:tcPr>
            <w:tcW w:type="dxa" w:w="3513"/>
            <w:vAlign w:val="top"/>
          </w:tcPr>
          <w:p>
            <w:pPr>
              <w:spacing w:after="0" w:line="240" w:lineRule="auto"/>
            </w:pPr>
            <w:r/>
            <w:r>
              <w:rPr>
                <w:b w:val="0"/>
                <w:sz w:val="15"/>
              </w:rPr>
              <w:t>LTM</w:t>
            </w:r>
          </w:p>
        </w:tc>
        <w:tc>
          <w:tcPr>
            <w:tcW w:type="dxa" w:w="3513"/>
            <w:vAlign w:val="top"/>
          </w:tcPr>
          <w:p>
            <w:pPr>
              <w:spacing w:after="0" w:line="240" w:lineRule="auto"/>
            </w:pPr>
            <w:r/>
            <w:r>
              <w:rPr>
                <w:b w:val="0"/>
                <w:sz w:val="15"/>
              </w:rPr>
              <w:t>Current operating base year support.</w:t>
            </w:r>
          </w:p>
        </w:tc>
        <w:tc>
          <w:tcPr>
            <w:tcW w:type="dxa" w:w="3513"/>
            <w:vAlign w:val="top"/>
          </w:tcPr>
          <w:p>
            <w:pPr>
              <w:spacing w:after="0" w:line="240" w:lineRule="auto"/>
            </w:pPr>
            <w:r/>
            <w:r>
              <w:rPr>
                <w:b w:val="0"/>
                <w:sz w:val="15"/>
              </w:rPr>
              <w:t>Visible at end of historical area.</w:t>
            </w:r>
          </w:p>
        </w:tc>
      </w:tr>
      <w:tr>
        <w:tc>
          <w:tcPr>
            <w:tcW w:type="dxa" w:w="3513"/>
            <w:vAlign w:val="top"/>
          </w:tcPr>
          <w:p>
            <w:pPr>
              <w:spacing w:after="0" w:line="240" w:lineRule="auto"/>
            </w:pPr>
            <w:r/>
            <w:r>
              <w:rPr>
                <w:b w:val="0"/>
                <w:sz w:val="15"/>
              </w:rPr>
              <w:t>Y+1 to Y+3</w:t>
            </w:r>
          </w:p>
        </w:tc>
        <w:tc>
          <w:tcPr>
            <w:tcW w:type="dxa" w:w="3513"/>
            <w:vAlign w:val="top"/>
          </w:tcPr>
          <w:p>
            <w:pPr>
              <w:spacing w:after="0" w:line="240" w:lineRule="auto"/>
            </w:pPr>
            <w:r/>
            <w:r>
              <w:rPr>
                <w:b w:val="0"/>
                <w:sz w:val="15"/>
              </w:rPr>
              <w:t>Primary analyst anchor period.</w:t>
            </w:r>
          </w:p>
        </w:tc>
        <w:tc>
          <w:tcPr>
            <w:tcW w:type="dxa" w:w="3513"/>
            <w:vAlign w:val="top"/>
          </w:tcPr>
          <w:p>
            <w:pPr>
              <w:spacing w:after="0" w:line="240" w:lineRule="auto"/>
            </w:pPr>
            <w:r/>
            <w:r>
              <w:rPr>
                <w:b w:val="0"/>
                <w:sz w:val="15"/>
              </w:rPr>
              <w:t>Visible required/primary forecast area.</w:t>
            </w:r>
          </w:p>
        </w:tc>
      </w:tr>
      <w:tr>
        <w:tc>
          <w:tcPr>
            <w:tcW w:type="dxa" w:w="3513"/>
            <w:vAlign w:val="top"/>
          </w:tcPr>
          <w:p>
            <w:pPr>
              <w:spacing w:after="0" w:line="240" w:lineRule="auto"/>
            </w:pPr>
            <w:r/>
            <w:r>
              <w:rPr>
                <w:b w:val="0"/>
                <w:sz w:val="15"/>
              </w:rPr>
              <w:t>Y+4 to Y+5</w:t>
            </w:r>
          </w:p>
        </w:tc>
        <w:tc>
          <w:tcPr>
            <w:tcW w:type="dxa" w:w="3513"/>
            <w:vAlign w:val="top"/>
          </w:tcPr>
          <w:p>
            <w:pPr>
              <w:spacing w:after="0" w:line="240" w:lineRule="auto"/>
            </w:pPr>
            <w:r/>
            <w:r>
              <w:rPr>
                <w:b w:val="0"/>
                <w:sz w:val="15"/>
              </w:rPr>
              <w:t>Optional analyst/reference anchor period.</w:t>
            </w:r>
          </w:p>
        </w:tc>
        <w:tc>
          <w:tcPr>
            <w:tcW w:type="dxa" w:w="3513"/>
            <w:vAlign w:val="top"/>
          </w:tcPr>
          <w:p>
            <w:pPr>
              <w:spacing w:after="0" w:line="240" w:lineRule="auto"/>
            </w:pPr>
            <w:r/>
            <w:r>
              <w:rPr>
                <w:b w:val="0"/>
                <w:sz w:val="15"/>
              </w:rPr>
              <w:t>Visible optional.</w:t>
            </w:r>
          </w:p>
        </w:tc>
      </w:tr>
      <w:tr>
        <w:tc>
          <w:tcPr>
            <w:tcW w:type="dxa" w:w="3513"/>
            <w:vAlign w:val="top"/>
          </w:tcPr>
          <w:p>
            <w:pPr>
              <w:spacing w:after="0" w:line="240" w:lineRule="auto"/>
            </w:pPr>
            <w:r/>
            <w:r>
              <w:rPr>
                <w:b w:val="0"/>
                <w:sz w:val="15"/>
              </w:rPr>
              <w:t>Y+6 to Y+10</w:t>
            </w:r>
          </w:p>
        </w:tc>
        <w:tc>
          <w:tcPr>
            <w:tcW w:type="dxa" w:w="3513"/>
            <w:vAlign w:val="top"/>
          </w:tcPr>
          <w:p>
            <w:pPr>
              <w:spacing w:after="0" w:line="240" w:lineRule="auto"/>
            </w:pPr>
            <w:r/>
            <w:r>
              <w:rPr>
                <w:b w:val="0"/>
                <w:sz w:val="15"/>
              </w:rPr>
              <w:t>Model fade period for growth/transition/cyclical cases.</w:t>
            </w:r>
          </w:p>
        </w:tc>
        <w:tc>
          <w:tcPr>
            <w:tcW w:type="dxa" w:w="3513"/>
            <w:vAlign w:val="top"/>
          </w:tcPr>
          <w:p>
            <w:pPr>
              <w:spacing w:after="0" w:line="240" w:lineRule="auto"/>
            </w:pPr>
            <w:r/>
            <w:r>
              <w:rPr>
                <w:b w:val="0"/>
                <w:sz w:val="15"/>
              </w:rPr>
              <w:t>Optional/engine-driven; visible or hidden by build design.</w:t>
            </w:r>
          </w:p>
        </w:tc>
      </w:tr>
      <w:tr>
        <w:tc>
          <w:tcPr>
            <w:tcW w:type="dxa" w:w="3513"/>
            <w:vAlign w:val="top"/>
          </w:tcPr>
          <w:p>
            <w:pPr>
              <w:spacing w:after="0" w:line="240" w:lineRule="auto"/>
            </w:pPr>
            <w:r/>
            <w:r>
              <w:rPr>
                <w:b w:val="0"/>
                <w:sz w:val="15"/>
              </w:rPr>
              <w:t>Stable State / Terminal Year</w:t>
            </w:r>
          </w:p>
        </w:tc>
        <w:tc>
          <w:tcPr>
            <w:tcW w:type="dxa" w:w="3513"/>
            <w:vAlign w:val="top"/>
          </w:tcPr>
          <w:p>
            <w:pPr>
              <w:spacing w:after="0" w:line="240" w:lineRule="auto"/>
            </w:pPr>
            <w:r/>
            <w:r>
              <w:rPr>
                <w:b w:val="0"/>
                <w:sz w:val="15"/>
              </w:rPr>
              <w:t>Terminal readiness and Gordon FCFF terminal value.</w:t>
            </w:r>
          </w:p>
        </w:tc>
        <w:tc>
          <w:tcPr>
            <w:tcW w:type="dxa" w:w="3513"/>
            <w:vAlign w:val="top"/>
          </w:tcPr>
          <w:p>
            <w:pPr>
              <w:spacing w:after="0" w:line="240" w:lineRule="auto"/>
            </w:pPr>
            <w:r/>
            <w:r>
              <w:rPr>
                <w:b w:val="0"/>
                <w:sz w:val="15"/>
              </w:rPr>
              <w:t>Engine-driven output.</w:t>
            </w:r>
          </w:p>
        </w:tc>
      </w:tr>
    </w:tbl>
    <w:p/>
    <w:p>
      <w:pPr>
        <w:pStyle w:val="Heading1"/>
      </w:pPr>
      <w:r>
        <w:t>14. Stage Selection &amp; Generalized FCFF Engine</w:t>
      </w:r>
    </w:p>
    <w:p>
      <w:r>
        <w:t>The template uses one generalized FCFF/WACC engine. Stable FCFF, 2-stage FCFF, 3-stage FCFF and n-stage/generalized FCFF are model modes inside the same engine, not separate valuation systems. Stage selection determines Forecast Horizon N, Anchor End Year, Fade Start Year, Stable State Year and Terminal Year.</w:t>
      </w:r>
    </w:p>
    <w:p>
      <w:pPr>
        <w:pStyle w:val="TableTitle"/>
      </w:pPr>
      <w:r>
        <w:rPr>
          <w:b/>
        </w:rPr>
        <w:t>Table - Model Modes</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513"/>
            <w:vAlign w:val="top"/>
            <w:shd w:fill="D9EAF7"/>
          </w:tcPr>
          <w:p>
            <w:pPr>
              <w:spacing w:after="0" w:line="240" w:lineRule="auto"/>
            </w:pPr>
            <w:r/>
            <w:r>
              <w:rPr>
                <w:b/>
                <w:sz w:val="16"/>
              </w:rPr>
              <w:t>Model Mode</w:t>
            </w:r>
          </w:p>
        </w:tc>
        <w:tc>
          <w:tcPr>
            <w:tcW w:type="dxa" w:w="3513"/>
            <w:vAlign w:val="top"/>
            <w:shd w:fill="D9EAF7"/>
          </w:tcPr>
          <w:p>
            <w:pPr>
              <w:spacing w:after="0" w:line="240" w:lineRule="auto"/>
            </w:pPr>
            <w:r/>
            <w:r>
              <w:rPr>
                <w:b/>
                <w:sz w:val="16"/>
              </w:rPr>
              <w:t>Typical use</w:t>
            </w:r>
          </w:p>
        </w:tc>
        <w:tc>
          <w:tcPr>
            <w:tcW w:type="dxa" w:w="3513"/>
            <w:vAlign w:val="top"/>
            <w:shd w:fill="D9EAF7"/>
          </w:tcPr>
          <w:p>
            <w:pPr>
              <w:spacing w:after="0" w:line="240" w:lineRule="auto"/>
            </w:pPr>
            <w:r/>
            <w:r>
              <w:rPr>
                <w:b/>
                <w:sz w:val="16"/>
              </w:rPr>
              <w:t>Benchmark role</w:t>
            </w:r>
          </w:p>
        </w:tc>
      </w:tr>
      <w:tr>
        <w:tc>
          <w:tcPr>
            <w:tcW w:type="dxa" w:w="3513"/>
            <w:vAlign w:val="top"/>
          </w:tcPr>
          <w:p>
            <w:pPr>
              <w:spacing w:after="0" w:line="240" w:lineRule="auto"/>
            </w:pPr>
            <w:r/>
            <w:r>
              <w:rPr>
                <w:b w:val="0"/>
                <w:sz w:val="15"/>
              </w:rPr>
              <w:t>Stable FCFF</w:t>
            </w:r>
          </w:p>
        </w:tc>
        <w:tc>
          <w:tcPr>
            <w:tcW w:type="dxa" w:w="3513"/>
            <w:vAlign w:val="top"/>
          </w:tcPr>
          <w:p>
            <w:pPr>
              <w:spacing w:after="0" w:line="240" w:lineRule="auto"/>
            </w:pPr>
            <w:r/>
            <w:r>
              <w:rPr>
                <w:b w:val="0"/>
                <w:sz w:val="15"/>
              </w:rPr>
              <w:t>Mature stable companies with growth near economy and stable margin/ROC.</w:t>
            </w:r>
          </w:p>
        </w:tc>
        <w:tc>
          <w:tcPr>
            <w:tcW w:type="dxa" w:w="3513"/>
            <w:vAlign w:val="top"/>
          </w:tcPr>
          <w:p>
            <w:pPr>
              <w:spacing w:after="0" w:line="240" w:lineRule="auto"/>
            </w:pPr>
            <w:r/>
            <w:r>
              <w:rPr>
                <w:b w:val="0"/>
                <w:sz w:val="15"/>
              </w:rPr>
              <w:t>Benchmark is sanity check for stable margin, ROC, beta and reinvestment.</w:t>
            </w:r>
          </w:p>
        </w:tc>
      </w:tr>
      <w:tr>
        <w:tc>
          <w:tcPr>
            <w:tcW w:type="dxa" w:w="3513"/>
            <w:vAlign w:val="top"/>
          </w:tcPr>
          <w:p>
            <w:pPr>
              <w:spacing w:after="0" w:line="240" w:lineRule="auto"/>
            </w:pPr>
            <w:r/>
            <w:r>
              <w:rPr>
                <w:b w:val="0"/>
                <w:sz w:val="15"/>
              </w:rPr>
              <w:t>2-stage FCFF</w:t>
            </w:r>
          </w:p>
        </w:tc>
        <w:tc>
          <w:tcPr>
            <w:tcW w:type="dxa" w:w="3513"/>
            <w:vAlign w:val="top"/>
          </w:tcPr>
          <w:p>
            <w:pPr>
              <w:spacing w:after="0" w:line="240" w:lineRule="auto"/>
            </w:pPr>
            <w:r/>
            <w:r>
              <w:rPr>
                <w:b w:val="0"/>
                <w:sz w:val="15"/>
              </w:rPr>
              <w:t>Moderate growth companies that fade to stable state within short horizon.</w:t>
            </w:r>
          </w:p>
        </w:tc>
        <w:tc>
          <w:tcPr>
            <w:tcW w:type="dxa" w:w="3513"/>
            <w:vAlign w:val="top"/>
          </w:tcPr>
          <w:p>
            <w:pPr>
              <w:spacing w:after="0" w:line="240" w:lineRule="auto"/>
            </w:pPr>
            <w:r/>
            <w:r>
              <w:rPr>
                <w:b w:val="0"/>
                <w:sz w:val="15"/>
              </w:rPr>
              <w:t>Benchmark supports fade target and terminal reasonableness.</w:t>
            </w:r>
          </w:p>
        </w:tc>
      </w:tr>
      <w:tr>
        <w:tc>
          <w:tcPr>
            <w:tcW w:type="dxa" w:w="3513"/>
            <w:vAlign w:val="top"/>
          </w:tcPr>
          <w:p>
            <w:pPr>
              <w:spacing w:after="0" w:line="240" w:lineRule="auto"/>
            </w:pPr>
            <w:r/>
            <w:r>
              <w:rPr>
                <w:b w:val="0"/>
                <w:sz w:val="15"/>
              </w:rPr>
              <w:t>3-stage FCFF</w:t>
            </w:r>
          </w:p>
        </w:tc>
        <w:tc>
          <w:tcPr>
            <w:tcW w:type="dxa" w:w="3513"/>
            <w:vAlign w:val="top"/>
          </w:tcPr>
          <w:p>
            <w:pPr>
              <w:spacing w:after="0" w:line="240" w:lineRule="auto"/>
            </w:pPr>
            <w:r/>
            <w:r>
              <w:rPr>
                <w:b w:val="0"/>
                <w:sz w:val="15"/>
              </w:rPr>
              <w:t>Growth companies or margin expansion cases needing explicit anchor plus transition.</w:t>
            </w:r>
          </w:p>
        </w:tc>
        <w:tc>
          <w:tcPr>
            <w:tcW w:type="dxa" w:w="3513"/>
            <w:vAlign w:val="top"/>
          </w:tcPr>
          <w:p>
            <w:pPr>
              <w:spacing w:after="0" w:line="240" w:lineRule="auto"/>
            </w:pPr>
            <w:r/>
            <w:r>
              <w:rPr>
                <w:b w:val="0"/>
                <w:sz w:val="15"/>
              </w:rPr>
              <w:t>Benchmark supports transition/fade path and terminal normalization.</w:t>
            </w:r>
          </w:p>
        </w:tc>
      </w:tr>
      <w:tr>
        <w:tc>
          <w:tcPr>
            <w:tcW w:type="dxa" w:w="3513"/>
            <w:vAlign w:val="top"/>
          </w:tcPr>
          <w:p>
            <w:pPr>
              <w:spacing w:after="0" w:line="240" w:lineRule="auto"/>
            </w:pPr>
            <w:r/>
            <w:r>
              <w:rPr>
                <w:b w:val="0"/>
                <w:sz w:val="15"/>
              </w:rPr>
              <w:t>n-stage / generalized FCFF</w:t>
            </w:r>
          </w:p>
        </w:tc>
        <w:tc>
          <w:tcPr>
            <w:tcW w:type="dxa" w:w="3513"/>
            <w:vAlign w:val="top"/>
          </w:tcPr>
          <w:p>
            <w:pPr>
              <w:spacing w:after="0" w:line="240" w:lineRule="auto"/>
            </w:pPr>
            <w:r/>
            <w:r>
              <w:rPr>
                <w:b w:val="0"/>
                <w:sz w:val="15"/>
              </w:rPr>
              <w:t>Complex, negative EBIT, high growth, turnaround or non-linear transition cases.</w:t>
            </w:r>
          </w:p>
        </w:tc>
        <w:tc>
          <w:tcPr>
            <w:tcW w:type="dxa" w:w="3513"/>
            <w:vAlign w:val="top"/>
          </w:tcPr>
          <w:p>
            <w:pPr>
              <w:spacing w:after="0" w:line="240" w:lineRule="auto"/>
            </w:pPr>
            <w:r/>
            <w:r>
              <w:rPr>
                <w:b w:val="0"/>
                <w:sz w:val="15"/>
              </w:rPr>
              <w:t>Benchmark supports review and stable-state anchors but does not mechanically decide value.</w:t>
            </w:r>
          </w:p>
        </w:tc>
      </w:tr>
      <w:tr>
        <w:tc>
          <w:tcPr>
            <w:tcW w:type="dxa" w:w="3513"/>
            <w:vAlign w:val="top"/>
          </w:tcPr>
          <w:p>
            <w:pPr>
              <w:spacing w:after="0" w:line="240" w:lineRule="auto"/>
            </w:pPr>
            <w:r/>
            <w:r>
              <w:rPr>
                <w:b w:val="0"/>
                <w:sz w:val="15"/>
              </w:rPr>
              <w:t>Cyclical normalized FCFF</w:t>
            </w:r>
          </w:p>
        </w:tc>
        <w:tc>
          <w:tcPr>
            <w:tcW w:type="dxa" w:w="3513"/>
            <w:vAlign w:val="top"/>
          </w:tcPr>
          <w:p>
            <w:pPr>
              <w:spacing w:after="0" w:line="240" w:lineRule="auto"/>
            </w:pPr>
            <w:r/>
            <w:r>
              <w:rPr>
                <w:b w:val="0"/>
                <w:sz w:val="15"/>
              </w:rPr>
              <w:t>Cyclical, commodity or asset-heavy companies far from mid-cycle.</w:t>
            </w:r>
          </w:p>
        </w:tc>
        <w:tc>
          <w:tcPr>
            <w:tcW w:type="dxa" w:w="3513"/>
            <w:vAlign w:val="top"/>
          </w:tcPr>
          <w:p>
            <w:pPr>
              <w:spacing w:after="0" w:line="240" w:lineRule="auto"/>
            </w:pPr>
            <w:r/>
            <w:r>
              <w:rPr>
                <w:b w:val="0"/>
                <w:sz w:val="15"/>
              </w:rPr>
              <w:t>Benchmark triggers longer history, normalized base year and mid-cycle checks.</w:t>
            </w:r>
          </w:p>
        </w:tc>
      </w:tr>
      <w:tr>
        <w:tc>
          <w:tcPr>
            <w:tcW w:type="dxa" w:w="3513"/>
            <w:vAlign w:val="top"/>
          </w:tcPr>
          <w:p>
            <w:pPr>
              <w:spacing w:after="0" w:line="240" w:lineRule="auto"/>
            </w:pPr>
            <w:r/>
            <w:r>
              <w:rPr>
                <w:b w:val="0"/>
                <w:sz w:val="15"/>
              </w:rPr>
              <w:t>Negative earnings / turnaround FCFF</w:t>
            </w:r>
          </w:p>
        </w:tc>
        <w:tc>
          <w:tcPr>
            <w:tcW w:type="dxa" w:w="3513"/>
            <w:vAlign w:val="top"/>
          </w:tcPr>
          <w:p>
            <w:pPr>
              <w:spacing w:after="0" w:line="240" w:lineRule="auto"/>
            </w:pPr>
            <w:r/>
            <w:r>
              <w:rPr>
                <w:b w:val="0"/>
                <w:sz w:val="15"/>
              </w:rPr>
              <w:t>Negative EBIT but possible recovery.</w:t>
            </w:r>
          </w:p>
        </w:tc>
        <w:tc>
          <w:tcPr>
            <w:tcW w:type="dxa" w:w="3513"/>
            <w:vAlign w:val="top"/>
          </w:tcPr>
          <w:p>
            <w:pPr>
              <w:spacing w:after="0" w:line="240" w:lineRule="auto"/>
            </w:pPr>
            <w:r/>
            <w:r>
              <w:rPr>
                <w:b w:val="0"/>
                <w:sz w:val="15"/>
              </w:rPr>
              <w:t>Benchmark supports target margin and stable economics once ROC is positive.</w:t>
            </w:r>
          </w:p>
        </w:tc>
      </w:tr>
      <w:tr>
        <w:tc>
          <w:tcPr>
            <w:tcW w:type="dxa" w:w="3513"/>
            <w:vAlign w:val="top"/>
          </w:tcPr>
          <w:p>
            <w:pPr>
              <w:spacing w:after="0" w:line="240" w:lineRule="auto"/>
            </w:pPr>
            <w:r/>
            <w:r>
              <w:rPr>
                <w:b w:val="0"/>
                <w:sz w:val="15"/>
              </w:rPr>
              <w:t>Distress review</w:t>
            </w:r>
          </w:p>
        </w:tc>
        <w:tc>
          <w:tcPr>
            <w:tcW w:type="dxa" w:w="3513"/>
            <w:vAlign w:val="top"/>
          </w:tcPr>
          <w:p>
            <w:pPr>
              <w:spacing w:after="0" w:line="240" w:lineRule="auto"/>
            </w:pPr>
            <w:r/>
            <w:r>
              <w:rPr>
                <w:b w:val="0"/>
                <w:sz w:val="15"/>
              </w:rPr>
              <w:t>High debt / survival-risk cases.</w:t>
            </w:r>
          </w:p>
        </w:tc>
        <w:tc>
          <w:tcPr>
            <w:tcW w:type="dxa" w:w="3513"/>
            <w:vAlign w:val="top"/>
          </w:tcPr>
          <w:p>
            <w:pPr>
              <w:spacing w:after="0" w:line="240" w:lineRule="auto"/>
            </w:pPr>
            <w:r/>
            <w:r>
              <w:rPr>
                <w:b w:val="0"/>
                <w:sz w:val="15"/>
              </w:rPr>
              <w:t>Benchmark does not solve distress; review required.</w:t>
            </w:r>
          </w:p>
        </w:tc>
      </w:tr>
    </w:tbl>
    <w:p/>
    <w:p>
      <w:r>
        <w:t>Stage selection should consider: Selected Damodaran Industrial Benchmark + historical stability + forecast support + profitability path + reinvestment needs + risk/WACC + terminal readiness + analyst judgment.</w:t>
      </w:r>
    </w:p>
    <w:p>
      <w:pPr>
        <w:pStyle w:val="Heading1"/>
      </w:pPr>
      <w:r>
        <w:t>15. Forecast &amp; Fade Rules</w:t>
      </w:r>
    </w:p>
    <w:p>
      <w:r>
        <w:t>Forecast &amp; Fade Rules is a permanent system/reference sheet. It defines rule tables, not company-specific valuation formulas. It governs analyst anchors, forecast quality, fade-to-stable rules and terminal readiness. It reads industry context from Industry Benchmark Config, not from manual sector selection.</w:t>
      </w:r>
    </w:p>
    <w:p>
      <w:pPr>
        <w:pStyle w:val="TableTitle"/>
      </w:pPr>
      <w:r>
        <w:rPr>
          <w:b/>
        </w:rPr>
        <w:t>Table - tblForecastModelDefaults</w:t>
      </w:r>
    </w:p>
    <w:p>
      <w:pPr>
        <w:pStyle w:val="TablePurpose"/>
      </w:pPr>
      <w:r>
        <w:t>Default model modes and forecast horizons.</w:t>
      </w:r>
    </w:p>
    <w:tbl>
      <w:tblPr>
        <w:tblStyle w:val="TableGrid"/>
        <w:tblW w:type="auto" w:w="0"/>
        <w:jc w:val="center"/>
        <w:tblLayout w:type="autofit"/>
        <w:tblLook w:firstColumn="1" w:firstRow="1" w:lastColumn="0" w:lastRow="0" w:noHBand="0" w:noVBand="1" w:val="04A0"/>
      </w:tblPr>
      <w:tblGrid>
        <w:gridCol w:w="1317"/>
        <w:gridCol w:w="1317"/>
        <w:gridCol w:w="1317"/>
        <w:gridCol w:w="1317"/>
        <w:gridCol w:w="1317"/>
        <w:gridCol w:w="1317"/>
        <w:gridCol w:w="1317"/>
        <w:gridCol w:w="1317"/>
      </w:tblGrid>
      <w:tr>
        <w:tc>
          <w:tcPr>
            <w:tcW w:type="dxa" w:w="1317"/>
            <w:vAlign w:val="top"/>
            <w:shd w:fill="D9EAF7"/>
          </w:tcPr>
          <w:p>
            <w:pPr>
              <w:spacing w:after="0" w:line="240" w:lineRule="auto"/>
            </w:pPr>
            <w:r/>
            <w:r>
              <w:rPr>
                <w:b/>
                <w:sz w:val="16"/>
              </w:rPr>
              <w:t>Rule ID</w:t>
            </w:r>
          </w:p>
        </w:tc>
        <w:tc>
          <w:tcPr>
            <w:tcW w:type="dxa" w:w="1317"/>
            <w:vAlign w:val="top"/>
            <w:shd w:fill="D9EAF7"/>
          </w:tcPr>
          <w:p>
            <w:pPr>
              <w:spacing w:after="0" w:line="240" w:lineRule="auto"/>
            </w:pPr>
            <w:r/>
            <w:r>
              <w:rPr>
                <w:b/>
                <w:sz w:val="16"/>
              </w:rPr>
              <w:t>Active?</w:t>
            </w:r>
          </w:p>
        </w:tc>
        <w:tc>
          <w:tcPr>
            <w:tcW w:type="dxa" w:w="1317"/>
            <w:vAlign w:val="top"/>
            <w:shd w:fill="D9EAF7"/>
          </w:tcPr>
          <w:p>
            <w:pPr>
              <w:spacing w:after="0" w:line="240" w:lineRule="auto"/>
            </w:pPr>
            <w:r/>
            <w:r>
              <w:rPr>
                <w:b/>
                <w:sz w:val="16"/>
              </w:rPr>
              <w:t>Model Mode</w:t>
            </w:r>
          </w:p>
        </w:tc>
        <w:tc>
          <w:tcPr>
            <w:tcW w:type="dxa" w:w="1317"/>
            <w:vAlign w:val="top"/>
            <w:shd w:fill="D9EAF7"/>
          </w:tcPr>
          <w:p>
            <w:pPr>
              <w:spacing w:after="0" w:line="240" w:lineRule="auto"/>
            </w:pPr>
            <w:r/>
            <w:r>
              <w:rPr>
                <w:b/>
                <w:sz w:val="16"/>
              </w:rPr>
              <w:t>Default Forecast Horizon</w:t>
            </w:r>
          </w:p>
        </w:tc>
        <w:tc>
          <w:tcPr>
            <w:tcW w:type="dxa" w:w="1317"/>
            <w:vAlign w:val="top"/>
            <w:shd w:fill="D9EAF7"/>
          </w:tcPr>
          <w:p>
            <w:pPr>
              <w:spacing w:after="0" w:line="240" w:lineRule="auto"/>
            </w:pPr>
            <w:r/>
            <w:r>
              <w:rPr>
                <w:b/>
                <w:sz w:val="16"/>
              </w:rPr>
              <w:t>Primary Anchor</w:t>
            </w:r>
          </w:p>
        </w:tc>
        <w:tc>
          <w:tcPr>
            <w:tcW w:type="dxa" w:w="1317"/>
            <w:vAlign w:val="top"/>
            <w:shd w:fill="D9EAF7"/>
          </w:tcPr>
          <w:p>
            <w:pPr>
              <w:spacing w:after="0" w:line="240" w:lineRule="auto"/>
            </w:pPr>
            <w:r/>
            <w:r>
              <w:rPr>
                <w:b/>
                <w:sz w:val="16"/>
              </w:rPr>
              <w:t>Optional Anchor</w:t>
            </w:r>
          </w:p>
        </w:tc>
        <w:tc>
          <w:tcPr>
            <w:tcW w:type="dxa" w:w="1317"/>
            <w:vAlign w:val="top"/>
            <w:shd w:fill="D9EAF7"/>
          </w:tcPr>
          <w:p>
            <w:pPr>
              <w:spacing w:after="0" w:line="240" w:lineRule="auto"/>
            </w:pPr>
            <w:r/>
            <w:r>
              <w:rPr>
                <w:b/>
                <w:sz w:val="16"/>
              </w:rPr>
              <w:t>Default Method</w:t>
            </w:r>
          </w:p>
        </w:tc>
        <w:tc>
          <w:tcPr>
            <w:tcW w:type="dxa" w:w="1317"/>
            <w:vAlign w:val="top"/>
            <w:shd w:fill="D9EAF7"/>
          </w:tcPr>
          <w:p>
            <w:pPr>
              <w:spacing w:after="0" w:line="240" w:lineRule="auto"/>
            </w:pPr>
            <w:r/>
            <w:r>
              <w:rPr>
                <w:b/>
                <w:sz w:val="16"/>
              </w:rPr>
              <w:t>Notes</w:t>
            </w:r>
          </w:p>
        </w:tc>
      </w:tr>
      <w:tr>
        <w:tc>
          <w:tcPr>
            <w:tcW w:type="dxa" w:w="1317"/>
            <w:vAlign w:val="top"/>
          </w:tcPr>
          <w:p>
            <w:pPr>
              <w:spacing w:after="0" w:line="240" w:lineRule="auto"/>
            </w:pPr>
            <w:r/>
            <w:r>
              <w:rPr>
                <w:b w:val="0"/>
                <w:sz w:val="15"/>
              </w:rPr>
              <w:t>FR-MODE-001</w:t>
            </w:r>
          </w:p>
        </w:tc>
        <w:tc>
          <w:tcPr>
            <w:tcW w:type="dxa" w:w="1317"/>
            <w:vAlign w:val="top"/>
          </w:tcPr>
          <w:p>
            <w:pPr>
              <w:spacing w:after="0" w:line="240" w:lineRule="auto"/>
            </w:pPr>
            <w:r/>
            <w:r>
              <w:rPr>
                <w:b w:val="0"/>
                <w:sz w:val="15"/>
              </w:rPr>
              <w:t>YES</w:t>
            </w:r>
          </w:p>
        </w:tc>
        <w:tc>
          <w:tcPr>
            <w:tcW w:type="dxa" w:w="1317"/>
            <w:vAlign w:val="top"/>
          </w:tcPr>
          <w:p>
            <w:pPr>
              <w:spacing w:after="0" w:line="240" w:lineRule="auto"/>
            </w:pPr>
            <w:r/>
            <w:r>
              <w:rPr>
                <w:b w:val="0"/>
                <w:sz w:val="15"/>
              </w:rPr>
              <w:t>Stable FCFF</w:t>
            </w:r>
          </w:p>
        </w:tc>
        <w:tc>
          <w:tcPr>
            <w:tcW w:type="dxa" w:w="1317"/>
            <w:vAlign w:val="top"/>
          </w:tcPr>
          <w:p>
            <w:pPr>
              <w:spacing w:after="0" w:line="240" w:lineRule="auto"/>
            </w:pPr>
            <w:r/>
            <w:r>
              <w:rPr>
                <w:b w:val="0"/>
                <w:sz w:val="15"/>
              </w:rPr>
              <w:t>1-3</w:t>
            </w:r>
          </w:p>
        </w:tc>
        <w:tc>
          <w:tcPr>
            <w:tcW w:type="dxa" w:w="1317"/>
            <w:vAlign w:val="top"/>
          </w:tcPr>
          <w:p>
            <w:pPr>
              <w:spacing w:after="0" w:line="240" w:lineRule="auto"/>
            </w:pPr>
            <w:r/>
            <w:r>
              <w:rPr>
                <w:b w:val="0"/>
                <w:sz w:val="15"/>
              </w:rPr>
              <w:t>Y+1</w:t>
            </w:r>
          </w:p>
        </w:tc>
        <w:tc>
          <w:tcPr>
            <w:tcW w:type="dxa" w:w="1317"/>
            <w:vAlign w:val="top"/>
          </w:tcPr>
          <w:p>
            <w:pPr>
              <w:spacing w:after="0" w:line="240" w:lineRule="auto"/>
            </w:pPr>
            <w:r/>
            <w:r>
              <w:rPr>
                <w:b w:val="0"/>
                <w:sz w:val="15"/>
              </w:rPr>
              <w:t>Y+2 to Y+3</w:t>
            </w:r>
          </w:p>
        </w:tc>
        <w:tc>
          <w:tcPr>
            <w:tcW w:type="dxa" w:w="1317"/>
            <w:vAlign w:val="top"/>
          </w:tcPr>
          <w:p>
            <w:pPr>
              <w:spacing w:after="0" w:line="240" w:lineRule="auto"/>
            </w:pPr>
            <w:r/>
            <w:r>
              <w:rPr>
                <w:b w:val="0"/>
                <w:sz w:val="15"/>
              </w:rPr>
              <w:t>Normalized base + stable assumptions</w:t>
            </w:r>
          </w:p>
        </w:tc>
        <w:tc>
          <w:tcPr>
            <w:tcW w:type="dxa" w:w="1317"/>
            <w:vAlign w:val="top"/>
          </w:tcPr>
          <w:p>
            <w:pPr>
              <w:spacing w:after="0" w:line="240" w:lineRule="auto"/>
            </w:pPr>
            <w:r/>
            <w:r>
              <w:rPr>
                <w:b w:val="0"/>
                <w:sz w:val="15"/>
              </w:rPr>
              <w:t>Mature stable company.</w:t>
            </w:r>
          </w:p>
        </w:tc>
      </w:tr>
      <w:tr>
        <w:tc>
          <w:tcPr>
            <w:tcW w:type="dxa" w:w="1317"/>
            <w:vAlign w:val="top"/>
          </w:tcPr>
          <w:p>
            <w:pPr>
              <w:spacing w:after="0" w:line="240" w:lineRule="auto"/>
            </w:pPr>
            <w:r/>
            <w:r>
              <w:rPr>
                <w:b w:val="0"/>
                <w:sz w:val="15"/>
              </w:rPr>
              <w:t>FR-MODE-002</w:t>
            </w:r>
          </w:p>
        </w:tc>
        <w:tc>
          <w:tcPr>
            <w:tcW w:type="dxa" w:w="1317"/>
            <w:vAlign w:val="top"/>
          </w:tcPr>
          <w:p>
            <w:pPr>
              <w:spacing w:after="0" w:line="240" w:lineRule="auto"/>
            </w:pPr>
            <w:r/>
            <w:r>
              <w:rPr>
                <w:b w:val="0"/>
                <w:sz w:val="15"/>
              </w:rPr>
              <w:t>YES</w:t>
            </w:r>
          </w:p>
        </w:tc>
        <w:tc>
          <w:tcPr>
            <w:tcW w:type="dxa" w:w="1317"/>
            <w:vAlign w:val="top"/>
          </w:tcPr>
          <w:p>
            <w:pPr>
              <w:spacing w:after="0" w:line="240" w:lineRule="auto"/>
            </w:pPr>
            <w:r/>
            <w:r>
              <w:rPr>
                <w:b w:val="0"/>
                <w:sz w:val="15"/>
              </w:rPr>
              <w:t>2-stage FCFF</w:t>
            </w:r>
          </w:p>
        </w:tc>
        <w:tc>
          <w:tcPr>
            <w:tcW w:type="dxa" w:w="1317"/>
            <w:vAlign w:val="top"/>
          </w:tcPr>
          <w:p>
            <w:pPr>
              <w:spacing w:after="0" w:line="240" w:lineRule="auto"/>
            </w:pPr>
            <w:r/>
            <w:r>
              <w:rPr>
                <w:b w:val="0"/>
                <w:sz w:val="15"/>
              </w:rPr>
              <w:t>5</w:t>
            </w:r>
          </w:p>
        </w:tc>
        <w:tc>
          <w:tcPr>
            <w:tcW w:type="dxa" w:w="1317"/>
            <w:vAlign w:val="top"/>
          </w:tcPr>
          <w:p>
            <w:pPr>
              <w:spacing w:after="0" w:line="240" w:lineRule="auto"/>
            </w:pPr>
            <w:r/>
            <w:r>
              <w:rPr>
                <w:b w:val="0"/>
                <w:sz w:val="15"/>
              </w:rPr>
              <w:t>Y+1 to Y+3</w:t>
            </w:r>
          </w:p>
        </w:tc>
        <w:tc>
          <w:tcPr>
            <w:tcW w:type="dxa" w:w="1317"/>
            <w:vAlign w:val="top"/>
          </w:tcPr>
          <w:p>
            <w:pPr>
              <w:spacing w:after="0" w:line="240" w:lineRule="auto"/>
            </w:pPr>
            <w:r/>
            <w:r>
              <w:rPr>
                <w:b w:val="0"/>
                <w:sz w:val="15"/>
              </w:rPr>
              <w:t>Y+4 to Y+5</w:t>
            </w:r>
          </w:p>
        </w:tc>
        <w:tc>
          <w:tcPr>
            <w:tcW w:type="dxa" w:w="1317"/>
            <w:vAlign w:val="top"/>
          </w:tcPr>
          <w:p>
            <w:pPr>
              <w:spacing w:after="0" w:line="240" w:lineRule="auto"/>
            </w:pPr>
            <w:r/>
            <w:r>
              <w:rPr>
                <w:b w:val="0"/>
                <w:sz w:val="15"/>
              </w:rPr>
              <w:t>Analyst anchor + short fade</w:t>
            </w:r>
          </w:p>
        </w:tc>
        <w:tc>
          <w:tcPr>
            <w:tcW w:type="dxa" w:w="1317"/>
            <w:vAlign w:val="top"/>
          </w:tcPr>
          <w:p>
            <w:pPr>
              <w:spacing w:after="0" w:line="240" w:lineRule="auto"/>
            </w:pPr>
            <w:r/>
            <w:r>
              <w:rPr>
                <w:b w:val="0"/>
                <w:sz w:val="15"/>
              </w:rPr>
              <w:t>Moderate growth.</w:t>
            </w:r>
          </w:p>
        </w:tc>
      </w:tr>
      <w:tr>
        <w:tc>
          <w:tcPr>
            <w:tcW w:type="dxa" w:w="1317"/>
            <w:vAlign w:val="top"/>
          </w:tcPr>
          <w:p>
            <w:pPr>
              <w:spacing w:after="0" w:line="240" w:lineRule="auto"/>
            </w:pPr>
            <w:r/>
            <w:r>
              <w:rPr>
                <w:b w:val="0"/>
                <w:sz w:val="15"/>
              </w:rPr>
              <w:t>FR-MODE-003</w:t>
            </w:r>
          </w:p>
        </w:tc>
        <w:tc>
          <w:tcPr>
            <w:tcW w:type="dxa" w:w="1317"/>
            <w:vAlign w:val="top"/>
          </w:tcPr>
          <w:p>
            <w:pPr>
              <w:spacing w:after="0" w:line="240" w:lineRule="auto"/>
            </w:pPr>
            <w:r/>
            <w:r>
              <w:rPr>
                <w:b w:val="0"/>
                <w:sz w:val="15"/>
              </w:rPr>
              <w:t>YES</w:t>
            </w:r>
          </w:p>
        </w:tc>
        <w:tc>
          <w:tcPr>
            <w:tcW w:type="dxa" w:w="1317"/>
            <w:vAlign w:val="top"/>
          </w:tcPr>
          <w:p>
            <w:pPr>
              <w:spacing w:after="0" w:line="240" w:lineRule="auto"/>
            </w:pPr>
            <w:r/>
            <w:r>
              <w:rPr>
                <w:b w:val="0"/>
                <w:sz w:val="15"/>
              </w:rPr>
              <w:t>3-stage FCFF</w:t>
            </w:r>
          </w:p>
        </w:tc>
        <w:tc>
          <w:tcPr>
            <w:tcW w:type="dxa" w:w="1317"/>
            <w:vAlign w:val="top"/>
          </w:tcPr>
          <w:p>
            <w:pPr>
              <w:spacing w:after="0" w:line="240" w:lineRule="auto"/>
            </w:pPr>
            <w:r/>
            <w:r>
              <w:rPr>
                <w:b w:val="0"/>
                <w:sz w:val="15"/>
              </w:rPr>
              <w:t>10</w:t>
            </w:r>
          </w:p>
        </w:tc>
        <w:tc>
          <w:tcPr>
            <w:tcW w:type="dxa" w:w="1317"/>
            <w:vAlign w:val="top"/>
          </w:tcPr>
          <w:p>
            <w:pPr>
              <w:spacing w:after="0" w:line="240" w:lineRule="auto"/>
            </w:pPr>
            <w:r/>
            <w:r>
              <w:rPr>
                <w:b w:val="0"/>
                <w:sz w:val="15"/>
              </w:rPr>
              <w:t>Y+1 to Y+3</w:t>
            </w:r>
          </w:p>
        </w:tc>
        <w:tc>
          <w:tcPr>
            <w:tcW w:type="dxa" w:w="1317"/>
            <w:vAlign w:val="top"/>
          </w:tcPr>
          <w:p>
            <w:pPr>
              <w:spacing w:after="0" w:line="240" w:lineRule="auto"/>
            </w:pPr>
            <w:r/>
            <w:r>
              <w:rPr>
                <w:b w:val="0"/>
                <w:sz w:val="15"/>
              </w:rPr>
              <w:t>Y+4 to Y+5</w:t>
            </w:r>
          </w:p>
        </w:tc>
        <w:tc>
          <w:tcPr>
            <w:tcW w:type="dxa" w:w="1317"/>
            <w:vAlign w:val="top"/>
          </w:tcPr>
          <w:p>
            <w:pPr>
              <w:spacing w:after="0" w:line="240" w:lineRule="auto"/>
            </w:pPr>
            <w:r/>
            <w:r>
              <w:rPr>
                <w:b w:val="0"/>
                <w:sz w:val="15"/>
              </w:rPr>
              <w:t>Analyst anchor + model fade</w:t>
            </w:r>
          </w:p>
        </w:tc>
        <w:tc>
          <w:tcPr>
            <w:tcW w:type="dxa" w:w="1317"/>
            <w:vAlign w:val="top"/>
          </w:tcPr>
          <w:p>
            <w:pPr>
              <w:spacing w:after="0" w:line="240" w:lineRule="auto"/>
            </w:pPr>
            <w:r/>
            <w:r>
              <w:rPr>
                <w:b w:val="0"/>
                <w:sz w:val="15"/>
              </w:rPr>
              <w:t>Growth to stable state.</w:t>
            </w:r>
          </w:p>
        </w:tc>
      </w:tr>
      <w:tr>
        <w:tc>
          <w:tcPr>
            <w:tcW w:type="dxa" w:w="1317"/>
            <w:vAlign w:val="top"/>
          </w:tcPr>
          <w:p>
            <w:pPr>
              <w:spacing w:after="0" w:line="240" w:lineRule="auto"/>
            </w:pPr>
            <w:r/>
            <w:r>
              <w:rPr>
                <w:b w:val="0"/>
                <w:sz w:val="15"/>
              </w:rPr>
              <w:t>FR-MODE-004</w:t>
            </w:r>
          </w:p>
        </w:tc>
        <w:tc>
          <w:tcPr>
            <w:tcW w:type="dxa" w:w="1317"/>
            <w:vAlign w:val="top"/>
          </w:tcPr>
          <w:p>
            <w:pPr>
              <w:spacing w:after="0" w:line="240" w:lineRule="auto"/>
            </w:pPr>
            <w:r/>
            <w:r>
              <w:rPr>
                <w:b w:val="0"/>
                <w:sz w:val="15"/>
              </w:rPr>
              <w:t>YES</w:t>
            </w:r>
          </w:p>
        </w:tc>
        <w:tc>
          <w:tcPr>
            <w:tcW w:type="dxa" w:w="1317"/>
            <w:vAlign w:val="top"/>
          </w:tcPr>
          <w:p>
            <w:pPr>
              <w:spacing w:after="0" w:line="240" w:lineRule="auto"/>
            </w:pPr>
            <w:r/>
            <w:r>
              <w:rPr>
                <w:b w:val="0"/>
                <w:sz w:val="15"/>
              </w:rPr>
              <w:t>n-stage / generalized FCFF</w:t>
            </w:r>
          </w:p>
        </w:tc>
        <w:tc>
          <w:tcPr>
            <w:tcW w:type="dxa" w:w="1317"/>
            <w:vAlign w:val="top"/>
          </w:tcPr>
          <w:p>
            <w:pPr>
              <w:spacing w:after="0" w:line="240" w:lineRule="auto"/>
            </w:pPr>
            <w:r/>
            <w:r>
              <w:rPr>
                <w:b w:val="0"/>
                <w:sz w:val="15"/>
              </w:rPr>
              <w:t>Custom</w:t>
            </w:r>
          </w:p>
        </w:tc>
        <w:tc>
          <w:tcPr>
            <w:tcW w:type="dxa" w:w="1317"/>
            <w:vAlign w:val="top"/>
          </w:tcPr>
          <w:p>
            <w:pPr>
              <w:spacing w:after="0" w:line="240" w:lineRule="auto"/>
            </w:pPr>
            <w:r/>
            <w:r>
              <w:rPr>
                <w:b w:val="0"/>
                <w:sz w:val="15"/>
              </w:rPr>
              <w:t>Y+1 to Y+3</w:t>
            </w:r>
          </w:p>
        </w:tc>
        <w:tc>
          <w:tcPr>
            <w:tcW w:type="dxa" w:w="1317"/>
            <w:vAlign w:val="top"/>
          </w:tcPr>
          <w:p>
            <w:pPr>
              <w:spacing w:after="0" w:line="240" w:lineRule="auto"/>
            </w:pPr>
            <w:r/>
            <w:r>
              <w:rPr>
                <w:b w:val="0"/>
                <w:sz w:val="15"/>
              </w:rPr>
              <w:t>Y+4 to Y+5</w:t>
            </w:r>
          </w:p>
        </w:tc>
        <w:tc>
          <w:tcPr>
            <w:tcW w:type="dxa" w:w="1317"/>
            <w:vAlign w:val="top"/>
          </w:tcPr>
          <w:p>
            <w:pPr>
              <w:spacing w:after="0" w:line="240" w:lineRule="auto"/>
            </w:pPr>
            <w:r/>
            <w:r>
              <w:rPr>
                <w:b w:val="0"/>
                <w:sz w:val="15"/>
              </w:rPr>
              <w:t>Custom / turnaround / transition</w:t>
            </w:r>
          </w:p>
        </w:tc>
        <w:tc>
          <w:tcPr>
            <w:tcW w:type="dxa" w:w="1317"/>
            <w:vAlign w:val="top"/>
          </w:tcPr>
          <w:p>
            <w:pPr>
              <w:spacing w:after="0" w:line="240" w:lineRule="auto"/>
            </w:pPr>
            <w:r/>
            <w:r>
              <w:rPr>
                <w:b w:val="0"/>
                <w:sz w:val="15"/>
              </w:rPr>
              <w:t>Complex, negative EBIT, cyclical or high-growth cases.</w:t>
            </w:r>
          </w:p>
        </w:tc>
      </w:tr>
      <w:tr>
        <w:tc>
          <w:tcPr>
            <w:tcW w:type="dxa" w:w="1317"/>
            <w:vAlign w:val="top"/>
          </w:tcPr>
          <w:p>
            <w:pPr>
              <w:spacing w:after="0" w:line="240" w:lineRule="auto"/>
            </w:pPr>
            <w:r/>
            <w:r>
              <w:rPr>
                <w:b w:val="0"/>
                <w:sz w:val="15"/>
              </w:rPr>
              <w:t>FR-MODE-005</w:t>
            </w:r>
          </w:p>
        </w:tc>
        <w:tc>
          <w:tcPr>
            <w:tcW w:type="dxa" w:w="1317"/>
            <w:vAlign w:val="top"/>
          </w:tcPr>
          <w:p>
            <w:pPr>
              <w:spacing w:after="0" w:line="240" w:lineRule="auto"/>
            </w:pPr>
            <w:r/>
            <w:r>
              <w:rPr>
                <w:b w:val="0"/>
                <w:sz w:val="15"/>
              </w:rPr>
              <w:t>YES</w:t>
            </w:r>
          </w:p>
        </w:tc>
        <w:tc>
          <w:tcPr>
            <w:tcW w:type="dxa" w:w="1317"/>
            <w:vAlign w:val="top"/>
          </w:tcPr>
          <w:p>
            <w:pPr>
              <w:spacing w:after="0" w:line="240" w:lineRule="auto"/>
            </w:pPr>
            <w:r/>
            <w:r>
              <w:rPr>
                <w:b w:val="0"/>
                <w:sz w:val="15"/>
              </w:rPr>
              <w:t>Cyclical normalized FCFF</w:t>
            </w:r>
          </w:p>
        </w:tc>
        <w:tc>
          <w:tcPr>
            <w:tcW w:type="dxa" w:w="1317"/>
            <w:vAlign w:val="top"/>
          </w:tcPr>
          <w:p>
            <w:pPr>
              <w:spacing w:after="0" w:line="240" w:lineRule="auto"/>
            </w:pPr>
            <w:r/>
            <w:r>
              <w:rPr>
                <w:b w:val="0"/>
                <w:sz w:val="15"/>
              </w:rPr>
              <w:t>10 / extended</w:t>
            </w:r>
          </w:p>
        </w:tc>
        <w:tc>
          <w:tcPr>
            <w:tcW w:type="dxa" w:w="1317"/>
            <w:vAlign w:val="top"/>
          </w:tcPr>
          <w:p>
            <w:pPr>
              <w:spacing w:after="0" w:line="240" w:lineRule="auto"/>
            </w:pPr>
            <w:r/>
            <w:r>
              <w:rPr>
                <w:b w:val="0"/>
                <w:sz w:val="15"/>
              </w:rPr>
              <w:t>Normalized base</w:t>
            </w:r>
          </w:p>
        </w:tc>
        <w:tc>
          <w:tcPr>
            <w:tcW w:type="dxa" w:w="1317"/>
            <w:vAlign w:val="top"/>
          </w:tcPr>
          <w:p>
            <w:pPr>
              <w:spacing w:after="0" w:line="240" w:lineRule="auto"/>
            </w:pPr>
            <w:r/>
            <w:r>
              <w:rPr>
                <w:b w:val="0"/>
                <w:sz w:val="15"/>
              </w:rPr>
              <w:t>Optional</w:t>
            </w:r>
          </w:p>
        </w:tc>
        <w:tc>
          <w:tcPr>
            <w:tcW w:type="dxa" w:w="1317"/>
            <w:vAlign w:val="top"/>
          </w:tcPr>
          <w:p>
            <w:pPr>
              <w:spacing w:after="0" w:line="240" w:lineRule="auto"/>
            </w:pPr>
            <w:r/>
            <w:r>
              <w:rPr>
                <w:b w:val="0"/>
                <w:sz w:val="15"/>
              </w:rPr>
              <w:t>Mid-cycle normalized logic</w:t>
            </w:r>
          </w:p>
        </w:tc>
        <w:tc>
          <w:tcPr>
            <w:tcW w:type="dxa" w:w="1317"/>
            <w:vAlign w:val="top"/>
          </w:tcPr>
          <w:p>
            <w:pPr>
              <w:spacing w:after="0" w:line="240" w:lineRule="auto"/>
            </w:pPr>
            <w:r/>
            <w:r>
              <w:rPr>
                <w:b w:val="0"/>
                <w:sz w:val="15"/>
              </w:rPr>
              <w:t>Commodity/cyclical/asset-heavy cases.</w:t>
            </w:r>
          </w:p>
        </w:tc>
      </w:tr>
      <w:tr>
        <w:tc>
          <w:tcPr>
            <w:tcW w:type="dxa" w:w="1317"/>
            <w:vAlign w:val="top"/>
          </w:tcPr>
          <w:p>
            <w:pPr>
              <w:spacing w:after="0" w:line="240" w:lineRule="auto"/>
            </w:pPr>
            <w:r/>
            <w:r>
              <w:rPr>
                <w:b w:val="0"/>
                <w:sz w:val="15"/>
              </w:rPr>
              <w:t>FR-MODE-006</w:t>
            </w:r>
          </w:p>
        </w:tc>
        <w:tc>
          <w:tcPr>
            <w:tcW w:type="dxa" w:w="1317"/>
            <w:vAlign w:val="top"/>
          </w:tcPr>
          <w:p>
            <w:pPr>
              <w:spacing w:after="0" w:line="240" w:lineRule="auto"/>
            </w:pPr>
            <w:r/>
            <w:r>
              <w:rPr>
                <w:b w:val="0"/>
                <w:sz w:val="15"/>
              </w:rPr>
              <w:t>YES</w:t>
            </w:r>
          </w:p>
        </w:tc>
        <w:tc>
          <w:tcPr>
            <w:tcW w:type="dxa" w:w="1317"/>
            <w:vAlign w:val="top"/>
          </w:tcPr>
          <w:p>
            <w:pPr>
              <w:spacing w:after="0" w:line="240" w:lineRule="auto"/>
            </w:pPr>
            <w:r/>
            <w:r>
              <w:rPr>
                <w:b w:val="0"/>
                <w:sz w:val="15"/>
              </w:rPr>
              <w:t>Negative earnings / turnaround FCFF</w:t>
            </w:r>
          </w:p>
        </w:tc>
        <w:tc>
          <w:tcPr>
            <w:tcW w:type="dxa" w:w="1317"/>
            <w:vAlign w:val="top"/>
          </w:tcPr>
          <w:p>
            <w:pPr>
              <w:spacing w:after="0" w:line="240" w:lineRule="auto"/>
            </w:pPr>
            <w:r/>
            <w:r>
              <w:rPr>
                <w:b w:val="0"/>
                <w:sz w:val="15"/>
              </w:rPr>
              <w:t>10+</w:t>
            </w:r>
          </w:p>
        </w:tc>
        <w:tc>
          <w:tcPr>
            <w:tcW w:type="dxa" w:w="1317"/>
            <w:vAlign w:val="top"/>
          </w:tcPr>
          <w:p>
            <w:pPr>
              <w:spacing w:after="0" w:line="240" w:lineRule="auto"/>
            </w:pPr>
            <w:r/>
            <w:r>
              <w:rPr>
                <w:b w:val="0"/>
                <w:sz w:val="15"/>
              </w:rPr>
              <w:t>Revenue-led path</w:t>
            </w:r>
          </w:p>
        </w:tc>
        <w:tc>
          <w:tcPr>
            <w:tcW w:type="dxa" w:w="1317"/>
            <w:vAlign w:val="top"/>
          </w:tcPr>
          <w:p>
            <w:pPr>
              <w:spacing w:after="0" w:line="240" w:lineRule="auto"/>
            </w:pPr>
            <w:r/>
            <w:r>
              <w:rPr>
                <w:b w:val="0"/>
                <w:sz w:val="15"/>
              </w:rPr>
              <w:t>Optional</w:t>
            </w:r>
          </w:p>
        </w:tc>
        <w:tc>
          <w:tcPr>
            <w:tcW w:type="dxa" w:w="1317"/>
            <w:vAlign w:val="top"/>
          </w:tcPr>
          <w:p>
            <w:pPr>
              <w:spacing w:after="0" w:line="240" w:lineRule="auto"/>
            </w:pPr>
            <w:r/>
            <w:r>
              <w:rPr>
                <w:b w:val="0"/>
                <w:sz w:val="15"/>
              </w:rPr>
              <w:t>Margin transition + delayed stable ROC</w:t>
            </w:r>
          </w:p>
        </w:tc>
        <w:tc>
          <w:tcPr>
            <w:tcW w:type="dxa" w:w="1317"/>
            <w:vAlign w:val="top"/>
          </w:tcPr>
          <w:p>
            <w:pPr>
              <w:spacing w:after="0" w:line="240" w:lineRule="auto"/>
            </w:pPr>
            <w:r/>
            <w:r>
              <w:rPr>
                <w:b w:val="0"/>
                <w:sz w:val="15"/>
              </w:rPr>
              <w:t>Negative EBIT recovery cases.</w:t>
            </w:r>
          </w:p>
        </w:tc>
      </w:tr>
    </w:tbl>
    <w:p/>
    <w:p>
      <w:pPr>
        <w:pStyle w:val="TableTitle"/>
      </w:pPr>
      <w:r>
        <w:rPr>
          <w:b/>
        </w:rPr>
        <w:t>Table - tblForecastMetricRules</w:t>
      </w:r>
    </w:p>
    <w:p>
      <w:pPr>
        <w:pStyle w:val="TablePurpose"/>
      </w:pPr>
      <w:r>
        <w:t>Metric requirement and source rules.</w:t>
      </w:r>
    </w:p>
    <w:tbl>
      <w:tblPr>
        <w:tblStyle w:val="TableGrid"/>
        <w:tblW w:type="auto" w:w="0"/>
        <w:jc w:val="center"/>
        <w:tblLayout w:type="autofit"/>
        <w:tblLook w:firstColumn="1" w:firstRow="1" w:lastColumn="0" w:lastRow="0" w:noHBand="0" w:noVBand="1" w:val="04A0"/>
      </w:tblPr>
      <w:tblGrid>
        <w:gridCol w:w="1317"/>
        <w:gridCol w:w="1317"/>
        <w:gridCol w:w="1317"/>
        <w:gridCol w:w="1317"/>
        <w:gridCol w:w="1317"/>
        <w:gridCol w:w="1317"/>
        <w:gridCol w:w="1317"/>
        <w:gridCol w:w="1317"/>
      </w:tblGrid>
      <w:tr>
        <w:tc>
          <w:tcPr>
            <w:tcW w:type="dxa" w:w="1317"/>
            <w:vAlign w:val="top"/>
            <w:shd w:fill="D9EAF7"/>
          </w:tcPr>
          <w:p>
            <w:pPr>
              <w:spacing w:after="0" w:line="240" w:lineRule="auto"/>
            </w:pPr>
            <w:r/>
            <w:r>
              <w:rPr>
                <w:b/>
                <w:sz w:val="16"/>
              </w:rPr>
              <w:t>Metric</w:t>
            </w:r>
          </w:p>
        </w:tc>
        <w:tc>
          <w:tcPr>
            <w:tcW w:type="dxa" w:w="1317"/>
            <w:vAlign w:val="top"/>
            <w:shd w:fill="D9EAF7"/>
          </w:tcPr>
          <w:p>
            <w:pPr>
              <w:spacing w:after="0" w:line="240" w:lineRule="auto"/>
            </w:pPr>
            <w:r/>
            <w:r>
              <w:rPr>
                <w:b/>
                <w:sz w:val="16"/>
              </w:rPr>
              <w:t>Required?</w:t>
            </w:r>
          </w:p>
        </w:tc>
        <w:tc>
          <w:tcPr>
            <w:tcW w:type="dxa" w:w="1317"/>
            <w:vAlign w:val="top"/>
            <w:shd w:fill="D9EAF7"/>
          </w:tcPr>
          <w:p>
            <w:pPr>
              <w:spacing w:after="0" w:line="240" w:lineRule="auto"/>
            </w:pPr>
            <w:r/>
            <w:r>
              <w:rPr>
                <w:b/>
                <w:sz w:val="16"/>
              </w:rPr>
              <w:t>Used For</w:t>
            </w:r>
          </w:p>
        </w:tc>
        <w:tc>
          <w:tcPr>
            <w:tcW w:type="dxa" w:w="1317"/>
            <w:vAlign w:val="top"/>
            <w:shd w:fill="D9EAF7"/>
          </w:tcPr>
          <w:p>
            <w:pPr>
              <w:spacing w:after="0" w:line="240" w:lineRule="auto"/>
            </w:pPr>
            <w:r/>
            <w:r>
              <w:rPr>
                <w:b/>
                <w:sz w:val="16"/>
              </w:rPr>
              <w:t>Quality Weight</w:t>
            </w:r>
          </w:p>
        </w:tc>
        <w:tc>
          <w:tcPr>
            <w:tcW w:type="dxa" w:w="1317"/>
            <w:vAlign w:val="top"/>
            <w:shd w:fill="D9EAF7"/>
          </w:tcPr>
          <w:p>
            <w:pPr>
              <w:spacing w:after="0" w:line="240" w:lineRule="auto"/>
            </w:pPr>
            <w:r/>
            <w:r>
              <w:rPr>
                <w:b/>
                <w:sz w:val="16"/>
              </w:rPr>
              <w:t>Default Source</w:t>
            </w:r>
          </w:p>
        </w:tc>
        <w:tc>
          <w:tcPr>
            <w:tcW w:type="dxa" w:w="1317"/>
            <w:vAlign w:val="top"/>
            <w:shd w:fill="D9EAF7"/>
          </w:tcPr>
          <w:p>
            <w:pPr>
              <w:spacing w:after="0" w:line="240" w:lineRule="auto"/>
            </w:pPr>
            <w:r/>
            <w:r>
              <w:rPr>
                <w:b/>
                <w:sz w:val="16"/>
              </w:rPr>
              <w:t>Fallback Logic</w:t>
            </w:r>
          </w:p>
        </w:tc>
        <w:tc>
          <w:tcPr>
            <w:tcW w:type="dxa" w:w="1317"/>
            <w:vAlign w:val="top"/>
            <w:shd w:fill="D9EAF7"/>
          </w:tcPr>
          <w:p>
            <w:pPr>
              <w:spacing w:after="0" w:line="240" w:lineRule="auto"/>
            </w:pPr>
            <w:r/>
            <w:r>
              <w:rPr>
                <w:b/>
                <w:sz w:val="16"/>
              </w:rPr>
              <w:t>Directly Drives FCFF?</w:t>
            </w:r>
          </w:p>
        </w:tc>
        <w:tc>
          <w:tcPr>
            <w:tcW w:type="dxa" w:w="1317"/>
            <w:vAlign w:val="top"/>
            <w:shd w:fill="D9EAF7"/>
          </w:tcPr>
          <w:p>
            <w:pPr>
              <w:spacing w:after="0" w:line="240" w:lineRule="auto"/>
            </w:pPr>
            <w:r/>
            <w:r>
              <w:rPr>
                <w:b/>
                <w:sz w:val="16"/>
              </w:rPr>
              <w:t>Notes</w:t>
            </w:r>
          </w:p>
        </w:tc>
      </w:tr>
      <w:tr>
        <w:tc>
          <w:tcPr>
            <w:tcW w:type="dxa" w:w="1317"/>
            <w:vAlign w:val="top"/>
          </w:tcPr>
          <w:p>
            <w:pPr>
              <w:spacing w:after="0" w:line="240" w:lineRule="auto"/>
            </w:pPr>
            <w:r/>
            <w:r>
              <w:rPr>
                <w:b w:val="0"/>
                <w:sz w:val="15"/>
              </w:rPr>
              <w:t>Revenue</w:t>
            </w:r>
          </w:p>
        </w:tc>
        <w:tc>
          <w:tcPr>
            <w:tcW w:type="dxa" w:w="1317"/>
            <w:vAlign w:val="top"/>
          </w:tcPr>
          <w:p>
            <w:pPr>
              <w:spacing w:after="0" w:line="240" w:lineRule="auto"/>
            </w:pPr>
            <w:r/>
            <w:r>
              <w:rPr>
                <w:b w:val="0"/>
                <w:sz w:val="15"/>
              </w:rPr>
              <w:t>YES</w:t>
            </w:r>
          </w:p>
        </w:tc>
        <w:tc>
          <w:tcPr>
            <w:tcW w:type="dxa" w:w="1317"/>
            <w:vAlign w:val="top"/>
          </w:tcPr>
          <w:p>
            <w:pPr>
              <w:spacing w:after="0" w:line="240" w:lineRule="auto"/>
            </w:pPr>
            <w:r/>
            <w:r>
              <w:rPr>
                <w:b w:val="0"/>
                <w:sz w:val="15"/>
              </w:rPr>
              <w:t>Growth forecast</w:t>
            </w:r>
          </w:p>
        </w:tc>
        <w:tc>
          <w:tcPr>
            <w:tcW w:type="dxa" w:w="1317"/>
            <w:vAlign w:val="top"/>
          </w:tcPr>
          <w:p>
            <w:pPr>
              <w:spacing w:after="0" w:line="240" w:lineRule="auto"/>
            </w:pPr>
            <w:r/>
            <w:r>
              <w:rPr>
                <w:b w:val="0"/>
                <w:sz w:val="15"/>
              </w:rPr>
              <w:t>High</w:t>
            </w:r>
          </w:p>
        </w:tc>
        <w:tc>
          <w:tcPr>
            <w:tcW w:type="dxa" w:w="1317"/>
            <w:vAlign w:val="top"/>
          </w:tcPr>
          <w:p>
            <w:pPr>
              <w:spacing w:after="0" w:line="240" w:lineRule="auto"/>
            </w:pPr>
            <w:r/>
            <w:r>
              <w:rPr>
                <w:b w:val="0"/>
                <w:sz w:val="15"/>
              </w:rPr>
              <w:t>Analyst / manual / model</w:t>
            </w:r>
          </w:p>
        </w:tc>
        <w:tc>
          <w:tcPr>
            <w:tcW w:type="dxa" w:w="1317"/>
            <w:vAlign w:val="top"/>
          </w:tcPr>
          <w:p>
            <w:pPr>
              <w:spacing w:after="0" w:line="240" w:lineRule="auto"/>
            </w:pPr>
            <w:r/>
            <w:r>
              <w:rPr>
                <w:b w:val="0"/>
                <w:sz w:val="15"/>
              </w:rPr>
              <w:t>Use model growth if missing</w:t>
            </w:r>
          </w:p>
        </w:tc>
        <w:tc>
          <w:tcPr>
            <w:tcW w:type="dxa" w:w="1317"/>
            <w:vAlign w:val="top"/>
          </w:tcPr>
          <w:p>
            <w:pPr>
              <w:spacing w:after="0" w:line="240" w:lineRule="auto"/>
            </w:pPr>
            <w:r/>
            <w:r>
              <w:rPr>
                <w:b w:val="0"/>
                <w:sz w:val="15"/>
              </w:rPr>
              <w:t>YES</w:t>
            </w:r>
          </w:p>
        </w:tc>
        <w:tc>
          <w:tcPr>
            <w:tcW w:type="dxa" w:w="1317"/>
            <w:vAlign w:val="top"/>
          </w:tcPr>
          <w:p>
            <w:pPr>
              <w:spacing w:after="0" w:line="240" w:lineRule="auto"/>
            </w:pPr>
            <w:r/>
            <w:r>
              <w:rPr>
                <w:b w:val="0"/>
                <w:sz w:val="15"/>
              </w:rPr>
              <w:t>Core operating driver.</w:t>
            </w:r>
          </w:p>
        </w:tc>
      </w:tr>
      <w:tr>
        <w:tc>
          <w:tcPr>
            <w:tcW w:type="dxa" w:w="1317"/>
            <w:vAlign w:val="top"/>
          </w:tcPr>
          <w:p>
            <w:pPr>
              <w:spacing w:after="0" w:line="240" w:lineRule="auto"/>
            </w:pPr>
            <w:r/>
            <w:r>
              <w:rPr>
                <w:b w:val="0"/>
                <w:sz w:val="15"/>
              </w:rPr>
              <w:t>EBIT</w:t>
            </w:r>
          </w:p>
        </w:tc>
        <w:tc>
          <w:tcPr>
            <w:tcW w:type="dxa" w:w="1317"/>
            <w:vAlign w:val="top"/>
          </w:tcPr>
          <w:p>
            <w:pPr>
              <w:spacing w:after="0" w:line="240" w:lineRule="auto"/>
            </w:pPr>
            <w:r/>
            <w:r>
              <w:rPr>
                <w:b w:val="0"/>
                <w:sz w:val="15"/>
              </w:rPr>
              <w:t>YES</w:t>
            </w:r>
          </w:p>
        </w:tc>
        <w:tc>
          <w:tcPr>
            <w:tcW w:type="dxa" w:w="1317"/>
            <w:vAlign w:val="top"/>
          </w:tcPr>
          <w:p>
            <w:pPr>
              <w:spacing w:after="0" w:line="240" w:lineRule="auto"/>
            </w:pPr>
            <w:r/>
            <w:r>
              <w:rPr>
                <w:b w:val="0"/>
                <w:sz w:val="15"/>
              </w:rPr>
              <w:t>Margin / NOPAT</w:t>
            </w:r>
          </w:p>
        </w:tc>
        <w:tc>
          <w:tcPr>
            <w:tcW w:type="dxa" w:w="1317"/>
            <w:vAlign w:val="top"/>
          </w:tcPr>
          <w:p>
            <w:pPr>
              <w:spacing w:after="0" w:line="240" w:lineRule="auto"/>
            </w:pPr>
            <w:r/>
            <w:r>
              <w:rPr>
                <w:b w:val="0"/>
                <w:sz w:val="15"/>
              </w:rPr>
              <w:t>High</w:t>
            </w:r>
          </w:p>
        </w:tc>
        <w:tc>
          <w:tcPr>
            <w:tcW w:type="dxa" w:w="1317"/>
            <w:vAlign w:val="top"/>
          </w:tcPr>
          <w:p>
            <w:pPr>
              <w:spacing w:after="0" w:line="240" w:lineRule="auto"/>
            </w:pPr>
            <w:r/>
            <w:r>
              <w:rPr>
                <w:b w:val="0"/>
                <w:sz w:val="15"/>
              </w:rPr>
              <w:t>Analyst / manual / margin logic</w:t>
            </w:r>
          </w:p>
        </w:tc>
        <w:tc>
          <w:tcPr>
            <w:tcW w:type="dxa" w:w="1317"/>
            <w:vAlign w:val="top"/>
          </w:tcPr>
          <w:p>
            <w:pPr>
              <w:spacing w:after="0" w:line="240" w:lineRule="auto"/>
            </w:pPr>
            <w:r/>
            <w:r>
              <w:rPr>
                <w:b w:val="0"/>
                <w:sz w:val="15"/>
              </w:rPr>
              <w:t>Use margin transition if missing</w:t>
            </w:r>
          </w:p>
        </w:tc>
        <w:tc>
          <w:tcPr>
            <w:tcW w:type="dxa" w:w="1317"/>
            <w:vAlign w:val="top"/>
          </w:tcPr>
          <w:p>
            <w:pPr>
              <w:spacing w:after="0" w:line="240" w:lineRule="auto"/>
            </w:pPr>
            <w:r/>
            <w:r>
              <w:rPr>
                <w:b w:val="0"/>
                <w:sz w:val="15"/>
              </w:rPr>
              <w:t>YES</w:t>
            </w:r>
          </w:p>
        </w:tc>
        <w:tc>
          <w:tcPr>
            <w:tcW w:type="dxa" w:w="1317"/>
            <w:vAlign w:val="top"/>
          </w:tcPr>
          <w:p>
            <w:pPr>
              <w:spacing w:after="0" w:line="240" w:lineRule="auto"/>
            </w:pPr>
            <w:r/>
            <w:r>
              <w:rPr>
                <w:b w:val="0"/>
                <w:sz w:val="15"/>
              </w:rPr>
              <w:t>Core profitability driver.</w:t>
            </w:r>
          </w:p>
        </w:tc>
      </w:tr>
      <w:tr>
        <w:tc>
          <w:tcPr>
            <w:tcW w:type="dxa" w:w="1317"/>
            <w:vAlign w:val="top"/>
          </w:tcPr>
          <w:p>
            <w:pPr>
              <w:spacing w:after="0" w:line="240" w:lineRule="auto"/>
            </w:pPr>
            <w:r/>
            <w:r>
              <w:rPr>
                <w:b w:val="0"/>
                <w:sz w:val="15"/>
              </w:rPr>
              <w:t>EBIT Margin</w:t>
            </w:r>
          </w:p>
        </w:tc>
        <w:tc>
          <w:tcPr>
            <w:tcW w:type="dxa" w:w="1317"/>
            <w:vAlign w:val="top"/>
          </w:tcPr>
          <w:p>
            <w:pPr>
              <w:spacing w:after="0" w:line="240" w:lineRule="auto"/>
            </w:pPr>
            <w:r/>
            <w:r>
              <w:rPr>
                <w:b w:val="0"/>
                <w:sz w:val="15"/>
              </w:rPr>
              <w:t>YES</w:t>
            </w:r>
          </w:p>
        </w:tc>
        <w:tc>
          <w:tcPr>
            <w:tcW w:type="dxa" w:w="1317"/>
            <w:vAlign w:val="top"/>
          </w:tcPr>
          <w:p>
            <w:pPr>
              <w:spacing w:after="0" w:line="240" w:lineRule="auto"/>
            </w:pPr>
            <w:r/>
            <w:r>
              <w:rPr>
                <w:b w:val="0"/>
                <w:sz w:val="15"/>
              </w:rPr>
              <w:t>EBIT forecast</w:t>
            </w:r>
          </w:p>
        </w:tc>
        <w:tc>
          <w:tcPr>
            <w:tcW w:type="dxa" w:w="1317"/>
            <w:vAlign w:val="top"/>
          </w:tcPr>
          <w:p>
            <w:pPr>
              <w:spacing w:after="0" w:line="240" w:lineRule="auto"/>
            </w:pPr>
            <w:r/>
            <w:r>
              <w:rPr>
                <w:b w:val="0"/>
                <w:sz w:val="15"/>
              </w:rPr>
              <w:t>High</w:t>
            </w:r>
          </w:p>
        </w:tc>
        <w:tc>
          <w:tcPr>
            <w:tcW w:type="dxa" w:w="1317"/>
            <w:vAlign w:val="top"/>
          </w:tcPr>
          <w:p>
            <w:pPr>
              <w:spacing w:after="0" w:line="240" w:lineRule="auto"/>
            </w:pPr>
            <w:r/>
            <w:r>
              <w:rPr>
                <w:b w:val="0"/>
                <w:sz w:val="15"/>
              </w:rPr>
              <w:t>EBIT / Revenue</w:t>
            </w:r>
          </w:p>
        </w:tc>
        <w:tc>
          <w:tcPr>
            <w:tcW w:type="dxa" w:w="1317"/>
            <w:vAlign w:val="top"/>
          </w:tcPr>
          <w:p>
            <w:pPr>
              <w:spacing w:after="0" w:line="240" w:lineRule="auto"/>
            </w:pPr>
            <w:r/>
            <w:r>
              <w:rPr>
                <w:b w:val="0"/>
                <w:sz w:val="15"/>
              </w:rPr>
              <w:t>Use target margin path</w:t>
            </w:r>
          </w:p>
        </w:tc>
        <w:tc>
          <w:tcPr>
            <w:tcW w:type="dxa" w:w="1317"/>
            <w:vAlign w:val="top"/>
          </w:tcPr>
          <w:p>
            <w:pPr>
              <w:spacing w:after="0" w:line="240" w:lineRule="auto"/>
            </w:pPr>
            <w:r/>
            <w:r>
              <w:rPr>
                <w:b w:val="0"/>
                <w:sz w:val="15"/>
              </w:rPr>
              <w:t>YES</w:t>
            </w:r>
          </w:p>
        </w:tc>
        <w:tc>
          <w:tcPr>
            <w:tcW w:type="dxa" w:w="1317"/>
            <w:vAlign w:val="top"/>
          </w:tcPr>
          <w:p>
            <w:pPr>
              <w:spacing w:after="0" w:line="240" w:lineRule="auto"/>
            </w:pPr>
            <w:r/>
            <w:r>
              <w:rPr>
                <w:b w:val="0"/>
                <w:sz w:val="15"/>
              </w:rPr>
              <w:t>Important for fade.</w:t>
            </w:r>
          </w:p>
        </w:tc>
      </w:tr>
      <w:tr>
        <w:tc>
          <w:tcPr>
            <w:tcW w:type="dxa" w:w="1317"/>
            <w:vAlign w:val="top"/>
          </w:tcPr>
          <w:p>
            <w:pPr>
              <w:spacing w:after="0" w:line="240" w:lineRule="auto"/>
            </w:pPr>
            <w:r/>
            <w:r>
              <w:rPr>
                <w:b w:val="0"/>
                <w:sz w:val="15"/>
              </w:rPr>
              <w:t>Tax Rate</w:t>
            </w:r>
          </w:p>
        </w:tc>
        <w:tc>
          <w:tcPr>
            <w:tcW w:type="dxa" w:w="1317"/>
            <w:vAlign w:val="top"/>
          </w:tcPr>
          <w:p>
            <w:pPr>
              <w:spacing w:after="0" w:line="240" w:lineRule="auto"/>
            </w:pPr>
            <w:r/>
            <w:r>
              <w:rPr>
                <w:b w:val="0"/>
                <w:sz w:val="15"/>
              </w:rPr>
              <w:t>YES</w:t>
            </w:r>
          </w:p>
        </w:tc>
        <w:tc>
          <w:tcPr>
            <w:tcW w:type="dxa" w:w="1317"/>
            <w:vAlign w:val="top"/>
          </w:tcPr>
          <w:p>
            <w:pPr>
              <w:spacing w:after="0" w:line="240" w:lineRule="auto"/>
            </w:pPr>
            <w:r/>
            <w:r>
              <w:rPr>
                <w:b w:val="0"/>
                <w:sz w:val="15"/>
              </w:rPr>
              <w:t>NOPAT</w:t>
            </w:r>
          </w:p>
        </w:tc>
        <w:tc>
          <w:tcPr>
            <w:tcW w:type="dxa" w:w="1317"/>
            <w:vAlign w:val="top"/>
          </w:tcPr>
          <w:p>
            <w:pPr>
              <w:spacing w:after="0" w:line="240" w:lineRule="auto"/>
            </w:pPr>
            <w:r/>
            <w:r>
              <w:rPr>
                <w:b w:val="0"/>
                <w:sz w:val="15"/>
              </w:rPr>
              <w:t>Medium</w:t>
            </w:r>
          </w:p>
        </w:tc>
        <w:tc>
          <w:tcPr>
            <w:tcW w:type="dxa" w:w="1317"/>
            <w:vAlign w:val="top"/>
          </w:tcPr>
          <w:p>
            <w:pPr>
              <w:spacing w:after="0" w:line="240" w:lineRule="auto"/>
            </w:pPr>
            <w:r/>
            <w:r>
              <w:rPr>
                <w:b w:val="0"/>
                <w:sz w:val="15"/>
              </w:rPr>
              <w:t>Manual / normalized / statutory</w:t>
            </w:r>
          </w:p>
        </w:tc>
        <w:tc>
          <w:tcPr>
            <w:tcW w:type="dxa" w:w="1317"/>
            <w:vAlign w:val="top"/>
          </w:tcPr>
          <w:p>
            <w:pPr>
              <w:spacing w:after="0" w:line="240" w:lineRule="auto"/>
            </w:pPr>
            <w:r/>
            <w:r>
              <w:rPr>
                <w:b w:val="0"/>
                <w:sz w:val="15"/>
              </w:rPr>
              <w:t>Use normalized tax</w:t>
            </w:r>
          </w:p>
        </w:tc>
        <w:tc>
          <w:tcPr>
            <w:tcW w:type="dxa" w:w="1317"/>
            <w:vAlign w:val="top"/>
          </w:tcPr>
          <w:p>
            <w:pPr>
              <w:spacing w:after="0" w:line="240" w:lineRule="auto"/>
            </w:pPr>
            <w:r/>
            <w:r>
              <w:rPr>
                <w:b w:val="0"/>
                <w:sz w:val="15"/>
              </w:rPr>
              <w:t>YES</w:t>
            </w:r>
          </w:p>
        </w:tc>
        <w:tc>
          <w:tcPr>
            <w:tcW w:type="dxa" w:w="1317"/>
            <w:vAlign w:val="top"/>
          </w:tcPr>
          <w:p>
            <w:pPr>
              <w:spacing w:after="0" w:line="240" w:lineRule="auto"/>
            </w:pPr>
            <w:r/>
            <w:r>
              <w:rPr>
                <w:b w:val="0"/>
                <w:sz w:val="15"/>
              </w:rPr>
              <w:t>Needed for NOPAT.</w:t>
            </w:r>
          </w:p>
        </w:tc>
      </w:tr>
      <w:tr>
        <w:tc>
          <w:tcPr>
            <w:tcW w:type="dxa" w:w="1317"/>
            <w:vAlign w:val="top"/>
          </w:tcPr>
          <w:p>
            <w:pPr>
              <w:spacing w:after="0" w:line="240" w:lineRule="auto"/>
            </w:pPr>
            <w:r/>
            <w:r>
              <w:rPr>
                <w:b w:val="0"/>
                <w:sz w:val="15"/>
              </w:rPr>
              <w:t>CapEx</w:t>
            </w:r>
          </w:p>
        </w:tc>
        <w:tc>
          <w:tcPr>
            <w:tcW w:type="dxa" w:w="1317"/>
            <w:vAlign w:val="top"/>
          </w:tcPr>
          <w:p>
            <w:pPr>
              <w:spacing w:after="0" w:line="240" w:lineRule="auto"/>
            </w:pPr>
            <w:r/>
            <w:r>
              <w:rPr>
                <w:b w:val="0"/>
                <w:sz w:val="15"/>
              </w:rPr>
              <w:t>OPTIONAL</w:t>
            </w:r>
          </w:p>
        </w:tc>
        <w:tc>
          <w:tcPr>
            <w:tcW w:type="dxa" w:w="1317"/>
            <w:vAlign w:val="top"/>
          </w:tcPr>
          <w:p>
            <w:pPr>
              <w:spacing w:after="0" w:line="240" w:lineRule="auto"/>
            </w:pPr>
            <w:r/>
            <w:r>
              <w:rPr>
                <w:b w:val="0"/>
                <w:sz w:val="15"/>
              </w:rPr>
              <w:t>Direct reinvestment</w:t>
            </w:r>
          </w:p>
        </w:tc>
        <w:tc>
          <w:tcPr>
            <w:tcW w:type="dxa" w:w="1317"/>
            <w:vAlign w:val="top"/>
          </w:tcPr>
          <w:p>
            <w:pPr>
              <w:spacing w:after="0" w:line="240" w:lineRule="auto"/>
            </w:pPr>
            <w:r/>
            <w:r>
              <w:rPr>
                <w:b w:val="0"/>
                <w:sz w:val="15"/>
              </w:rPr>
              <w:t>Medium</w:t>
            </w:r>
          </w:p>
        </w:tc>
        <w:tc>
          <w:tcPr>
            <w:tcW w:type="dxa" w:w="1317"/>
            <w:vAlign w:val="top"/>
          </w:tcPr>
          <w:p>
            <w:pPr>
              <w:spacing w:after="0" w:line="240" w:lineRule="auto"/>
            </w:pPr>
            <w:r/>
            <w:r>
              <w:rPr>
                <w:b w:val="0"/>
                <w:sz w:val="15"/>
              </w:rPr>
              <w:t>Analyst / manual / historical</w:t>
            </w:r>
          </w:p>
        </w:tc>
        <w:tc>
          <w:tcPr>
            <w:tcW w:type="dxa" w:w="1317"/>
            <w:vAlign w:val="top"/>
          </w:tcPr>
          <w:p>
            <w:pPr>
              <w:spacing w:after="0" w:line="240" w:lineRule="auto"/>
            </w:pPr>
            <w:r/>
            <w:r>
              <w:rPr>
                <w:b w:val="0"/>
                <w:sz w:val="15"/>
              </w:rPr>
              <w:t>Use sales-to-capital</w:t>
            </w:r>
          </w:p>
        </w:tc>
        <w:tc>
          <w:tcPr>
            <w:tcW w:type="dxa" w:w="1317"/>
            <w:vAlign w:val="top"/>
          </w:tcPr>
          <w:p>
            <w:pPr>
              <w:spacing w:after="0" w:line="240" w:lineRule="auto"/>
            </w:pPr>
            <w:r/>
            <w:r>
              <w:rPr>
                <w:b w:val="0"/>
                <w:sz w:val="15"/>
              </w:rPr>
              <w:t>INDIRECT</w:t>
            </w:r>
          </w:p>
        </w:tc>
        <w:tc>
          <w:tcPr>
            <w:tcW w:type="dxa" w:w="1317"/>
            <w:vAlign w:val="top"/>
          </w:tcPr>
          <w:p>
            <w:pPr>
              <w:spacing w:after="0" w:line="240" w:lineRule="auto"/>
            </w:pPr>
            <w:r/>
            <w:r>
              <w:rPr>
                <w:b w:val="0"/>
                <w:sz w:val="15"/>
              </w:rPr>
              <w:t>Support for direct method.</w:t>
            </w:r>
          </w:p>
        </w:tc>
      </w:tr>
      <w:tr>
        <w:tc>
          <w:tcPr>
            <w:tcW w:type="dxa" w:w="1317"/>
            <w:vAlign w:val="top"/>
          </w:tcPr>
          <w:p>
            <w:pPr>
              <w:spacing w:after="0" w:line="240" w:lineRule="auto"/>
            </w:pPr>
            <w:r/>
            <w:r>
              <w:rPr>
                <w:b w:val="0"/>
                <w:sz w:val="15"/>
              </w:rPr>
              <w:t>D&amp;A</w:t>
            </w:r>
          </w:p>
        </w:tc>
        <w:tc>
          <w:tcPr>
            <w:tcW w:type="dxa" w:w="1317"/>
            <w:vAlign w:val="top"/>
          </w:tcPr>
          <w:p>
            <w:pPr>
              <w:spacing w:after="0" w:line="240" w:lineRule="auto"/>
            </w:pPr>
            <w:r/>
            <w:r>
              <w:rPr>
                <w:b w:val="0"/>
                <w:sz w:val="15"/>
              </w:rPr>
              <w:t>OPTIONAL</w:t>
            </w:r>
          </w:p>
        </w:tc>
        <w:tc>
          <w:tcPr>
            <w:tcW w:type="dxa" w:w="1317"/>
            <w:vAlign w:val="top"/>
          </w:tcPr>
          <w:p>
            <w:pPr>
              <w:spacing w:after="0" w:line="240" w:lineRule="auto"/>
            </w:pPr>
            <w:r/>
            <w:r>
              <w:rPr>
                <w:b w:val="0"/>
                <w:sz w:val="15"/>
              </w:rPr>
              <w:t>Direct reinvestment</w:t>
            </w:r>
          </w:p>
        </w:tc>
        <w:tc>
          <w:tcPr>
            <w:tcW w:type="dxa" w:w="1317"/>
            <w:vAlign w:val="top"/>
          </w:tcPr>
          <w:p>
            <w:pPr>
              <w:spacing w:after="0" w:line="240" w:lineRule="auto"/>
            </w:pPr>
            <w:r/>
            <w:r>
              <w:rPr>
                <w:b w:val="0"/>
                <w:sz w:val="15"/>
              </w:rPr>
              <w:t>Medium</w:t>
            </w:r>
          </w:p>
        </w:tc>
        <w:tc>
          <w:tcPr>
            <w:tcW w:type="dxa" w:w="1317"/>
            <w:vAlign w:val="top"/>
          </w:tcPr>
          <w:p>
            <w:pPr>
              <w:spacing w:after="0" w:line="240" w:lineRule="auto"/>
            </w:pPr>
            <w:r/>
            <w:r>
              <w:rPr>
                <w:b w:val="0"/>
                <w:sz w:val="15"/>
              </w:rPr>
              <w:t>Analyst / manual / historical</w:t>
            </w:r>
          </w:p>
        </w:tc>
        <w:tc>
          <w:tcPr>
            <w:tcW w:type="dxa" w:w="1317"/>
            <w:vAlign w:val="top"/>
          </w:tcPr>
          <w:p>
            <w:pPr>
              <w:spacing w:after="0" w:line="240" w:lineRule="auto"/>
            </w:pPr>
            <w:r/>
            <w:r>
              <w:rPr>
                <w:b w:val="0"/>
                <w:sz w:val="15"/>
              </w:rPr>
              <w:t>Use ratio to revenue</w:t>
            </w:r>
          </w:p>
        </w:tc>
        <w:tc>
          <w:tcPr>
            <w:tcW w:type="dxa" w:w="1317"/>
            <w:vAlign w:val="top"/>
          </w:tcPr>
          <w:p>
            <w:pPr>
              <w:spacing w:after="0" w:line="240" w:lineRule="auto"/>
            </w:pPr>
            <w:r/>
            <w:r>
              <w:rPr>
                <w:b w:val="0"/>
                <w:sz w:val="15"/>
              </w:rPr>
              <w:t>INDIRECT</w:t>
            </w:r>
          </w:p>
        </w:tc>
        <w:tc>
          <w:tcPr>
            <w:tcW w:type="dxa" w:w="1317"/>
            <w:vAlign w:val="top"/>
          </w:tcPr>
          <w:p>
            <w:pPr>
              <w:spacing w:after="0" w:line="240" w:lineRule="auto"/>
            </w:pPr>
            <w:r/>
            <w:r>
              <w:rPr>
                <w:b w:val="0"/>
                <w:sz w:val="15"/>
              </w:rPr>
              <w:t>Support metric.</w:t>
            </w:r>
          </w:p>
        </w:tc>
      </w:tr>
      <w:tr>
        <w:tc>
          <w:tcPr>
            <w:tcW w:type="dxa" w:w="1317"/>
            <w:vAlign w:val="top"/>
          </w:tcPr>
          <w:p>
            <w:pPr>
              <w:spacing w:after="0" w:line="240" w:lineRule="auto"/>
            </w:pPr>
            <w:r/>
            <w:r>
              <w:rPr>
                <w:b w:val="0"/>
                <w:sz w:val="15"/>
              </w:rPr>
              <w:t>Change in NWC</w:t>
            </w:r>
          </w:p>
        </w:tc>
        <w:tc>
          <w:tcPr>
            <w:tcW w:type="dxa" w:w="1317"/>
            <w:vAlign w:val="top"/>
          </w:tcPr>
          <w:p>
            <w:pPr>
              <w:spacing w:after="0" w:line="240" w:lineRule="auto"/>
            </w:pPr>
            <w:r/>
            <w:r>
              <w:rPr>
                <w:b w:val="0"/>
                <w:sz w:val="15"/>
              </w:rPr>
              <w:t>OPTIONAL</w:t>
            </w:r>
          </w:p>
        </w:tc>
        <w:tc>
          <w:tcPr>
            <w:tcW w:type="dxa" w:w="1317"/>
            <w:vAlign w:val="top"/>
          </w:tcPr>
          <w:p>
            <w:pPr>
              <w:spacing w:after="0" w:line="240" w:lineRule="auto"/>
            </w:pPr>
            <w:r/>
            <w:r>
              <w:rPr>
                <w:b w:val="0"/>
                <w:sz w:val="15"/>
              </w:rPr>
              <w:t>Direct reinvestment</w:t>
            </w:r>
          </w:p>
        </w:tc>
        <w:tc>
          <w:tcPr>
            <w:tcW w:type="dxa" w:w="1317"/>
            <w:vAlign w:val="top"/>
          </w:tcPr>
          <w:p>
            <w:pPr>
              <w:spacing w:after="0" w:line="240" w:lineRule="auto"/>
            </w:pPr>
            <w:r/>
            <w:r>
              <w:rPr>
                <w:b w:val="0"/>
                <w:sz w:val="15"/>
              </w:rPr>
              <w:t>Medium</w:t>
            </w:r>
          </w:p>
        </w:tc>
        <w:tc>
          <w:tcPr>
            <w:tcW w:type="dxa" w:w="1317"/>
            <w:vAlign w:val="top"/>
          </w:tcPr>
          <w:p>
            <w:pPr>
              <w:spacing w:after="0" w:line="240" w:lineRule="auto"/>
            </w:pPr>
            <w:r/>
            <w:r>
              <w:rPr>
                <w:b w:val="0"/>
                <w:sz w:val="15"/>
              </w:rPr>
              <w:t>Manual / historical</w:t>
            </w:r>
          </w:p>
        </w:tc>
        <w:tc>
          <w:tcPr>
            <w:tcW w:type="dxa" w:w="1317"/>
            <w:vAlign w:val="top"/>
          </w:tcPr>
          <w:p>
            <w:pPr>
              <w:spacing w:after="0" w:line="240" w:lineRule="auto"/>
            </w:pPr>
            <w:r/>
            <w:r>
              <w:rPr>
                <w:b w:val="0"/>
                <w:sz w:val="15"/>
              </w:rPr>
              <w:t>Use sales-to-capital</w:t>
            </w:r>
          </w:p>
        </w:tc>
        <w:tc>
          <w:tcPr>
            <w:tcW w:type="dxa" w:w="1317"/>
            <w:vAlign w:val="top"/>
          </w:tcPr>
          <w:p>
            <w:pPr>
              <w:spacing w:after="0" w:line="240" w:lineRule="auto"/>
            </w:pPr>
            <w:r/>
            <w:r>
              <w:rPr>
                <w:b w:val="0"/>
                <w:sz w:val="15"/>
              </w:rPr>
              <w:t>INDIRECT</w:t>
            </w:r>
          </w:p>
        </w:tc>
        <w:tc>
          <w:tcPr>
            <w:tcW w:type="dxa" w:w="1317"/>
            <w:vAlign w:val="top"/>
          </w:tcPr>
          <w:p>
            <w:pPr>
              <w:spacing w:after="0" w:line="240" w:lineRule="auto"/>
            </w:pPr>
            <w:r/>
            <w:r>
              <w:rPr>
                <w:b w:val="0"/>
                <w:sz w:val="15"/>
              </w:rPr>
              <w:t>Can be volatile.</w:t>
            </w:r>
          </w:p>
        </w:tc>
      </w:tr>
      <w:tr>
        <w:tc>
          <w:tcPr>
            <w:tcW w:type="dxa" w:w="1317"/>
            <w:vAlign w:val="top"/>
          </w:tcPr>
          <w:p>
            <w:pPr>
              <w:spacing w:after="0" w:line="240" w:lineRule="auto"/>
            </w:pPr>
            <w:r/>
            <w:r>
              <w:rPr>
                <w:b w:val="0"/>
                <w:sz w:val="15"/>
              </w:rPr>
              <w:t>Sales-to-Capital</w:t>
            </w:r>
          </w:p>
        </w:tc>
        <w:tc>
          <w:tcPr>
            <w:tcW w:type="dxa" w:w="1317"/>
            <w:vAlign w:val="top"/>
          </w:tcPr>
          <w:p>
            <w:pPr>
              <w:spacing w:after="0" w:line="240" w:lineRule="auto"/>
            </w:pPr>
            <w:r/>
            <w:r>
              <w:rPr>
                <w:b w:val="0"/>
                <w:sz w:val="15"/>
              </w:rPr>
              <w:t>YES if direct weak</w:t>
            </w:r>
          </w:p>
        </w:tc>
        <w:tc>
          <w:tcPr>
            <w:tcW w:type="dxa" w:w="1317"/>
            <w:vAlign w:val="top"/>
          </w:tcPr>
          <w:p>
            <w:pPr>
              <w:spacing w:after="0" w:line="240" w:lineRule="auto"/>
            </w:pPr>
            <w:r/>
            <w:r>
              <w:rPr>
                <w:b w:val="0"/>
                <w:sz w:val="15"/>
              </w:rPr>
              <w:t>Reinvestment</w:t>
            </w:r>
          </w:p>
        </w:tc>
        <w:tc>
          <w:tcPr>
            <w:tcW w:type="dxa" w:w="1317"/>
            <w:vAlign w:val="top"/>
          </w:tcPr>
          <w:p>
            <w:pPr>
              <w:spacing w:after="0" w:line="240" w:lineRule="auto"/>
            </w:pPr>
            <w:r/>
            <w:r>
              <w:rPr>
                <w:b w:val="0"/>
                <w:sz w:val="15"/>
              </w:rPr>
              <w:t>High</w:t>
            </w:r>
          </w:p>
        </w:tc>
        <w:tc>
          <w:tcPr>
            <w:tcW w:type="dxa" w:w="1317"/>
            <w:vAlign w:val="top"/>
          </w:tcPr>
          <w:p>
            <w:pPr>
              <w:spacing w:after="0" w:line="240" w:lineRule="auto"/>
            </w:pPr>
            <w:r/>
            <w:r>
              <w:rPr>
                <w:b w:val="0"/>
                <w:sz w:val="15"/>
              </w:rPr>
              <w:t>Company / Damodaran / override</w:t>
            </w:r>
          </w:p>
        </w:tc>
        <w:tc>
          <w:tcPr>
            <w:tcW w:type="dxa" w:w="1317"/>
            <w:vAlign w:val="top"/>
          </w:tcPr>
          <w:p>
            <w:pPr>
              <w:spacing w:after="0" w:line="240" w:lineRule="auto"/>
            </w:pPr>
            <w:r/>
            <w:r>
              <w:rPr>
                <w:b w:val="0"/>
                <w:sz w:val="15"/>
              </w:rPr>
              <w:t>Use industry benchmark</w:t>
            </w:r>
          </w:p>
        </w:tc>
        <w:tc>
          <w:tcPr>
            <w:tcW w:type="dxa" w:w="1317"/>
            <w:vAlign w:val="top"/>
          </w:tcPr>
          <w:p>
            <w:pPr>
              <w:spacing w:after="0" w:line="240" w:lineRule="auto"/>
            </w:pPr>
            <w:r/>
            <w:r>
              <w:rPr>
                <w:b w:val="0"/>
                <w:sz w:val="15"/>
              </w:rPr>
              <w:t>YES</w:t>
            </w:r>
          </w:p>
        </w:tc>
        <w:tc>
          <w:tcPr>
            <w:tcW w:type="dxa" w:w="1317"/>
            <w:vAlign w:val="top"/>
          </w:tcPr>
          <w:p>
            <w:pPr>
              <w:spacing w:after="0" w:line="240" w:lineRule="auto"/>
            </w:pPr>
            <w:r/>
            <w:r>
              <w:rPr>
                <w:b w:val="0"/>
                <w:sz w:val="15"/>
              </w:rPr>
              <w:t>Key Damodaran-style link.</w:t>
            </w:r>
          </w:p>
        </w:tc>
      </w:tr>
      <w:tr>
        <w:tc>
          <w:tcPr>
            <w:tcW w:type="dxa" w:w="1317"/>
            <w:vAlign w:val="top"/>
          </w:tcPr>
          <w:p>
            <w:pPr>
              <w:spacing w:after="0" w:line="240" w:lineRule="auto"/>
            </w:pPr>
            <w:r/>
            <w:r>
              <w:rPr>
                <w:b w:val="0"/>
                <w:sz w:val="15"/>
              </w:rPr>
              <w:t>EPS</w:t>
            </w:r>
          </w:p>
        </w:tc>
        <w:tc>
          <w:tcPr>
            <w:tcW w:type="dxa" w:w="1317"/>
            <w:vAlign w:val="top"/>
          </w:tcPr>
          <w:p>
            <w:pPr>
              <w:spacing w:after="0" w:line="240" w:lineRule="auto"/>
            </w:pPr>
            <w:r/>
            <w:r>
              <w:rPr>
                <w:b w:val="0"/>
                <w:sz w:val="15"/>
              </w:rPr>
              <w:t>OPTIONAL</w:t>
            </w:r>
          </w:p>
        </w:tc>
        <w:tc>
          <w:tcPr>
            <w:tcW w:type="dxa" w:w="1317"/>
            <w:vAlign w:val="top"/>
          </w:tcPr>
          <w:p>
            <w:pPr>
              <w:spacing w:after="0" w:line="240" w:lineRule="auto"/>
            </w:pPr>
            <w:r/>
            <w:r>
              <w:rPr>
                <w:b w:val="0"/>
                <w:sz w:val="15"/>
              </w:rPr>
              <w:t>Sanity check</w:t>
            </w:r>
          </w:p>
        </w:tc>
        <w:tc>
          <w:tcPr>
            <w:tcW w:type="dxa" w:w="1317"/>
            <w:vAlign w:val="top"/>
          </w:tcPr>
          <w:p>
            <w:pPr>
              <w:spacing w:after="0" w:line="240" w:lineRule="auto"/>
            </w:pPr>
            <w:r/>
            <w:r>
              <w:rPr>
                <w:b w:val="0"/>
                <w:sz w:val="15"/>
              </w:rPr>
              <w:t>Low</w:t>
            </w:r>
          </w:p>
        </w:tc>
        <w:tc>
          <w:tcPr>
            <w:tcW w:type="dxa" w:w="1317"/>
            <w:vAlign w:val="top"/>
          </w:tcPr>
          <w:p>
            <w:pPr>
              <w:spacing w:after="0" w:line="240" w:lineRule="auto"/>
            </w:pPr>
            <w:r/>
            <w:r>
              <w:rPr>
                <w:b w:val="0"/>
                <w:sz w:val="15"/>
              </w:rPr>
              <w:t>Analyst</w:t>
            </w:r>
          </w:p>
        </w:tc>
        <w:tc>
          <w:tcPr>
            <w:tcW w:type="dxa" w:w="1317"/>
            <w:vAlign w:val="top"/>
          </w:tcPr>
          <w:p>
            <w:pPr>
              <w:spacing w:after="0" w:line="240" w:lineRule="auto"/>
            </w:pPr>
            <w:r/>
            <w:r>
              <w:rPr>
                <w:b w:val="0"/>
                <w:sz w:val="15"/>
              </w:rPr>
              <w:t>Reference only</w:t>
            </w:r>
          </w:p>
        </w:tc>
        <w:tc>
          <w:tcPr>
            <w:tcW w:type="dxa" w:w="1317"/>
            <w:vAlign w:val="top"/>
          </w:tcPr>
          <w:p>
            <w:pPr>
              <w:spacing w:after="0" w:line="240" w:lineRule="auto"/>
            </w:pPr>
            <w:r/>
            <w:r>
              <w:rPr>
                <w:b w:val="0"/>
                <w:sz w:val="15"/>
              </w:rPr>
              <w:t>NO</w:t>
            </w:r>
          </w:p>
        </w:tc>
        <w:tc>
          <w:tcPr>
            <w:tcW w:type="dxa" w:w="1317"/>
            <w:vAlign w:val="top"/>
          </w:tcPr>
          <w:p>
            <w:pPr>
              <w:spacing w:after="0" w:line="240" w:lineRule="auto"/>
            </w:pPr>
            <w:r/>
            <w:r>
              <w:rPr>
                <w:b w:val="0"/>
                <w:sz w:val="15"/>
              </w:rPr>
              <w:t>Not official FCFF driver.</w:t>
            </w:r>
          </w:p>
        </w:tc>
      </w:tr>
      <w:tr>
        <w:tc>
          <w:tcPr>
            <w:tcW w:type="dxa" w:w="1317"/>
            <w:vAlign w:val="top"/>
          </w:tcPr>
          <w:p>
            <w:pPr>
              <w:spacing w:after="0" w:line="240" w:lineRule="auto"/>
            </w:pPr>
            <w:r/>
            <w:r>
              <w:rPr>
                <w:b w:val="0"/>
                <w:sz w:val="15"/>
              </w:rPr>
              <w:t>EBITDA</w:t>
            </w:r>
          </w:p>
        </w:tc>
        <w:tc>
          <w:tcPr>
            <w:tcW w:type="dxa" w:w="1317"/>
            <w:vAlign w:val="top"/>
          </w:tcPr>
          <w:p>
            <w:pPr>
              <w:spacing w:after="0" w:line="240" w:lineRule="auto"/>
            </w:pPr>
            <w:r/>
            <w:r>
              <w:rPr>
                <w:b w:val="0"/>
                <w:sz w:val="15"/>
              </w:rPr>
              <w:t>OPTIONAL</w:t>
            </w:r>
          </w:p>
        </w:tc>
        <w:tc>
          <w:tcPr>
            <w:tcW w:type="dxa" w:w="1317"/>
            <w:vAlign w:val="top"/>
          </w:tcPr>
          <w:p>
            <w:pPr>
              <w:spacing w:after="0" w:line="240" w:lineRule="auto"/>
            </w:pPr>
            <w:r/>
            <w:r>
              <w:rPr>
                <w:b w:val="0"/>
                <w:sz w:val="15"/>
              </w:rPr>
              <w:t>Sanity check</w:t>
            </w:r>
          </w:p>
        </w:tc>
        <w:tc>
          <w:tcPr>
            <w:tcW w:type="dxa" w:w="1317"/>
            <w:vAlign w:val="top"/>
          </w:tcPr>
          <w:p>
            <w:pPr>
              <w:spacing w:after="0" w:line="240" w:lineRule="auto"/>
            </w:pPr>
            <w:r/>
            <w:r>
              <w:rPr>
                <w:b w:val="0"/>
                <w:sz w:val="15"/>
              </w:rPr>
              <w:t>Medium</w:t>
            </w:r>
          </w:p>
        </w:tc>
        <w:tc>
          <w:tcPr>
            <w:tcW w:type="dxa" w:w="1317"/>
            <w:vAlign w:val="top"/>
          </w:tcPr>
          <w:p>
            <w:pPr>
              <w:spacing w:after="0" w:line="240" w:lineRule="auto"/>
            </w:pPr>
            <w:r/>
            <w:r>
              <w:rPr>
                <w:b w:val="0"/>
                <w:sz w:val="15"/>
              </w:rPr>
              <w:t>Analyst</w:t>
            </w:r>
          </w:p>
        </w:tc>
        <w:tc>
          <w:tcPr>
            <w:tcW w:type="dxa" w:w="1317"/>
            <w:vAlign w:val="top"/>
          </w:tcPr>
          <w:p>
            <w:pPr>
              <w:spacing w:after="0" w:line="240" w:lineRule="auto"/>
            </w:pPr>
            <w:r/>
            <w:r>
              <w:rPr>
                <w:b w:val="0"/>
                <w:sz w:val="15"/>
              </w:rPr>
              <w:t>Reference only</w:t>
            </w:r>
          </w:p>
        </w:tc>
        <w:tc>
          <w:tcPr>
            <w:tcW w:type="dxa" w:w="1317"/>
            <w:vAlign w:val="top"/>
          </w:tcPr>
          <w:p>
            <w:pPr>
              <w:spacing w:after="0" w:line="240" w:lineRule="auto"/>
            </w:pPr>
            <w:r/>
            <w:r>
              <w:rPr>
                <w:b w:val="0"/>
                <w:sz w:val="15"/>
              </w:rPr>
              <w:t>NO</w:t>
            </w:r>
          </w:p>
        </w:tc>
        <w:tc>
          <w:tcPr>
            <w:tcW w:type="dxa" w:w="1317"/>
            <w:vAlign w:val="top"/>
          </w:tcPr>
          <w:p>
            <w:pPr>
              <w:spacing w:after="0" w:line="240" w:lineRule="auto"/>
            </w:pPr>
            <w:r/>
            <w:r>
              <w:rPr>
                <w:b w:val="0"/>
                <w:sz w:val="15"/>
              </w:rPr>
              <w:t>Useful, not official driver.</w:t>
            </w:r>
          </w:p>
        </w:tc>
      </w:tr>
    </w:tbl>
    <w:p/>
    <w:p>
      <w:pPr>
        <w:pStyle w:val="TableTitle"/>
      </w:pPr>
      <w:r>
        <w:rPr>
          <w:b/>
        </w:rPr>
        <w:t>Table - tblAnalystCountRules</w:t>
      </w:r>
    </w:p>
    <w:p>
      <w:pPr>
        <w:pStyle w:val="TablePurpose"/>
      </w:pPr>
      <w:r>
        <w:t>Analyst-count thresholds and low-count treatment.</w:t>
      </w:r>
    </w:p>
    <w:tbl>
      <w:tblPr>
        <w:tblStyle w:val="TableGrid"/>
        <w:tblW w:type="auto" w:w="0"/>
        <w:jc w:val="center"/>
        <w:tblLayout w:type="autofit"/>
        <w:tblLook w:firstColumn="1" w:firstRow="1" w:lastColumn="0" w:lastRow="0" w:noHBand="0" w:noVBand="1" w:val="04A0"/>
      </w:tblPr>
      <w:tblGrid>
        <w:gridCol w:w="1506"/>
        <w:gridCol w:w="1506"/>
        <w:gridCol w:w="1506"/>
        <w:gridCol w:w="1506"/>
        <w:gridCol w:w="1506"/>
        <w:gridCol w:w="1506"/>
        <w:gridCol w:w="1506"/>
      </w:tblGrid>
      <w:tr>
        <w:tc>
          <w:tcPr>
            <w:tcW w:type="dxa" w:w="1506"/>
            <w:vAlign w:val="top"/>
            <w:shd w:fill="D9EAF7"/>
          </w:tcPr>
          <w:p>
            <w:pPr>
              <w:spacing w:after="0" w:line="240" w:lineRule="auto"/>
            </w:pPr>
            <w:r/>
            <w:r>
              <w:rPr>
                <w:b/>
                <w:sz w:val="16"/>
              </w:rPr>
              <w:t>Metric</w:t>
            </w:r>
          </w:p>
        </w:tc>
        <w:tc>
          <w:tcPr>
            <w:tcW w:type="dxa" w:w="1506"/>
            <w:vAlign w:val="top"/>
            <w:shd w:fill="D9EAF7"/>
          </w:tcPr>
          <w:p>
            <w:pPr>
              <w:spacing w:after="0" w:line="240" w:lineRule="auto"/>
            </w:pPr>
            <w:r/>
            <w:r>
              <w:rPr>
                <w:b/>
                <w:sz w:val="16"/>
              </w:rPr>
              <w:t>Strong Count</w:t>
            </w:r>
          </w:p>
        </w:tc>
        <w:tc>
          <w:tcPr>
            <w:tcW w:type="dxa" w:w="1506"/>
            <w:vAlign w:val="top"/>
            <w:shd w:fill="D9EAF7"/>
          </w:tcPr>
          <w:p>
            <w:pPr>
              <w:spacing w:after="0" w:line="240" w:lineRule="auto"/>
            </w:pPr>
            <w:r/>
            <w:r>
              <w:rPr>
                <w:b/>
                <w:sz w:val="16"/>
              </w:rPr>
              <w:t>Acceptable Count</w:t>
            </w:r>
          </w:p>
        </w:tc>
        <w:tc>
          <w:tcPr>
            <w:tcW w:type="dxa" w:w="1506"/>
            <w:vAlign w:val="top"/>
            <w:shd w:fill="D9EAF7"/>
          </w:tcPr>
          <w:p>
            <w:pPr>
              <w:spacing w:after="0" w:line="240" w:lineRule="auto"/>
            </w:pPr>
            <w:r/>
            <w:r>
              <w:rPr>
                <w:b/>
                <w:sz w:val="16"/>
              </w:rPr>
              <w:t>Weak Count</w:t>
            </w:r>
          </w:p>
        </w:tc>
        <w:tc>
          <w:tcPr>
            <w:tcW w:type="dxa" w:w="1506"/>
            <w:vAlign w:val="top"/>
            <w:shd w:fill="D9EAF7"/>
          </w:tcPr>
          <w:p>
            <w:pPr>
              <w:spacing w:after="0" w:line="240" w:lineRule="auto"/>
            </w:pPr>
            <w:r/>
            <w:r>
              <w:rPr>
                <w:b/>
                <w:sz w:val="16"/>
              </w:rPr>
              <w:t>Missing Count Treatment</w:t>
            </w:r>
          </w:p>
        </w:tc>
        <w:tc>
          <w:tcPr>
            <w:tcW w:type="dxa" w:w="1506"/>
            <w:vAlign w:val="top"/>
            <w:shd w:fill="D9EAF7"/>
          </w:tcPr>
          <w:p>
            <w:pPr>
              <w:spacing w:after="0" w:line="240" w:lineRule="auto"/>
            </w:pPr>
            <w:r/>
            <w:r>
              <w:rPr>
                <w:b/>
                <w:sz w:val="16"/>
              </w:rPr>
              <w:t>Low Count Treatment</w:t>
            </w:r>
          </w:p>
        </w:tc>
        <w:tc>
          <w:tcPr>
            <w:tcW w:type="dxa" w:w="1506"/>
            <w:vAlign w:val="top"/>
            <w:shd w:fill="D9EAF7"/>
          </w:tcPr>
          <w:p>
            <w:pPr>
              <w:spacing w:after="0" w:line="240" w:lineRule="auto"/>
            </w:pPr>
            <w:r/>
            <w:r>
              <w:rPr>
                <w:b/>
                <w:sz w:val="16"/>
              </w:rPr>
              <w:t>Can Use Estimate?</w:t>
            </w:r>
          </w:p>
        </w:tc>
      </w:tr>
      <w:tr>
        <w:tc>
          <w:tcPr>
            <w:tcW w:type="dxa" w:w="1506"/>
            <w:vAlign w:val="top"/>
          </w:tcPr>
          <w:p>
            <w:pPr>
              <w:spacing w:after="0" w:line="240" w:lineRule="auto"/>
            </w:pPr>
            <w:r/>
            <w:r>
              <w:rPr>
                <w:b w:val="0"/>
                <w:sz w:val="15"/>
              </w:rPr>
              <w:t>Revenue</w:t>
            </w:r>
          </w:p>
        </w:tc>
        <w:tc>
          <w:tcPr>
            <w:tcW w:type="dxa" w:w="1506"/>
            <w:vAlign w:val="top"/>
          </w:tcPr>
          <w:p>
            <w:pPr>
              <w:spacing w:after="0" w:line="240" w:lineRule="auto"/>
            </w:pPr>
            <w:r/>
            <w:r>
              <w:rPr>
                <w:b w:val="0"/>
                <w:sz w:val="15"/>
              </w:rPr>
              <w:t>&gt;=5</w:t>
            </w:r>
          </w:p>
        </w:tc>
        <w:tc>
          <w:tcPr>
            <w:tcW w:type="dxa" w:w="1506"/>
            <w:vAlign w:val="top"/>
          </w:tcPr>
          <w:p>
            <w:pPr>
              <w:spacing w:after="0" w:line="240" w:lineRule="auto"/>
            </w:pPr>
            <w:r/>
            <w:r>
              <w:rPr>
                <w:b w:val="0"/>
                <w:sz w:val="15"/>
              </w:rPr>
              <w:t>3-4</w:t>
            </w:r>
          </w:p>
        </w:tc>
        <w:tc>
          <w:tcPr>
            <w:tcW w:type="dxa" w:w="1506"/>
            <w:vAlign w:val="top"/>
          </w:tcPr>
          <w:p>
            <w:pPr>
              <w:spacing w:after="0" w:line="240" w:lineRule="auto"/>
            </w:pPr>
            <w:r/>
            <w:r>
              <w:rPr>
                <w:b w:val="0"/>
                <w:sz w:val="15"/>
              </w:rPr>
              <w:t>1-2</w:t>
            </w:r>
          </w:p>
        </w:tc>
        <w:tc>
          <w:tcPr>
            <w:tcW w:type="dxa" w:w="1506"/>
            <w:vAlign w:val="top"/>
          </w:tcPr>
          <w:p>
            <w:pPr>
              <w:spacing w:after="0" w:line="240" w:lineRule="auto"/>
            </w:pPr>
            <w:r/>
            <w:r>
              <w:rPr>
                <w:b w:val="0"/>
                <w:sz w:val="15"/>
              </w:rPr>
              <w:t>Review</w:t>
            </w:r>
          </w:p>
        </w:tc>
        <w:tc>
          <w:tcPr>
            <w:tcW w:type="dxa" w:w="1506"/>
            <w:vAlign w:val="top"/>
          </w:tcPr>
          <w:p>
            <w:pPr>
              <w:spacing w:after="0" w:line="240" w:lineRule="auto"/>
            </w:pPr>
            <w:r/>
            <w:r>
              <w:rPr>
                <w:b w:val="0"/>
                <w:sz w:val="15"/>
              </w:rPr>
              <w:t>Watch / reasonableness required</w:t>
            </w:r>
          </w:p>
        </w:tc>
        <w:tc>
          <w:tcPr>
            <w:tcW w:type="dxa" w:w="1506"/>
            <w:vAlign w:val="top"/>
          </w:tcPr>
          <w:p>
            <w:pPr>
              <w:spacing w:after="0" w:line="240" w:lineRule="auto"/>
            </w:pPr>
            <w:r/>
            <w:r>
              <w:rPr>
                <w:b w:val="0"/>
                <w:sz w:val="15"/>
              </w:rPr>
              <w:t>YES</w:t>
            </w:r>
          </w:p>
        </w:tc>
      </w:tr>
      <w:tr>
        <w:tc>
          <w:tcPr>
            <w:tcW w:type="dxa" w:w="1506"/>
            <w:vAlign w:val="top"/>
          </w:tcPr>
          <w:p>
            <w:pPr>
              <w:spacing w:after="0" w:line="240" w:lineRule="auto"/>
            </w:pPr>
            <w:r/>
            <w:r>
              <w:rPr>
                <w:b w:val="0"/>
                <w:sz w:val="15"/>
              </w:rPr>
              <w:t>EBIT</w:t>
            </w:r>
          </w:p>
        </w:tc>
        <w:tc>
          <w:tcPr>
            <w:tcW w:type="dxa" w:w="1506"/>
            <w:vAlign w:val="top"/>
          </w:tcPr>
          <w:p>
            <w:pPr>
              <w:spacing w:after="0" w:line="240" w:lineRule="auto"/>
            </w:pPr>
            <w:r/>
            <w:r>
              <w:rPr>
                <w:b w:val="0"/>
                <w:sz w:val="15"/>
              </w:rPr>
              <w:t>&gt;=5</w:t>
            </w:r>
          </w:p>
        </w:tc>
        <w:tc>
          <w:tcPr>
            <w:tcW w:type="dxa" w:w="1506"/>
            <w:vAlign w:val="top"/>
          </w:tcPr>
          <w:p>
            <w:pPr>
              <w:spacing w:after="0" w:line="240" w:lineRule="auto"/>
            </w:pPr>
            <w:r/>
            <w:r>
              <w:rPr>
                <w:b w:val="0"/>
                <w:sz w:val="15"/>
              </w:rPr>
              <w:t>3-4</w:t>
            </w:r>
          </w:p>
        </w:tc>
        <w:tc>
          <w:tcPr>
            <w:tcW w:type="dxa" w:w="1506"/>
            <w:vAlign w:val="top"/>
          </w:tcPr>
          <w:p>
            <w:pPr>
              <w:spacing w:after="0" w:line="240" w:lineRule="auto"/>
            </w:pPr>
            <w:r/>
            <w:r>
              <w:rPr>
                <w:b w:val="0"/>
                <w:sz w:val="15"/>
              </w:rPr>
              <w:t>1-2</w:t>
            </w:r>
          </w:p>
        </w:tc>
        <w:tc>
          <w:tcPr>
            <w:tcW w:type="dxa" w:w="1506"/>
            <w:vAlign w:val="top"/>
          </w:tcPr>
          <w:p>
            <w:pPr>
              <w:spacing w:after="0" w:line="240" w:lineRule="auto"/>
            </w:pPr>
            <w:r/>
            <w:r>
              <w:rPr>
                <w:b w:val="0"/>
                <w:sz w:val="15"/>
              </w:rPr>
              <w:t>Review</w:t>
            </w:r>
          </w:p>
        </w:tc>
        <w:tc>
          <w:tcPr>
            <w:tcW w:type="dxa" w:w="1506"/>
            <w:vAlign w:val="top"/>
          </w:tcPr>
          <w:p>
            <w:pPr>
              <w:spacing w:after="0" w:line="240" w:lineRule="auto"/>
            </w:pPr>
            <w:r/>
            <w:r>
              <w:rPr>
                <w:b w:val="0"/>
                <w:sz w:val="15"/>
              </w:rPr>
              <w:t>Watch / margin check required</w:t>
            </w:r>
          </w:p>
        </w:tc>
        <w:tc>
          <w:tcPr>
            <w:tcW w:type="dxa" w:w="1506"/>
            <w:vAlign w:val="top"/>
          </w:tcPr>
          <w:p>
            <w:pPr>
              <w:spacing w:after="0" w:line="240" w:lineRule="auto"/>
            </w:pPr>
            <w:r/>
            <w:r>
              <w:rPr>
                <w:b w:val="0"/>
                <w:sz w:val="15"/>
              </w:rPr>
              <w:t>YES</w:t>
            </w:r>
          </w:p>
        </w:tc>
      </w:tr>
      <w:tr>
        <w:tc>
          <w:tcPr>
            <w:tcW w:type="dxa" w:w="1506"/>
            <w:vAlign w:val="top"/>
          </w:tcPr>
          <w:p>
            <w:pPr>
              <w:spacing w:after="0" w:line="240" w:lineRule="auto"/>
            </w:pPr>
            <w:r/>
            <w:r>
              <w:rPr>
                <w:b w:val="0"/>
                <w:sz w:val="15"/>
              </w:rPr>
              <w:t>EBITDA</w:t>
            </w:r>
          </w:p>
        </w:tc>
        <w:tc>
          <w:tcPr>
            <w:tcW w:type="dxa" w:w="1506"/>
            <w:vAlign w:val="top"/>
          </w:tcPr>
          <w:p>
            <w:pPr>
              <w:spacing w:after="0" w:line="240" w:lineRule="auto"/>
            </w:pPr>
            <w:r/>
            <w:r>
              <w:rPr>
                <w:b w:val="0"/>
                <w:sz w:val="15"/>
              </w:rPr>
              <w:t>&gt;=5</w:t>
            </w:r>
          </w:p>
        </w:tc>
        <w:tc>
          <w:tcPr>
            <w:tcW w:type="dxa" w:w="1506"/>
            <w:vAlign w:val="top"/>
          </w:tcPr>
          <w:p>
            <w:pPr>
              <w:spacing w:after="0" w:line="240" w:lineRule="auto"/>
            </w:pPr>
            <w:r/>
            <w:r>
              <w:rPr>
                <w:b w:val="0"/>
                <w:sz w:val="15"/>
              </w:rPr>
              <w:t>3-4</w:t>
            </w:r>
          </w:p>
        </w:tc>
        <w:tc>
          <w:tcPr>
            <w:tcW w:type="dxa" w:w="1506"/>
            <w:vAlign w:val="top"/>
          </w:tcPr>
          <w:p>
            <w:pPr>
              <w:spacing w:after="0" w:line="240" w:lineRule="auto"/>
            </w:pPr>
            <w:r/>
            <w:r>
              <w:rPr>
                <w:b w:val="0"/>
                <w:sz w:val="15"/>
              </w:rPr>
              <w:t>1-2</w:t>
            </w:r>
          </w:p>
        </w:tc>
        <w:tc>
          <w:tcPr>
            <w:tcW w:type="dxa" w:w="1506"/>
            <w:vAlign w:val="top"/>
          </w:tcPr>
          <w:p>
            <w:pPr>
              <w:spacing w:after="0" w:line="240" w:lineRule="auto"/>
            </w:pPr>
            <w:r/>
            <w:r>
              <w:rPr>
                <w:b w:val="0"/>
                <w:sz w:val="15"/>
              </w:rPr>
              <w:t>Optional</w:t>
            </w:r>
          </w:p>
        </w:tc>
        <w:tc>
          <w:tcPr>
            <w:tcW w:type="dxa" w:w="1506"/>
            <w:vAlign w:val="top"/>
          </w:tcPr>
          <w:p>
            <w:pPr>
              <w:spacing w:after="0" w:line="240" w:lineRule="auto"/>
            </w:pPr>
            <w:r/>
            <w:r>
              <w:rPr>
                <w:b w:val="0"/>
                <w:sz w:val="15"/>
              </w:rPr>
              <w:t>Reference only</w:t>
            </w:r>
          </w:p>
        </w:tc>
        <w:tc>
          <w:tcPr>
            <w:tcW w:type="dxa" w:w="1506"/>
            <w:vAlign w:val="top"/>
          </w:tcPr>
          <w:p>
            <w:pPr>
              <w:spacing w:after="0" w:line="240" w:lineRule="auto"/>
            </w:pPr>
            <w:r/>
            <w:r>
              <w:rPr>
                <w:b w:val="0"/>
                <w:sz w:val="15"/>
              </w:rPr>
              <w:t>YES</w:t>
            </w:r>
          </w:p>
        </w:tc>
      </w:tr>
      <w:tr>
        <w:tc>
          <w:tcPr>
            <w:tcW w:type="dxa" w:w="1506"/>
            <w:vAlign w:val="top"/>
          </w:tcPr>
          <w:p>
            <w:pPr>
              <w:spacing w:after="0" w:line="240" w:lineRule="auto"/>
            </w:pPr>
            <w:r/>
            <w:r>
              <w:rPr>
                <w:b w:val="0"/>
                <w:sz w:val="15"/>
              </w:rPr>
              <w:t>EPS</w:t>
            </w:r>
          </w:p>
        </w:tc>
        <w:tc>
          <w:tcPr>
            <w:tcW w:type="dxa" w:w="1506"/>
            <w:vAlign w:val="top"/>
          </w:tcPr>
          <w:p>
            <w:pPr>
              <w:spacing w:after="0" w:line="240" w:lineRule="auto"/>
            </w:pPr>
            <w:r/>
            <w:r>
              <w:rPr>
                <w:b w:val="0"/>
                <w:sz w:val="15"/>
              </w:rPr>
              <w:t>&gt;=5</w:t>
            </w:r>
          </w:p>
        </w:tc>
        <w:tc>
          <w:tcPr>
            <w:tcW w:type="dxa" w:w="1506"/>
            <w:vAlign w:val="top"/>
          </w:tcPr>
          <w:p>
            <w:pPr>
              <w:spacing w:after="0" w:line="240" w:lineRule="auto"/>
            </w:pPr>
            <w:r/>
            <w:r>
              <w:rPr>
                <w:b w:val="0"/>
                <w:sz w:val="15"/>
              </w:rPr>
              <w:t>3-4</w:t>
            </w:r>
          </w:p>
        </w:tc>
        <w:tc>
          <w:tcPr>
            <w:tcW w:type="dxa" w:w="1506"/>
            <w:vAlign w:val="top"/>
          </w:tcPr>
          <w:p>
            <w:pPr>
              <w:spacing w:after="0" w:line="240" w:lineRule="auto"/>
            </w:pPr>
            <w:r/>
            <w:r>
              <w:rPr>
                <w:b w:val="0"/>
                <w:sz w:val="15"/>
              </w:rPr>
              <w:t>1-2</w:t>
            </w:r>
          </w:p>
        </w:tc>
        <w:tc>
          <w:tcPr>
            <w:tcW w:type="dxa" w:w="1506"/>
            <w:vAlign w:val="top"/>
          </w:tcPr>
          <w:p>
            <w:pPr>
              <w:spacing w:after="0" w:line="240" w:lineRule="auto"/>
            </w:pPr>
            <w:r/>
            <w:r>
              <w:rPr>
                <w:b w:val="0"/>
                <w:sz w:val="15"/>
              </w:rPr>
              <w:t>Optional</w:t>
            </w:r>
          </w:p>
        </w:tc>
        <w:tc>
          <w:tcPr>
            <w:tcW w:type="dxa" w:w="1506"/>
            <w:vAlign w:val="top"/>
          </w:tcPr>
          <w:p>
            <w:pPr>
              <w:spacing w:after="0" w:line="240" w:lineRule="auto"/>
            </w:pPr>
            <w:r/>
            <w:r>
              <w:rPr>
                <w:b w:val="0"/>
                <w:sz w:val="15"/>
              </w:rPr>
              <w:t>Reference only</w:t>
            </w:r>
          </w:p>
        </w:tc>
        <w:tc>
          <w:tcPr>
            <w:tcW w:type="dxa" w:w="1506"/>
            <w:vAlign w:val="top"/>
          </w:tcPr>
          <w:p>
            <w:pPr>
              <w:spacing w:after="0" w:line="240" w:lineRule="auto"/>
            </w:pPr>
            <w:r/>
            <w:r>
              <w:rPr>
                <w:b w:val="0"/>
                <w:sz w:val="15"/>
              </w:rPr>
              <w:t>YES</w:t>
            </w:r>
          </w:p>
        </w:tc>
      </w:tr>
      <w:tr>
        <w:tc>
          <w:tcPr>
            <w:tcW w:type="dxa" w:w="1506"/>
            <w:vAlign w:val="top"/>
          </w:tcPr>
          <w:p>
            <w:pPr>
              <w:spacing w:after="0" w:line="240" w:lineRule="auto"/>
            </w:pPr>
            <w:r/>
            <w:r>
              <w:rPr>
                <w:b w:val="0"/>
                <w:sz w:val="15"/>
              </w:rPr>
              <w:t>CapEx</w:t>
            </w:r>
          </w:p>
        </w:tc>
        <w:tc>
          <w:tcPr>
            <w:tcW w:type="dxa" w:w="1506"/>
            <w:vAlign w:val="top"/>
          </w:tcPr>
          <w:p>
            <w:pPr>
              <w:spacing w:after="0" w:line="240" w:lineRule="auto"/>
            </w:pPr>
            <w:r/>
            <w:r>
              <w:rPr>
                <w:b w:val="0"/>
                <w:sz w:val="15"/>
              </w:rPr>
              <w:t>&gt;=3</w:t>
            </w:r>
          </w:p>
        </w:tc>
        <w:tc>
          <w:tcPr>
            <w:tcW w:type="dxa" w:w="1506"/>
            <w:vAlign w:val="top"/>
          </w:tcPr>
          <w:p>
            <w:pPr>
              <w:spacing w:after="0" w:line="240" w:lineRule="auto"/>
            </w:pPr>
            <w:r/>
            <w:r>
              <w:rPr>
                <w:b w:val="0"/>
                <w:sz w:val="15"/>
              </w:rPr>
              <w:t>2</w:t>
            </w:r>
          </w:p>
        </w:tc>
        <w:tc>
          <w:tcPr>
            <w:tcW w:type="dxa" w:w="1506"/>
            <w:vAlign w:val="top"/>
          </w:tcPr>
          <w:p>
            <w:pPr>
              <w:spacing w:after="0" w:line="240" w:lineRule="auto"/>
            </w:pPr>
            <w:r/>
            <w:r>
              <w:rPr>
                <w:b w:val="0"/>
                <w:sz w:val="15"/>
              </w:rPr>
              <w:t>1</w:t>
            </w:r>
          </w:p>
        </w:tc>
        <w:tc>
          <w:tcPr>
            <w:tcW w:type="dxa" w:w="1506"/>
            <w:vAlign w:val="top"/>
          </w:tcPr>
          <w:p>
            <w:pPr>
              <w:spacing w:after="0" w:line="240" w:lineRule="auto"/>
            </w:pPr>
            <w:r/>
            <w:r>
              <w:rPr>
                <w:b w:val="0"/>
                <w:sz w:val="15"/>
              </w:rPr>
              <w:t>Optional</w:t>
            </w:r>
          </w:p>
        </w:tc>
        <w:tc>
          <w:tcPr>
            <w:tcW w:type="dxa" w:w="1506"/>
            <w:vAlign w:val="top"/>
          </w:tcPr>
          <w:p>
            <w:pPr>
              <w:spacing w:after="0" w:line="240" w:lineRule="auto"/>
            </w:pPr>
            <w:r/>
            <w:r>
              <w:rPr>
                <w:b w:val="0"/>
                <w:sz w:val="15"/>
              </w:rPr>
              <w:t>Use sales-to-capital if weak</w:t>
            </w:r>
          </w:p>
        </w:tc>
        <w:tc>
          <w:tcPr>
            <w:tcW w:type="dxa" w:w="1506"/>
            <w:vAlign w:val="top"/>
          </w:tcPr>
          <w:p>
            <w:pPr>
              <w:spacing w:after="0" w:line="240" w:lineRule="auto"/>
            </w:pPr>
            <w:r/>
            <w:r>
              <w:rPr>
                <w:b w:val="0"/>
                <w:sz w:val="15"/>
              </w:rPr>
              <w:t>YES</w:t>
            </w:r>
          </w:p>
        </w:tc>
      </w:tr>
      <w:tr>
        <w:tc>
          <w:tcPr>
            <w:tcW w:type="dxa" w:w="1506"/>
            <w:vAlign w:val="top"/>
          </w:tcPr>
          <w:p>
            <w:pPr>
              <w:spacing w:after="0" w:line="240" w:lineRule="auto"/>
            </w:pPr>
            <w:r/>
            <w:r>
              <w:rPr>
                <w:b w:val="0"/>
                <w:sz w:val="15"/>
              </w:rPr>
              <w:t>D&amp;A</w:t>
            </w:r>
          </w:p>
        </w:tc>
        <w:tc>
          <w:tcPr>
            <w:tcW w:type="dxa" w:w="1506"/>
            <w:vAlign w:val="top"/>
          </w:tcPr>
          <w:p>
            <w:pPr>
              <w:spacing w:after="0" w:line="240" w:lineRule="auto"/>
            </w:pPr>
            <w:r/>
            <w:r>
              <w:rPr>
                <w:b w:val="0"/>
                <w:sz w:val="15"/>
              </w:rPr>
              <w:t>&gt;=3</w:t>
            </w:r>
          </w:p>
        </w:tc>
        <w:tc>
          <w:tcPr>
            <w:tcW w:type="dxa" w:w="1506"/>
            <w:vAlign w:val="top"/>
          </w:tcPr>
          <w:p>
            <w:pPr>
              <w:spacing w:after="0" w:line="240" w:lineRule="auto"/>
            </w:pPr>
            <w:r/>
            <w:r>
              <w:rPr>
                <w:b w:val="0"/>
                <w:sz w:val="15"/>
              </w:rPr>
              <w:t>2</w:t>
            </w:r>
          </w:p>
        </w:tc>
        <w:tc>
          <w:tcPr>
            <w:tcW w:type="dxa" w:w="1506"/>
            <w:vAlign w:val="top"/>
          </w:tcPr>
          <w:p>
            <w:pPr>
              <w:spacing w:after="0" w:line="240" w:lineRule="auto"/>
            </w:pPr>
            <w:r/>
            <w:r>
              <w:rPr>
                <w:b w:val="0"/>
                <w:sz w:val="15"/>
              </w:rPr>
              <w:t>1</w:t>
            </w:r>
          </w:p>
        </w:tc>
        <w:tc>
          <w:tcPr>
            <w:tcW w:type="dxa" w:w="1506"/>
            <w:vAlign w:val="top"/>
          </w:tcPr>
          <w:p>
            <w:pPr>
              <w:spacing w:after="0" w:line="240" w:lineRule="auto"/>
            </w:pPr>
            <w:r/>
            <w:r>
              <w:rPr>
                <w:b w:val="0"/>
                <w:sz w:val="15"/>
              </w:rPr>
              <w:t>Optional</w:t>
            </w:r>
          </w:p>
        </w:tc>
        <w:tc>
          <w:tcPr>
            <w:tcW w:type="dxa" w:w="1506"/>
            <w:vAlign w:val="top"/>
          </w:tcPr>
          <w:p>
            <w:pPr>
              <w:spacing w:after="0" w:line="240" w:lineRule="auto"/>
            </w:pPr>
            <w:r/>
            <w:r>
              <w:rPr>
                <w:b w:val="0"/>
                <w:sz w:val="15"/>
              </w:rPr>
              <w:t>Use historical ratio if weak</w:t>
            </w:r>
          </w:p>
        </w:tc>
        <w:tc>
          <w:tcPr>
            <w:tcW w:type="dxa" w:w="1506"/>
            <w:vAlign w:val="top"/>
          </w:tcPr>
          <w:p>
            <w:pPr>
              <w:spacing w:after="0" w:line="240" w:lineRule="auto"/>
            </w:pPr>
            <w:r/>
            <w:r>
              <w:rPr>
                <w:b w:val="0"/>
                <w:sz w:val="15"/>
              </w:rPr>
              <w:t>YES</w:t>
            </w:r>
          </w:p>
        </w:tc>
      </w:tr>
    </w:tbl>
    <w:p/>
    <w:p>
      <w:pPr>
        <w:pStyle w:val="TableTitle"/>
      </w:pPr>
      <w:r>
        <w:rPr>
          <w:b/>
        </w:rPr>
        <w:t>Table - tblAnchorApprovalRules</w:t>
      </w:r>
    </w:p>
    <w:p>
      <w:pPr>
        <w:pStyle w:val="TablePurpose"/>
      </w:pPr>
      <w:r>
        <w:t>Approval rules for Y+1 to Y+5 anchors.</w:t>
      </w:r>
    </w:p>
    <w:tbl>
      <w:tblPr>
        <w:tblStyle w:val="TableGrid"/>
        <w:tblW w:type="auto" w:w="0"/>
        <w:jc w:val="center"/>
        <w:tblLayout w:type="autofit"/>
        <w:tblLook w:firstColumn="1" w:firstRow="1" w:lastColumn="0" w:lastRow="0" w:noHBand="0" w:noVBand="1" w:val="04A0"/>
      </w:tblPr>
      <w:tblGrid>
        <w:gridCol w:w="1317"/>
        <w:gridCol w:w="1317"/>
        <w:gridCol w:w="1317"/>
        <w:gridCol w:w="1317"/>
        <w:gridCol w:w="1317"/>
        <w:gridCol w:w="1317"/>
        <w:gridCol w:w="1317"/>
        <w:gridCol w:w="1317"/>
      </w:tblGrid>
      <w:tr>
        <w:tc>
          <w:tcPr>
            <w:tcW w:type="dxa" w:w="1317"/>
            <w:vAlign w:val="top"/>
            <w:shd w:fill="D9EAF7"/>
          </w:tcPr>
          <w:p>
            <w:pPr>
              <w:spacing w:after="0" w:line="240" w:lineRule="auto"/>
            </w:pPr>
            <w:r/>
            <w:r>
              <w:rPr>
                <w:b/>
                <w:sz w:val="16"/>
              </w:rPr>
              <w:t>Rule ID</w:t>
            </w:r>
          </w:p>
        </w:tc>
        <w:tc>
          <w:tcPr>
            <w:tcW w:type="dxa" w:w="1317"/>
            <w:vAlign w:val="top"/>
            <w:shd w:fill="D9EAF7"/>
          </w:tcPr>
          <w:p>
            <w:pPr>
              <w:spacing w:after="0" w:line="240" w:lineRule="auto"/>
            </w:pPr>
            <w:r/>
            <w:r>
              <w:rPr>
                <w:b/>
                <w:sz w:val="16"/>
              </w:rPr>
              <w:t>Year Group</w:t>
            </w:r>
          </w:p>
        </w:tc>
        <w:tc>
          <w:tcPr>
            <w:tcW w:type="dxa" w:w="1317"/>
            <w:vAlign w:val="top"/>
            <w:shd w:fill="D9EAF7"/>
          </w:tcPr>
          <w:p>
            <w:pPr>
              <w:spacing w:after="0" w:line="240" w:lineRule="auto"/>
            </w:pPr>
            <w:r/>
            <w:r>
              <w:rPr>
                <w:b/>
                <w:sz w:val="16"/>
              </w:rPr>
              <w:t>Required Metrics</w:t>
            </w:r>
          </w:p>
        </w:tc>
        <w:tc>
          <w:tcPr>
            <w:tcW w:type="dxa" w:w="1317"/>
            <w:vAlign w:val="top"/>
            <w:shd w:fill="D9EAF7"/>
          </w:tcPr>
          <w:p>
            <w:pPr>
              <w:spacing w:after="0" w:line="240" w:lineRule="auto"/>
            </w:pPr>
            <w:r/>
            <w:r>
              <w:rPr>
                <w:b/>
                <w:sz w:val="16"/>
              </w:rPr>
              <w:t>Analyst Count Requirement</w:t>
            </w:r>
          </w:p>
        </w:tc>
        <w:tc>
          <w:tcPr>
            <w:tcW w:type="dxa" w:w="1317"/>
            <w:vAlign w:val="top"/>
            <w:shd w:fill="D9EAF7"/>
          </w:tcPr>
          <w:p>
            <w:pPr>
              <w:spacing w:after="0" w:line="240" w:lineRule="auto"/>
            </w:pPr>
            <w:r/>
            <w:r>
              <w:rPr>
                <w:b/>
                <w:sz w:val="16"/>
              </w:rPr>
              <w:t>Reasonableness Requirement</w:t>
            </w:r>
          </w:p>
        </w:tc>
        <w:tc>
          <w:tcPr>
            <w:tcW w:type="dxa" w:w="1317"/>
            <w:vAlign w:val="top"/>
            <w:shd w:fill="D9EAF7"/>
          </w:tcPr>
          <w:p>
            <w:pPr>
              <w:spacing w:after="0" w:line="240" w:lineRule="auto"/>
            </w:pPr>
            <w:r/>
            <w:r>
              <w:rPr>
                <w:b/>
                <w:sz w:val="16"/>
              </w:rPr>
              <w:t>If Pass</w:t>
            </w:r>
          </w:p>
        </w:tc>
        <w:tc>
          <w:tcPr>
            <w:tcW w:type="dxa" w:w="1317"/>
            <w:vAlign w:val="top"/>
            <w:shd w:fill="D9EAF7"/>
          </w:tcPr>
          <w:p>
            <w:pPr>
              <w:spacing w:after="0" w:line="240" w:lineRule="auto"/>
            </w:pPr>
            <w:r/>
            <w:r>
              <w:rPr>
                <w:b/>
                <w:sz w:val="16"/>
              </w:rPr>
              <w:t>If Partial Pass</w:t>
            </w:r>
          </w:p>
        </w:tc>
        <w:tc>
          <w:tcPr>
            <w:tcW w:type="dxa" w:w="1317"/>
            <w:vAlign w:val="top"/>
            <w:shd w:fill="D9EAF7"/>
          </w:tcPr>
          <w:p>
            <w:pPr>
              <w:spacing w:after="0" w:line="240" w:lineRule="auto"/>
            </w:pPr>
            <w:r/>
            <w:r>
              <w:rPr>
                <w:b/>
                <w:sz w:val="16"/>
              </w:rPr>
              <w:t>If Fail</w:t>
            </w:r>
          </w:p>
        </w:tc>
      </w:tr>
      <w:tr>
        <w:tc>
          <w:tcPr>
            <w:tcW w:type="dxa" w:w="1317"/>
            <w:vAlign w:val="top"/>
          </w:tcPr>
          <w:p>
            <w:pPr>
              <w:spacing w:after="0" w:line="240" w:lineRule="auto"/>
            </w:pPr>
            <w:r/>
            <w:r>
              <w:rPr>
                <w:b w:val="0"/>
                <w:sz w:val="15"/>
              </w:rPr>
              <w:t>FR-ANCHOR-001</w:t>
            </w:r>
          </w:p>
        </w:tc>
        <w:tc>
          <w:tcPr>
            <w:tcW w:type="dxa" w:w="1317"/>
            <w:vAlign w:val="top"/>
          </w:tcPr>
          <w:p>
            <w:pPr>
              <w:spacing w:after="0" w:line="240" w:lineRule="auto"/>
            </w:pPr>
            <w:r/>
            <w:r>
              <w:rPr>
                <w:b w:val="0"/>
                <w:sz w:val="15"/>
              </w:rPr>
              <w:t>Y+1 to Y+3</w:t>
            </w:r>
          </w:p>
        </w:tc>
        <w:tc>
          <w:tcPr>
            <w:tcW w:type="dxa" w:w="1317"/>
            <w:vAlign w:val="top"/>
          </w:tcPr>
          <w:p>
            <w:pPr>
              <w:spacing w:after="0" w:line="240" w:lineRule="auto"/>
            </w:pPr>
            <w:r/>
            <w:r>
              <w:rPr>
                <w:b w:val="0"/>
                <w:sz w:val="15"/>
              </w:rPr>
              <w:t>Revenue + EBIT</w:t>
            </w:r>
          </w:p>
        </w:tc>
        <w:tc>
          <w:tcPr>
            <w:tcW w:type="dxa" w:w="1317"/>
            <w:vAlign w:val="top"/>
          </w:tcPr>
          <w:p>
            <w:pPr>
              <w:spacing w:after="0" w:line="240" w:lineRule="auto"/>
            </w:pPr>
            <w:r/>
            <w:r>
              <w:rPr>
                <w:b w:val="0"/>
                <w:sz w:val="15"/>
              </w:rPr>
              <w:t>Revenue and EBIT acceptable</w:t>
            </w:r>
          </w:p>
        </w:tc>
        <w:tc>
          <w:tcPr>
            <w:tcW w:type="dxa" w:w="1317"/>
            <w:vAlign w:val="top"/>
          </w:tcPr>
          <w:p>
            <w:pPr>
              <w:spacing w:after="0" w:line="240" w:lineRule="auto"/>
            </w:pPr>
            <w:r/>
            <w:r>
              <w:rPr>
                <w:b w:val="0"/>
                <w:sz w:val="15"/>
              </w:rPr>
              <w:t>Growth/margin reasonable</w:t>
            </w:r>
          </w:p>
        </w:tc>
        <w:tc>
          <w:tcPr>
            <w:tcW w:type="dxa" w:w="1317"/>
            <w:vAlign w:val="top"/>
          </w:tcPr>
          <w:p>
            <w:pPr>
              <w:spacing w:after="0" w:line="240" w:lineRule="auto"/>
            </w:pPr>
            <w:r/>
            <w:r>
              <w:rPr>
                <w:b w:val="0"/>
                <w:sz w:val="15"/>
              </w:rPr>
              <w:t>Anchor</w:t>
            </w:r>
          </w:p>
        </w:tc>
        <w:tc>
          <w:tcPr>
            <w:tcW w:type="dxa" w:w="1317"/>
            <w:vAlign w:val="top"/>
          </w:tcPr>
          <w:p>
            <w:pPr>
              <w:spacing w:after="0" w:line="240" w:lineRule="auto"/>
            </w:pPr>
            <w:r/>
            <w:r>
              <w:rPr>
                <w:b w:val="0"/>
                <w:sz w:val="15"/>
              </w:rPr>
              <w:t>Anchor with Watch</w:t>
            </w:r>
          </w:p>
        </w:tc>
        <w:tc>
          <w:tcPr>
            <w:tcW w:type="dxa" w:w="1317"/>
            <w:vAlign w:val="top"/>
          </w:tcPr>
          <w:p>
            <w:pPr>
              <w:spacing w:after="0" w:line="240" w:lineRule="auto"/>
            </w:pPr>
            <w:r/>
            <w:r>
              <w:rPr>
                <w:b w:val="0"/>
                <w:sz w:val="15"/>
              </w:rPr>
              <w:t>Model forecast</w:t>
            </w:r>
          </w:p>
        </w:tc>
      </w:tr>
      <w:tr>
        <w:tc>
          <w:tcPr>
            <w:tcW w:type="dxa" w:w="1317"/>
            <w:vAlign w:val="top"/>
          </w:tcPr>
          <w:p>
            <w:pPr>
              <w:spacing w:after="0" w:line="240" w:lineRule="auto"/>
            </w:pPr>
            <w:r/>
            <w:r>
              <w:rPr>
                <w:b w:val="0"/>
                <w:sz w:val="15"/>
              </w:rPr>
              <w:t>FR-ANCHOR-002</w:t>
            </w:r>
          </w:p>
        </w:tc>
        <w:tc>
          <w:tcPr>
            <w:tcW w:type="dxa" w:w="1317"/>
            <w:vAlign w:val="top"/>
          </w:tcPr>
          <w:p>
            <w:pPr>
              <w:spacing w:after="0" w:line="240" w:lineRule="auto"/>
            </w:pPr>
            <w:r/>
            <w:r>
              <w:rPr>
                <w:b w:val="0"/>
                <w:sz w:val="15"/>
              </w:rPr>
              <w:t>Y+4</w:t>
            </w:r>
          </w:p>
        </w:tc>
        <w:tc>
          <w:tcPr>
            <w:tcW w:type="dxa" w:w="1317"/>
            <w:vAlign w:val="top"/>
          </w:tcPr>
          <w:p>
            <w:pPr>
              <w:spacing w:after="0" w:line="240" w:lineRule="auto"/>
            </w:pPr>
            <w:r/>
            <w:r>
              <w:rPr>
                <w:b w:val="0"/>
                <w:sz w:val="15"/>
              </w:rPr>
              <w:t>Revenue + EBIT</w:t>
            </w:r>
          </w:p>
        </w:tc>
        <w:tc>
          <w:tcPr>
            <w:tcW w:type="dxa" w:w="1317"/>
            <w:vAlign w:val="top"/>
          </w:tcPr>
          <w:p>
            <w:pPr>
              <w:spacing w:after="0" w:line="240" w:lineRule="auto"/>
            </w:pPr>
            <w:r/>
            <w:r>
              <w:rPr>
                <w:b w:val="0"/>
                <w:sz w:val="15"/>
              </w:rPr>
              <w:t>Acceptable preferred</w:t>
            </w:r>
          </w:p>
        </w:tc>
        <w:tc>
          <w:tcPr>
            <w:tcW w:type="dxa" w:w="1317"/>
            <w:vAlign w:val="top"/>
          </w:tcPr>
          <w:p>
            <w:pPr>
              <w:spacing w:after="0" w:line="240" w:lineRule="auto"/>
            </w:pPr>
            <w:r/>
            <w:r>
              <w:rPr>
                <w:b w:val="0"/>
                <w:sz w:val="15"/>
              </w:rPr>
              <w:t>Strong reasonableness required</w:t>
            </w:r>
          </w:p>
        </w:tc>
        <w:tc>
          <w:tcPr>
            <w:tcW w:type="dxa" w:w="1317"/>
            <w:vAlign w:val="top"/>
          </w:tcPr>
          <w:p>
            <w:pPr>
              <w:spacing w:after="0" w:line="240" w:lineRule="auto"/>
            </w:pPr>
            <w:r/>
            <w:r>
              <w:rPr>
                <w:b w:val="0"/>
                <w:sz w:val="15"/>
              </w:rPr>
              <w:t>Optional Anchor</w:t>
            </w:r>
          </w:p>
        </w:tc>
        <w:tc>
          <w:tcPr>
            <w:tcW w:type="dxa" w:w="1317"/>
            <w:vAlign w:val="top"/>
          </w:tcPr>
          <w:p>
            <w:pPr>
              <w:spacing w:after="0" w:line="240" w:lineRule="auto"/>
            </w:pPr>
            <w:r/>
            <w:r>
              <w:rPr>
                <w:b w:val="0"/>
                <w:sz w:val="15"/>
              </w:rPr>
              <w:t>Reference only</w:t>
            </w:r>
          </w:p>
        </w:tc>
        <w:tc>
          <w:tcPr>
            <w:tcW w:type="dxa" w:w="1317"/>
            <w:vAlign w:val="top"/>
          </w:tcPr>
          <w:p>
            <w:pPr>
              <w:spacing w:after="0" w:line="240" w:lineRule="auto"/>
            </w:pPr>
            <w:r/>
            <w:r>
              <w:rPr>
                <w:b w:val="0"/>
                <w:sz w:val="15"/>
              </w:rPr>
              <w:t>Exclude</w:t>
            </w:r>
          </w:p>
        </w:tc>
      </w:tr>
      <w:tr>
        <w:tc>
          <w:tcPr>
            <w:tcW w:type="dxa" w:w="1317"/>
            <w:vAlign w:val="top"/>
          </w:tcPr>
          <w:p>
            <w:pPr>
              <w:spacing w:after="0" w:line="240" w:lineRule="auto"/>
            </w:pPr>
            <w:r/>
            <w:r>
              <w:rPr>
                <w:b w:val="0"/>
                <w:sz w:val="15"/>
              </w:rPr>
              <w:t>FR-ANCHOR-003</w:t>
            </w:r>
          </w:p>
        </w:tc>
        <w:tc>
          <w:tcPr>
            <w:tcW w:type="dxa" w:w="1317"/>
            <w:vAlign w:val="top"/>
          </w:tcPr>
          <w:p>
            <w:pPr>
              <w:spacing w:after="0" w:line="240" w:lineRule="auto"/>
            </w:pPr>
            <w:r/>
            <w:r>
              <w:rPr>
                <w:b w:val="0"/>
                <w:sz w:val="15"/>
              </w:rPr>
              <w:t>Y+5</w:t>
            </w:r>
          </w:p>
        </w:tc>
        <w:tc>
          <w:tcPr>
            <w:tcW w:type="dxa" w:w="1317"/>
            <w:vAlign w:val="top"/>
          </w:tcPr>
          <w:p>
            <w:pPr>
              <w:spacing w:after="0" w:line="240" w:lineRule="auto"/>
            </w:pPr>
            <w:r/>
            <w:r>
              <w:rPr>
                <w:b w:val="0"/>
                <w:sz w:val="15"/>
              </w:rPr>
              <w:t>Revenue + EBIT</w:t>
            </w:r>
          </w:p>
        </w:tc>
        <w:tc>
          <w:tcPr>
            <w:tcW w:type="dxa" w:w="1317"/>
            <w:vAlign w:val="top"/>
          </w:tcPr>
          <w:p>
            <w:pPr>
              <w:spacing w:after="0" w:line="240" w:lineRule="auto"/>
            </w:pPr>
            <w:r/>
            <w:r>
              <w:rPr>
                <w:b w:val="0"/>
                <w:sz w:val="15"/>
              </w:rPr>
              <w:t>Strong preferred</w:t>
            </w:r>
          </w:p>
        </w:tc>
        <w:tc>
          <w:tcPr>
            <w:tcW w:type="dxa" w:w="1317"/>
            <w:vAlign w:val="top"/>
          </w:tcPr>
          <w:p>
            <w:pPr>
              <w:spacing w:after="0" w:line="240" w:lineRule="auto"/>
            </w:pPr>
            <w:r/>
            <w:r>
              <w:rPr>
                <w:b w:val="0"/>
                <w:sz w:val="15"/>
              </w:rPr>
              <w:t>Strong reasonableness required</w:t>
            </w:r>
          </w:p>
        </w:tc>
        <w:tc>
          <w:tcPr>
            <w:tcW w:type="dxa" w:w="1317"/>
            <w:vAlign w:val="top"/>
          </w:tcPr>
          <w:p>
            <w:pPr>
              <w:spacing w:after="0" w:line="240" w:lineRule="auto"/>
            </w:pPr>
            <w:r/>
            <w:r>
              <w:rPr>
                <w:b w:val="0"/>
                <w:sz w:val="15"/>
              </w:rPr>
              <w:t>Optional Anchor</w:t>
            </w:r>
          </w:p>
        </w:tc>
        <w:tc>
          <w:tcPr>
            <w:tcW w:type="dxa" w:w="1317"/>
            <w:vAlign w:val="top"/>
          </w:tcPr>
          <w:p>
            <w:pPr>
              <w:spacing w:after="0" w:line="240" w:lineRule="auto"/>
            </w:pPr>
            <w:r/>
            <w:r>
              <w:rPr>
                <w:b w:val="0"/>
                <w:sz w:val="15"/>
              </w:rPr>
              <w:t>Reference only</w:t>
            </w:r>
          </w:p>
        </w:tc>
        <w:tc>
          <w:tcPr>
            <w:tcW w:type="dxa" w:w="1317"/>
            <w:vAlign w:val="top"/>
          </w:tcPr>
          <w:p>
            <w:pPr>
              <w:spacing w:after="0" w:line="240" w:lineRule="auto"/>
            </w:pPr>
            <w:r/>
            <w:r>
              <w:rPr>
                <w:b w:val="0"/>
                <w:sz w:val="15"/>
              </w:rPr>
              <w:t>Exclude</w:t>
            </w:r>
          </w:p>
        </w:tc>
      </w:tr>
      <w:tr>
        <w:tc>
          <w:tcPr>
            <w:tcW w:type="dxa" w:w="1317"/>
            <w:vAlign w:val="top"/>
          </w:tcPr>
          <w:p>
            <w:pPr>
              <w:spacing w:after="0" w:line="240" w:lineRule="auto"/>
            </w:pPr>
            <w:r/>
            <w:r>
              <w:rPr>
                <w:b w:val="0"/>
                <w:sz w:val="15"/>
              </w:rPr>
              <w:t>FR-ANCHOR-004</w:t>
            </w:r>
          </w:p>
        </w:tc>
        <w:tc>
          <w:tcPr>
            <w:tcW w:type="dxa" w:w="1317"/>
            <w:vAlign w:val="top"/>
          </w:tcPr>
          <w:p>
            <w:pPr>
              <w:spacing w:after="0" w:line="240" w:lineRule="auto"/>
            </w:pPr>
            <w:r/>
            <w:r>
              <w:rPr>
                <w:b w:val="0"/>
                <w:sz w:val="15"/>
              </w:rPr>
              <w:t>Y+5 strong but Y+4 weak</w:t>
            </w:r>
          </w:p>
        </w:tc>
        <w:tc>
          <w:tcPr>
            <w:tcW w:type="dxa" w:w="1317"/>
            <w:vAlign w:val="top"/>
          </w:tcPr>
          <w:p>
            <w:pPr>
              <w:spacing w:after="0" w:line="240" w:lineRule="auto"/>
            </w:pPr>
            <w:r/>
            <w:r>
              <w:rPr>
                <w:b w:val="0"/>
                <w:sz w:val="15"/>
              </w:rPr>
              <w:t>Revenue + EBIT</w:t>
            </w:r>
          </w:p>
        </w:tc>
        <w:tc>
          <w:tcPr>
            <w:tcW w:type="dxa" w:w="1317"/>
            <w:vAlign w:val="top"/>
          </w:tcPr>
          <w:p>
            <w:pPr>
              <w:spacing w:after="0" w:line="240" w:lineRule="auto"/>
            </w:pPr>
            <w:r/>
            <w:r>
              <w:rPr>
                <w:b w:val="0"/>
                <w:sz w:val="15"/>
              </w:rPr>
              <w:t>Strong Y+5 but weak Y+4</w:t>
            </w:r>
          </w:p>
        </w:tc>
        <w:tc>
          <w:tcPr>
            <w:tcW w:type="dxa" w:w="1317"/>
            <w:vAlign w:val="top"/>
          </w:tcPr>
          <w:p>
            <w:pPr>
              <w:spacing w:after="0" w:line="240" w:lineRule="auto"/>
            </w:pPr>
            <w:r/>
            <w:r>
              <w:rPr>
                <w:b w:val="0"/>
                <w:sz w:val="15"/>
              </w:rPr>
              <w:t>Sequence inconsistent</w:t>
            </w:r>
          </w:p>
        </w:tc>
        <w:tc>
          <w:tcPr>
            <w:tcW w:type="dxa" w:w="1317"/>
            <w:vAlign w:val="top"/>
          </w:tcPr>
          <w:p>
            <w:pPr>
              <w:spacing w:after="0" w:line="240" w:lineRule="auto"/>
            </w:pPr>
            <w:r/>
            <w:r>
              <w:rPr>
                <w:b w:val="0"/>
                <w:sz w:val="15"/>
              </w:rPr>
              <w:t>Reference only</w:t>
            </w:r>
          </w:p>
        </w:tc>
        <w:tc>
          <w:tcPr>
            <w:tcW w:type="dxa" w:w="1317"/>
            <w:vAlign w:val="top"/>
          </w:tcPr>
          <w:p>
            <w:pPr>
              <w:spacing w:after="0" w:line="240" w:lineRule="auto"/>
            </w:pPr>
            <w:r/>
            <w:r>
              <w:rPr>
                <w:b w:val="0"/>
                <w:sz w:val="15"/>
              </w:rPr>
              <w:t>Reference only</w:t>
            </w:r>
          </w:p>
        </w:tc>
        <w:tc>
          <w:tcPr>
            <w:tcW w:type="dxa" w:w="1317"/>
            <w:vAlign w:val="top"/>
          </w:tcPr>
          <w:p>
            <w:pPr>
              <w:spacing w:after="0" w:line="240" w:lineRule="auto"/>
            </w:pPr>
            <w:r/>
            <w:r>
              <w:rPr>
                <w:b w:val="0"/>
                <w:sz w:val="15"/>
              </w:rPr>
              <w:t>Exclude</w:t>
            </w:r>
          </w:p>
        </w:tc>
      </w:tr>
    </w:tbl>
    <w:p/>
    <w:p>
      <w:pPr>
        <w:pStyle w:val="TableTitle"/>
      </w:pPr>
      <w:r>
        <w:rPr>
          <w:b/>
        </w:rPr>
        <w:t>Table - tblForecastReasonablenessChecks</w:t>
      </w:r>
    </w:p>
    <w:tbl>
      <w:tblPr>
        <w:tblStyle w:val="TableGrid"/>
        <w:tblW w:type="auto" w:w="0"/>
        <w:jc w:val="center"/>
        <w:tblLayout w:type="autofit"/>
        <w:tblLook w:firstColumn="1" w:firstRow="1" w:lastColumn="0" w:lastRow="0" w:noHBand="0" w:noVBand="1" w:val="04A0"/>
      </w:tblPr>
      <w:tblGrid>
        <w:gridCol w:w="1757"/>
        <w:gridCol w:w="1757"/>
        <w:gridCol w:w="1757"/>
        <w:gridCol w:w="1757"/>
        <w:gridCol w:w="1757"/>
        <w:gridCol w:w="1757"/>
      </w:tblGrid>
      <w:tr>
        <w:tc>
          <w:tcPr>
            <w:tcW w:type="dxa" w:w="1757"/>
            <w:vAlign w:val="top"/>
            <w:shd w:fill="D9EAF7"/>
          </w:tcPr>
          <w:p>
            <w:pPr>
              <w:spacing w:after="0" w:line="240" w:lineRule="auto"/>
            </w:pPr>
            <w:r/>
            <w:r>
              <w:rPr>
                <w:b/>
                <w:sz w:val="16"/>
              </w:rPr>
              <w:t>Check ID</w:t>
            </w:r>
          </w:p>
        </w:tc>
        <w:tc>
          <w:tcPr>
            <w:tcW w:type="dxa" w:w="1757"/>
            <w:vAlign w:val="top"/>
            <w:shd w:fill="D9EAF7"/>
          </w:tcPr>
          <w:p>
            <w:pPr>
              <w:spacing w:after="0" w:line="240" w:lineRule="auto"/>
            </w:pPr>
            <w:r/>
            <w:r>
              <w:rPr>
                <w:b/>
                <w:sz w:val="16"/>
              </w:rPr>
              <w:t>Metric</w:t>
            </w:r>
          </w:p>
        </w:tc>
        <w:tc>
          <w:tcPr>
            <w:tcW w:type="dxa" w:w="1757"/>
            <w:vAlign w:val="top"/>
            <w:shd w:fill="D9EAF7"/>
          </w:tcPr>
          <w:p>
            <w:pPr>
              <w:spacing w:after="0" w:line="240" w:lineRule="auto"/>
            </w:pPr>
            <w:r/>
            <w:r>
              <w:rPr>
                <w:b/>
                <w:sz w:val="16"/>
              </w:rPr>
              <w:t>Test</w:t>
            </w:r>
          </w:p>
        </w:tc>
        <w:tc>
          <w:tcPr>
            <w:tcW w:type="dxa" w:w="1757"/>
            <w:vAlign w:val="top"/>
            <w:shd w:fill="D9EAF7"/>
          </w:tcPr>
          <w:p>
            <w:pPr>
              <w:spacing w:after="0" w:line="240" w:lineRule="auto"/>
            </w:pPr>
            <w:r/>
            <w:r>
              <w:rPr>
                <w:b/>
                <w:sz w:val="16"/>
              </w:rPr>
              <w:t>Severity</w:t>
            </w:r>
          </w:p>
        </w:tc>
        <w:tc>
          <w:tcPr>
            <w:tcW w:type="dxa" w:w="1757"/>
            <w:vAlign w:val="top"/>
            <w:shd w:fill="D9EAF7"/>
          </w:tcPr>
          <w:p>
            <w:pPr>
              <w:spacing w:after="0" w:line="240" w:lineRule="auto"/>
            </w:pPr>
            <w:r/>
            <w:r>
              <w:rPr>
                <w:b/>
                <w:sz w:val="16"/>
              </w:rPr>
              <w:t>If Triggered</w:t>
            </w:r>
          </w:p>
        </w:tc>
        <w:tc>
          <w:tcPr>
            <w:tcW w:type="dxa" w:w="1757"/>
            <w:vAlign w:val="top"/>
            <w:shd w:fill="D9EAF7"/>
          </w:tcPr>
          <w:p>
            <w:pPr>
              <w:spacing w:after="0" w:line="240" w:lineRule="auto"/>
            </w:pPr>
            <w:r/>
            <w:r>
              <w:rPr>
                <w:b/>
                <w:sz w:val="16"/>
              </w:rPr>
              <w:t>Notes</w:t>
            </w:r>
          </w:p>
        </w:tc>
      </w:tr>
      <w:tr>
        <w:tc>
          <w:tcPr>
            <w:tcW w:type="dxa" w:w="1757"/>
            <w:vAlign w:val="top"/>
          </w:tcPr>
          <w:p>
            <w:pPr>
              <w:spacing w:after="0" w:line="240" w:lineRule="auto"/>
            </w:pPr>
            <w:r/>
            <w:r>
              <w:rPr>
                <w:b w:val="0"/>
                <w:sz w:val="15"/>
              </w:rPr>
              <w:t>FR-CHECK-001</w:t>
            </w:r>
          </w:p>
        </w:tc>
        <w:tc>
          <w:tcPr>
            <w:tcW w:type="dxa" w:w="1757"/>
            <w:vAlign w:val="top"/>
          </w:tcPr>
          <w:p>
            <w:pPr>
              <w:spacing w:after="0" w:line="240" w:lineRule="auto"/>
            </w:pPr>
            <w:r/>
            <w:r>
              <w:rPr>
                <w:b w:val="0"/>
                <w:sz w:val="15"/>
              </w:rPr>
              <w:t>Revenue Growth</w:t>
            </w:r>
          </w:p>
        </w:tc>
        <w:tc>
          <w:tcPr>
            <w:tcW w:type="dxa" w:w="1757"/>
            <w:vAlign w:val="top"/>
          </w:tcPr>
          <w:p>
            <w:pPr>
              <w:spacing w:after="0" w:line="240" w:lineRule="auto"/>
            </w:pPr>
            <w:r/>
            <w:r>
              <w:rPr>
                <w:b w:val="0"/>
                <w:sz w:val="15"/>
              </w:rPr>
              <w:t>Growth materially above history and industry benchmark context</w:t>
            </w:r>
          </w:p>
        </w:tc>
        <w:tc>
          <w:tcPr>
            <w:tcW w:type="dxa" w:w="1757"/>
            <w:vAlign w:val="top"/>
          </w:tcPr>
          <w:p>
            <w:pPr>
              <w:spacing w:after="0" w:line="240" w:lineRule="auto"/>
            </w:pPr>
            <w:r/>
            <w:r>
              <w:rPr>
                <w:b w:val="0"/>
                <w:sz w:val="15"/>
              </w:rPr>
              <w:t>Medium</w:t>
            </w:r>
          </w:p>
        </w:tc>
        <w:tc>
          <w:tcPr>
            <w:tcW w:type="dxa" w:w="1757"/>
            <w:vAlign w:val="top"/>
          </w:tcPr>
          <w:p>
            <w:pPr>
              <w:spacing w:after="0" w:line="240" w:lineRule="auto"/>
            </w:pPr>
            <w:r/>
            <w:r>
              <w:rPr>
                <w:b w:val="0"/>
                <w:sz w:val="15"/>
              </w:rPr>
              <w:t>Review</w:t>
            </w:r>
          </w:p>
        </w:tc>
        <w:tc>
          <w:tcPr>
            <w:tcW w:type="dxa" w:w="1757"/>
            <w:vAlign w:val="top"/>
          </w:tcPr>
          <w:p>
            <w:pPr>
              <w:spacing w:after="0" w:line="240" w:lineRule="auto"/>
            </w:pPr>
            <w:r/>
            <w:r>
              <w:rPr>
                <w:b w:val="0"/>
                <w:sz w:val="15"/>
              </w:rPr>
              <w:t>Estimate may be too optimistic.</w:t>
            </w:r>
          </w:p>
        </w:tc>
      </w:tr>
      <w:tr>
        <w:tc>
          <w:tcPr>
            <w:tcW w:type="dxa" w:w="1757"/>
            <w:vAlign w:val="top"/>
          </w:tcPr>
          <w:p>
            <w:pPr>
              <w:spacing w:after="0" w:line="240" w:lineRule="auto"/>
            </w:pPr>
            <w:r/>
            <w:r>
              <w:rPr>
                <w:b w:val="0"/>
                <w:sz w:val="15"/>
              </w:rPr>
              <w:t>FR-CHECK-002</w:t>
            </w:r>
          </w:p>
        </w:tc>
        <w:tc>
          <w:tcPr>
            <w:tcW w:type="dxa" w:w="1757"/>
            <w:vAlign w:val="top"/>
          </w:tcPr>
          <w:p>
            <w:pPr>
              <w:spacing w:after="0" w:line="240" w:lineRule="auto"/>
            </w:pPr>
            <w:r/>
            <w:r>
              <w:rPr>
                <w:b w:val="0"/>
                <w:sz w:val="15"/>
              </w:rPr>
              <w:t>Revenue Growth</w:t>
            </w:r>
          </w:p>
        </w:tc>
        <w:tc>
          <w:tcPr>
            <w:tcW w:type="dxa" w:w="1757"/>
            <w:vAlign w:val="top"/>
          </w:tcPr>
          <w:p>
            <w:pPr>
              <w:spacing w:after="0" w:line="240" w:lineRule="auto"/>
            </w:pPr>
            <w:r/>
            <w:r>
              <w:rPr>
                <w:b w:val="0"/>
                <w:sz w:val="15"/>
              </w:rPr>
              <w:t>Sharp acceleration without explanation</w:t>
            </w:r>
          </w:p>
        </w:tc>
        <w:tc>
          <w:tcPr>
            <w:tcW w:type="dxa" w:w="1757"/>
            <w:vAlign w:val="top"/>
          </w:tcPr>
          <w:p>
            <w:pPr>
              <w:spacing w:after="0" w:line="240" w:lineRule="auto"/>
            </w:pPr>
            <w:r/>
            <w:r>
              <w:rPr>
                <w:b w:val="0"/>
                <w:sz w:val="15"/>
              </w:rPr>
              <w:t>Medium</w:t>
            </w:r>
          </w:p>
        </w:tc>
        <w:tc>
          <w:tcPr>
            <w:tcW w:type="dxa" w:w="1757"/>
            <w:vAlign w:val="top"/>
          </w:tcPr>
          <w:p>
            <w:pPr>
              <w:spacing w:after="0" w:line="240" w:lineRule="auto"/>
            </w:pPr>
            <w:r/>
            <w:r>
              <w:rPr>
                <w:b w:val="0"/>
                <w:sz w:val="15"/>
              </w:rPr>
              <w:t>Review</w:t>
            </w:r>
          </w:p>
        </w:tc>
        <w:tc>
          <w:tcPr>
            <w:tcW w:type="dxa" w:w="1757"/>
            <w:vAlign w:val="top"/>
          </w:tcPr>
          <w:p>
            <w:pPr>
              <w:spacing w:after="0" w:line="240" w:lineRule="auto"/>
            </w:pPr>
            <w:r/>
            <w:r>
              <w:rPr>
                <w:b w:val="0"/>
                <w:sz w:val="15"/>
              </w:rPr>
              <w:t>Needs analyst judgment.</w:t>
            </w:r>
          </w:p>
        </w:tc>
      </w:tr>
      <w:tr>
        <w:tc>
          <w:tcPr>
            <w:tcW w:type="dxa" w:w="1757"/>
            <w:vAlign w:val="top"/>
          </w:tcPr>
          <w:p>
            <w:pPr>
              <w:spacing w:after="0" w:line="240" w:lineRule="auto"/>
            </w:pPr>
            <w:r/>
            <w:r>
              <w:rPr>
                <w:b w:val="0"/>
                <w:sz w:val="15"/>
              </w:rPr>
              <w:t>FR-CHECK-003</w:t>
            </w:r>
          </w:p>
        </w:tc>
        <w:tc>
          <w:tcPr>
            <w:tcW w:type="dxa" w:w="1757"/>
            <w:vAlign w:val="top"/>
          </w:tcPr>
          <w:p>
            <w:pPr>
              <w:spacing w:after="0" w:line="240" w:lineRule="auto"/>
            </w:pPr>
            <w:r/>
            <w:r>
              <w:rPr>
                <w:b w:val="0"/>
                <w:sz w:val="15"/>
              </w:rPr>
              <w:t>EBIT Margin</w:t>
            </w:r>
          </w:p>
        </w:tc>
        <w:tc>
          <w:tcPr>
            <w:tcW w:type="dxa" w:w="1757"/>
            <w:vAlign w:val="top"/>
          </w:tcPr>
          <w:p>
            <w:pPr>
              <w:spacing w:after="0" w:line="240" w:lineRule="auto"/>
            </w:pPr>
            <w:r/>
            <w:r>
              <w:rPr>
                <w:b w:val="0"/>
                <w:sz w:val="15"/>
              </w:rPr>
              <w:t>Margin jump too large in one year</w:t>
            </w:r>
          </w:p>
        </w:tc>
        <w:tc>
          <w:tcPr>
            <w:tcW w:type="dxa" w:w="1757"/>
            <w:vAlign w:val="top"/>
          </w:tcPr>
          <w:p>
            <w:pPr>
              <w:spacing w:after="0" w:line="240" w:lineRule="auto"/>
            </w:pPr>
            <w:r/>
            <w:r>
              <w:rPr>
                <w:b w:val="0"/>
                <w:sz w:val="15"/>
              </w:rPr>
              <w:t>High</w:t>
            </w:r>
          </w:p>
        </w:tc>
        <w:tc>
          <w:tcPr>
            <w:tcW w:type="dxa" w:w="1757"/>
            <w:vAlign w:val="top"/>
          </w:tcPr>
          <w:p>
            <w:pPr>
              <w:spacing w:after="0" w:line="240" w:lineRule="auto"/>
            </w:pPr>
            <w:r/>
            <w:r>
              <w:rPr>
                <w:b w:val="0"/>
                <w:sz w:val="15"/>
              </w:rPr>
              <w:t>Reference / Review</w:t>
            </w:r>
          </w:p>
        </w:tc>
        <w:tc>
          <w:tcPr>
            <w:tcW w:type="dxa" w:w="1757"/>
            <w:vAlign w:val="top"/>
          </w:tcPr>
          <w:p>
            <w:pPr>
              <w:spacing w:after="0" w:line="240" w:lineRule="auto"/>
            </w:pPr>
            <w:r/>
            <w:r>
              <w:rPr>
                <w:b w:val="0"/>
                <w:sz w:val="15"/>
              </w:rPr>
              <w:t>Important for turnaround.</w:t>
            </w:r>
          </w:p>
        </w:tc>
      </w:tr>
      <w:tr>
        <w:tc>
          <w:tcPr>
            <w:tcW w:type="dxa" w:w="1757"/>
            <w:vAlign w:val="top"/>
          </w:tcPr>
          <w:p>
            <w:pPr>
              <w:spacing w:after="0" w:line="240" w:lineRule="auto"/>
            </w:pPr>
            <w:r/>
            <w:r>
              <w:rPr>
                <w:b w:val="0"/>
                <w:sz w:val="15"/>
              </w:rPr>
              <w:t>FR-CHECK-004</w:t>
            </w:r>
          </w:p>
        </w:tc>
        <w:tc>
          <w:tcPr>
            <w:tcW w:type="dxa" w:w="1757"/>
            <w:vAlign w:val="top"/>
          </w:tcPr>
          <w:p>
            <w:pPr>
              <w:spacing w:after="0" w:line="240" w:lineRule="auto"/>
            </w:pPr>
            <w:r/>
            <w:r>
              <w:rPr>
                <w:b w:val="0"/>
                <w:sz w:val="15"/>
              </w:rPr>
              <w:t>EBIT Margin</w:t>
            </w:r>
          </w:p>
        </w:tc>
        <w:tc>
          <w:tcPr>
            <w:tcW w:type="dxa" w:w="1757"/>
            <w:vAlign w:val="top"/>
          </w:tcPr>
          <w:p>
            <w:pPr>
              <w:spacing w:after="0" w:line="240" w:lineRule="auto"/>
            </w:pPr>
            <w:r/>
            <w:r>
              <w:rPr>
                <w:b w:val="0"/>
                <w:sz w:val="15"/>
              </w:rPr>
              <w:t>Margin materially above industry/stable range</w:t>
            </w:r>
          </w:p>
        </w:tc>
        <w:tc>
          <w:tcPr>
            <w:tcW w:type="dxa" w:w="1757"/>
            <w:vAlign w:val="top"/>
          </w:tcPr>
          <w:p>
            <w:pPr>
              <w:spacing w:after="0" w:line="240" w:lineRule="auto"/>
            </w:pPr>
            <w:r/>
            <w:r>
              <w:rPr>
                <w:b w:val="0"/>
                <w:sz w:val="15"/>
              </w:rPr>
              <w:t>High</w:t>
            </w:r>
          </w:p>
        </w:tc>
        <w:tc>
          <w:tcPr>
            <w:tcW w:type="dxa" w:w="1757"/>
            <w:vAlign w:val="top"/>
          </w:tcPr>
          <w:p>
            <w:pPr>
              <w:spacing w:after="0" w:line="240" w:lineRule="auto"/>
            </w:pPr>
            <w:r/>
            <w:r>
              <w:rPr>
                <w:b w:val="0"/>
                <w:sz w:val="15"/>
              </w:rPr>
              <w:t>Review</w:t>
            </w:r>
          </w:p>
        </w:tc>
        <w:tc>
          <w:tcPr>
            <w:tcW w:type="dxa" w:w="1757"/>
            <w:vAlign w:val="top"/>
          </w:tcPr>
          <w:p>
            <w:pPr>
              <w:spacing w:after="0" w:line="240" w:lineRule="auto"/>
            </w:pPr>
            <w:r/>
            <w:r>
              <w:rPr>
                <w:b w:val="0"/>
                <w:sz w:val="15"/>
              </w:rPr>
              <w:t>Compare to Damodaran benchmark data.</w:t>
            </w:r>
          </w:p>
        </w:tc>
      </w:tr>
      <w:tr>
        <w:tc>
          <w:tcPr>
            <w:tcW w:type="dxa" w:w="1757"/>
            <w:vAlign w:val="top"/>
          </w:tcPr>
          <w:p>
            <w:pPr>
              <w:spacing w:after="0" w:line="240" w:lineRule="auto"/>
            </w:pPr>
            <w:r/>
            <w:r>
              <w:rPr>
                <w:b w:val="0"/>
                <w:sz w:val="15"/>
              </w:rPr>
              <w:t>FR-CHECK-005</w:t>
            </w:r>
          </w:p>
        </w:tc>
        <w:tc>
          <w:tcPr>
            <w:tcW w:type="dxa" w:w="1757"/>
            <w:vAlign w:val="top"/>
          </w:tcPr>
          <w:p>
            <w:pPr>
              <w:spacing w:after="0" w:line="240" w:lineRule="auto"/>
            </w:pPr>
            <w:r/>
            <w:r>
              <w:rPr>
                <w:b w:val="0"/>
                <w:sz w:val="15"/>
              </w:rPr>
              <w:t>Reinvestment</w:t>
            </w:r>
          </w:p>
        </w:tc>
        <w:tc>
          <w:tcPr>
            <w:tcW w:type="dxa" w:w="1757"/>
            <w:vAlign w:val="top"/>
          </w:tcPr>
          <w:p>
            <w:pPr>
              <w:spacing w:after="0" w:line="240" w:lineRule="auto"/>
            </w:pPr>
            <w:r/>
            <w:r>
              <w:rPr>
                <w:b w:val="0"/>
                <w:sz w:val="15"/>
              </w:rPr>
              <w:t>High growth with low reinvestment</w:t>
            </w:r>
          </w:p>
        </w:tc>
        <w:tc>
          <w:tcPr>
            <w:tcW w:type="dxa" w:w="1757"/>
            <w:vAlign w:val="top"/>
          </w:tcPr>
          <w:p>
            <w:pPr>
              <w:spacing w:after="0" w:line="240" w:lineRule="auto"/>
            </w:pPr>
            <w:r/>
            <w:r>
              <w:rPr>
                <w:b w:val="0"/>
                <w:sz w:val="15"/>
              </w:rPr>
              <w:t>High</w:t>
            </w:r>
          </w:p>
        </w:tc>
        <w:tc>
          <w:tcPr>
            <w:tcW w:type="dxa" w:w="1757"/>
            <w:vAlign w:val="top"/>
          </w:tcPr>
          <w:p>
            <w:pPr>
              <w:spacing w:after="0" w:line="240" w:lineRule="auto"/>
            </w:pPr>
            <w:r/>
            <w:r>
              <w:rPr>
                <w:b w:val="0"/>
                <w:sz w:val="15"/>
              </w:rPr>
              <w:t>Review Required</w:t>
            </w:r>
          </w:p>
        </w:tc>
        <w:tc>
          <w:tcPr>
            <w:tcW w:type="dxa" w:w="1757"/>
            <w:vAlign w:val="top"/>
          </w:tcPr>
          <w:p>
            <w:pPr>
              <w:spacing w:after="0" w:line="240" w:lineRule="auto"/>
            </w:pPr>
            <w:r/>
            <w:r>
              <w:rPr>
                <w:b w:val="0"/>
                <w:sz w:val="15"/>
              </w:rPr>
              <w:t>Growth must be funded.</w:t>
            </w:r>
          </w:p>
        </w:tc>
      </w:tr>
      <w:tr>
        <w:tc>
          <w:tcPr>
            <w:tcW w:type="dxa" w:w="1757"/>
            <w:vAlign w:val="top"/>
          </w:tcPr>
          <w:p>
            <w:pPr>
              <w:spacing w:after="0" w:line="240" w:lineRule="auto"/>
            </w:pPr>
            <w:r/>
            <w:r>
              <w:rPr>
                <w:b w:val="0"/>
                <w:sz w:val="15"/>
              </w:rPr>
              <w:t>FR-CHECK-006</w:t>
            </w:r>
          </w:p>
        </w:tc>
        <w:tc>
          <w:tcPr>
            <w:tcW w:type="dxa" w:w="1757"/>
            <w:vAlign w:val="top"/>
          </w:tcPr>
          <w:p>
            <w:pPr>
              <w:spacing w:after="0" w:line="240" w:lineRule="auto"/>
            </w:pPr>
            <w:r/>
            <w:r>
              <w:rPr>
                <w:b w:val="0"/>
                <w:sz w:val="15"/>
              </w:rPr>
              <w:t>Negative EBIT</w:t>
            </w:r>
          </w:p>
        </w:tc>
        <w:tc>
          <w:tcPr>
            <w:tcW w:type="dxa" w:w="1757"/>
            <w:vAlign w:val="top"/>
          </w:tcPr>
          <w:p>
            <w:pPr>
              <w:spacing w:after="0" w:line="240" w:lineRule="auto"/>
            </w:pPr>
            <w:r/>
            <w:r>
              <w:rPr>
                <w:b w:val="0"/>
                <w:sz w:val="15"/>
              </w:rPr>
              <w:t>Negative EBIT becomes high margin too fast</w:t>
            </w:r>
          </w:p>
        </w:tc>
        <w:tc>
          <w:tcPr>
            <w:tcW w:type="dxa" w:w="1757"/>
            <w:vAlign w:val="top"/>
          </w:tcPr>
          <w:p>
            <w:pPr>
              <w:spacing w:after="0" w:line="240" w:lineRule="auto"/>
            </w:pPr>
            <w:r/>
            <w:r>
              <w:rPr>
                <w:b w:val="0"/>
                <w:sz w:val="15"/>
              </w:rPr>
              <w:t>High</w:t>
            </w:r>
          </w:p>
        </w:tc>
        <w:tc>
          <w:tcPr>
            <w:tcW w:type="dxa" w:w="1757"/>
            <w:vAlign w:val="top"/>
          </w:tcPr>
          <w:p>
            <w:pPr>
              <w:spacing w:after="0" w:line="240" w:lineRule="auto"/>
            </w:pPr>
            <w:r/>
            <w:r>
              <w:rPr>
                <w:b w:val="0"/>
                <w:sz w:val="15"/>
              </w:rPr>
              <w:t>Review Required</w:t>
            </w:r>
          </w:p>
        </w:tc>
        <w:tc>
          <w:tcPr>
            <w:tcW w:type="dxa" w:w="1757"/>
            <w:vAlign w:val="top"/>
          </w:tcPr>
          <w:p>
            <w:pPr>
              <w:spacing w:after="0" w:line="240" w:lineRule="auto"/>
            </w:pPr>
            <w:r/>
            <w:r>
              <w:rPr>
                <w:b w:val="0"/>
                <w:sz w:val="15"/>
              </w:rPr>
              <w:t>Use transition logic.</w:t>
            </w:r>
          </w:p>
        </w:tc>
      </w:tr>
      <w:tr>
        <w:tc>
          <w:tcPr>
            <w:tcW w:type="dxa" w:w="1757"/>
            <w:vAlign w:val="top"/>
          </w:tcPr>
          <w:p>
            <w:pPr>
              <w:spacing w:after="0" w:line="240" w:lineRule="auto"/>
            </w:pPr>
            <w:r/>
            <w:r>
              <w:rPr>
                <w:b w:val="0"/>
                <w:sz w:val="15"/>
              </w:rPr>
              <w:t>FR-CHECK-007</w:t>
            </w:r>
          </w:p>
        </w:tc>
        <w:tc>
          <w:tcPr>
            <w:tcW w:type="dxa" w:w="1757"/>
            <w:vAlign w:val="top"/>
          </w:tcPr>
          <w:p>
            <w:pPr>
              <w:spacing w:after="0" w:line="240" w:lineRule="auto"/>
            </w:pPr>
            <w:r/>
            <w:r>
              <w:rPr>
                <w:b w:val="0"/>
                <w:sz w:val="15"/>
              </w:rPr>
              <w:t>Tax Rate</w:t>
            </w:r>
          </w:p>
        </w:tc>
        <w:tc>
          <w:tcPr>
            <w:tcW w:type="dxa" w:w="1757"/>
            <w:vAlign w:val="top"/>
          </w:tcPr>
          <w:p>
            <w:pPr>
              <w:spacing w:after="0" w:line="240" w:lineRule="auto"/>
            </w:pPr>
            <w:r/>
            <w:r>
              <w:rPr>
                <w:b w:val="0"/>
                <w:sz w:val="15"/>
              </w:rPr>
              <w:t>Tax rate unrealistic or missing</w:t>
            </w:r>
          </w:p>
        </w:tc>
        <w:tc>
          <w:tcPr>
            <w:tcW w:type="dxa" w:w="1757"/>
            <w:vAlign w:val="top"/>
          </w:tcPr>
          <w:p>
            <w:pPr>
              <w:spacing w:after="0" w:line="240" w:lineRule="auto"/>
            </w:pPr>
            <w:r/>
            <w:r>
              <w:rPr>
                <w:b w:val="0"/>
                <w:sz w:val="15"/>
              </w:rPr>
              <w:t>Medium</w:t>
            </w:r>
          </w:p>
        </w:tc>
        <w:tc>
          <w:tcPr>
            <w:tcW w:type="dxa" w:w="1757"/>
            <w:vAlign w:val="top"/>
          </w:tcPr>
          <w:p>
            <w:pPr>
              <w:spacing w:after="0" w:line="240" w:lineRule="auto"/>
            </w:pPr>
            <w:r/>
            <w:r>
              <w:rPr>
                <w:b w:val="0"/>
                <w:sz w:val="15"/>
              </w:rPr>
              <w:t>Review</w:t>
            </w:r>
          </w:p>
        </w:tc>
        <w:tc>
          <w:tcPr>
            <w:tcW w:type="dxa" w:w="1757"/>
            <w:vAlign w:val="top"/>
          </w:tcPr>
          <w:p>
            <w:pPr>
              <w:spacing w:after="0" w:line="240" w:lineRule="auto"/>
            </w:pPr>
            <w:r/>
            <w:r>
              <w:rPr>
                <w:b w:val="0"/>
                <w:sz w:val="15"/>
              </w:rPr>
              <w:t>Needed for NOPAT.</w:t>
            </w:r>
          </w:p>
        </w:tc>
      </w:tr>
      <w:tr>
        <w:tc>
          <w:tcPr>
            <w:tcW w:type="dxa" w:w="1757"/>
            <w:vAlign w:val="top"/>
          </w:tcPr>
          <w:p>
            <w:pPr>
              <w:spacing w:after="0" w:line="240" w:lineRule="auto"/>
            </w:pPr>
            <w:r/>
            <w:r>
              <w:rPr>
                <w:b w:val="0"/>
                <w:sz w:val="15"/>
              </w:rPr>
              <w:t>FR-CHECK-008</w:t>
            </w:r>
          </w:p>
        </w:tc>
        <w:tc>
          <w:tcPr>
            <w:tcW w:type="dxa" w:w="1757"/>
            <w:vAlign w:val="top"/>
          </w:tcPr>
          <w:p>
            <w:pPr>
              <w:spacing w:after="0" w:line="240" w:lineRule="auto"/>
            </w:pPr>
            <w:r/>
            <w:r>
              <w:rPr>
                <w:b w:val="0"/>
                <w:sz w:val="15"/>
              </w:rPr>
              <w:t>FCFF</w:t>
            </w:r>
          </w:p>
        </w:tc>
        <w:tc>
          <w:tcPr>
            <w:tcW w:type="dxa" w:w="1757"/>
            <w:vAlign w:val="top"/>
          </w:tcPr>
          <w:p>
            <w:pPr>
              <w:spacing w:after="0" w:line="240" w:lineRule="auto"/>
            </w:pPr>
            <w:r/>
            <w:r>
              <w:rPr>
                <w:b w:val="0"/>
                <w:sz w:val="15"/>
              </w:rPr>
              <w:t>FCFF positive only due to working capital release</w:t>
            </w:r>
          </w:p>
        </w:tc>
        <w:tc>
          <w:tcPr>
            <w:tcW w:type="dxa" w:w="1757"/>
            <w:vAlign w:val="top"/>
          </w:tcPr>
          <w:p>
            <w:pPr>
              <w:spacing w:after="0" w:line="240" w:lineRule="auto"/>
            </w:pPr>
            <w:r/>
            <w:r>
              <w:rPr>
                <w:b w:val="0"/>
                <w:sz w:val="15"/>
              </w:rPr>
              <w:t>High</w:t>
            </w:r>
          </w:p>
        </w:tc>
        <w:tc>
          <w:tcPr>
            <w:tcW w:type="dxa" w:w="1757"/>
            <w:vAlign w:val="top"/>
          </w:tcPr>
          <w:p>
            <w:pPr>
              <w:spacing w:after="0" w:line="240" w:lineRule="auto"/>
            </w:pPr>
            <w:r/>
            <w:r>
              <w:rPr>
                <w:b w:val="0"/>
                <w:sz w:val="15"/>
              </w:rPr>
              <w:t>Review Required</w:t>
            </w:r>
          </w:p>
        </w:tc>
        <w:tc>
          <w:tcPr>
            <w:tcW w:type="dxa" w:w="1757"/>
            <w:vAlign w:val="top"/>
          </w:tcPr>
          <w:p>
            <w:pPr>
              <w:spacing w:after="0" w:line="240" w:lineRule="auto"/>
            </w:pPr>
            <w:r/>
            <w:r>
              <w:rPr>
                <w:b w:val="0"/>
                <w:sz w:val="15"/>
              </w:rPr>
              <w:t>Low quality cash flow.</w:t>
            </w:r>
          </w:p>
        </w:tc>
      </w:tr>
    </w:tbl>
    <w:p/>
    <w:p>
      <w:pPr>
        <w:pStyle w:val="TableTitle"/>
      </w:pPr>
      <w:r>
        <w:rPr>
          <w:b/>
        </w:rPr>
        <w:t>Table - tblForecastQualityScore</w:t>
      </w:r>
    </w:p>
    <w:tbl>
      <w:tblPr>
        <w:tblStyle w:val="TableGrid"/>
        <w:tblW w:type="auto" w:w="0"/>
        <w:jc w:val="center"/>
        <w:tblLayout w:type="autofit"/>
        <w:tblLook w:firstColumn="1" w:firstRow="1" w:lastColumn="0" w:lastRow="0" w:noHBand="0" w:noVBand="1" w:val="04A0"/>
      </w:tblPr>
      <w:tblGrid>
        <w:gridCol w:w="1757"/>
        <w:gridCol w:w="1757"/>
        <w:gridCol w:w="1757"/>
        <w:gridCol w:w="1757"/>
        <w:gridCol w:w="1757"/>
        <w:gridCol w:w="1757"/>
      </w:tblGrid>
      <w:tr>
        <w:tc>
          <w:tcPr>
            <w:tcW w:type="dxa" w:w="1757"/>
            <w:vAlign w:val="top"/>
            <w:shd w:fill="D9EAF7"/>
          </w:tcPr>
          <w:p>
            <w:pPr>
              <w:spacing w:after="0" w:line="240" w:lineRule="auto"/>
            </w:pPr>
            <w:r/>
            <w:r>
              <w:rPr>
                <w:b/>
                <w:sz w:val="16"/>
              </w:rPr>
              <w:t>Score Component</w:t>
            </w:r>
          </w:p>
        </w:tc>
        <w:tc>
          <w:tcPr>
            <w:tcW w:type="dxa" w:w="1757"/>
            <w:vAlign w:val="top"/>
            <w:shd w:fill="D9EAF7"/>
          </w:tcPr>
          <w:p>
            <w:pPr>
              <w:spacing w:after="0" w:line="240" w:lineRule="auto"/>
            </w:pPr>
            <w:r/>
            <w:r>
              <w:rPr>
                <w:b/>
                <w:sz w:val="16"/>
              </w:rPr>
              <w:t>Weight</w:t>
            </w:r>
          </w:p>
        </w:tc>
        <w:tc>
          <w:tcPr>
            <w:tcW w:type="dxa" w:w="1757"/>
            <w:vAlign w:val="top"/>
            <w:shd w:fill="D9EAF7"/>
          </w:tcPr>
          <w:p>
            <w:pPr>
              <w:spacing w:after="0" w:line="240" w:lineRule="auto"/>
            </w:pPr>
            <w:r/>
            <w:r>
              <w:rPr>
                <w:b/>
                <w:sz w:val="16"/>
              </w:rPr>
              <w:t>Strong</w:t>
            </w:r>
          </w:p>
        </w:tc>
        <w:tc>
          <w:tcPr>
            <w:tcW w:type="dxa" w:w="1757"/>
            <w:vAlign w:val="top"/>
            <w:shd w:fill="D9EAF7"/>
          </w:tcPr>
          <w:p>
            <w:pPr>
              <w:spacing w:after="0" w:line="240" w:lineRule="auto"/>
            </w:pPr>
            <w:r/>
            <w:r>
              <w:rPr>
                <w:b/>
                <w:sz w:val="16"/>
              </w:rPr>
              <w:t>Acceptable</w:t>
            </w:r>
          </w:p>
        </w:tc>
        <w:tc>
          <w:tcPr>
            <w:tcW w:type="dxa" w:w="1757"/>
            <w:vAlign w:val="top"/>
            <w:shd w:fill="D9EAF7"/>
          </w:tcPr>
          <w:p>
            <w:pPr>
              <w:spacing w:after="0" w:line="240" w:lineRule="auto"/>
            </w:pPr>
            <w:r/>
            <w:r>
              <w:rPr>
                <w:b/>
                <w:sz w:val="16"/>
              </w:rPr>
              <w:t>Weak</w:t>
            </w:r>
          </w:p>
        </w:tc>
        <w:tc>
          <w:tcPr>
            <w:tcW w:type="dxa" w:w="1757"/>
            <w:vAlign w:val="top"/>
            <w:shd w:fill="D9EAF7"/>
          </w:tcPr>
          <w:p>
            <w:pPr>
              <w:spacing w:after="0" w:line="240" w:lineRule="auto"/>
            </w:pPr>
            <w:r/>
            <w:r>
              <w:rPr>
                <w:b/>
                <w:sz w:val="16"/>
              </w:rPr>
              <w:t>Review</w:t>
            </w:r>
          </w:p>
        </w:tc>
      </w:tr>
      <w:tr>
        <w:tc>
          <w:tcPr>
            <w:tcW w:type="dxa" w:w="1757"/>
            <w:vAlign w:val="top"/>
          </w:tcPr>
          <w:p>
            <w:pPr>
              <w:spacing w:after="0" w:line="240" w:lineRule="auto"/>
            </w:pPr>
            <w:r/>
            <w:r>
              <w:rPr>
                <w:b w:val="0"/>
                <w:sz w:val="15"/>
              </w:rPr>
              <w:t>Revenue coverage</w:t>
            </w:r>
          </w:p>
        </w:tc>
        <w:tc>
          <w:tcPr>
            <w:tcW w:type="dxa" w:w="1757"/>
            <w:vAlign w:val="top"/>
          </w:tcPr>
          <w:p>
            <w:pPr>
              <w:spacing w:after="0" w:line="240" w:lineRule="auto"/>
            </w:pPr>
            <w:r/>
            <w:r>
              <w:rPr>
                <w:b w:val="0"/>
                <w:sz w:val="15"/>
              </w:rPr>
              <w:t>25%</w:t>
            </w:r>
          </w:p>
        </w:tc>
        <w:tc>
          <w:tcPr>
            <w:tcW w:type="dxa" w:w="1757"/>
            <w:vAlign w:val="top"/>
          </w:tcPr>
          <w:p>
            <w:pPr>
              <w:spacing w:after="0" w:line="240" w:lineRule="auto"/>
            </w:pPr>
            <w:r/>
            <w:r>
              <w:rPr>
                <w:b w:val="0"/>
                <w:sz w:val="15"/>
              </w:rPr>
              <w:t>Strong count + Y+1:Y+3</w:t>
            </w:r>
          </w:p>
        </w:tc>
        <w:tc>
          <w:tcPr>
            <w:tcW w:type="dxa" w:w="1757"/>
            <w:vAlign w:val="top"/>
          </w:tcPr>
          <w:p>
            <w:pPr>
              <w:spacing w:after="0" w:line="240" w:lineRule="auto"/>
            </w:pPr>
            <w:r/>
            <w:r>
              <w:rPr>
                <w:b w:val="0"/>
                <w:sz w:val="15"/>
              </w:rPr>
              <w:t>Available medium count</w:t>
            </w:r>
          </w:p>
        </w:tc>
        <w:tc>
          <w:tcPr>
            <w:tcW w:type="dxa" w:w="1757"/>
            <w:vAlign w:val="top"/>
          </w:tcPr>
          <w:p>
            <w:pPr>
              <w:spacing w:after="0" w:line="240" w:lineRule="auto"/>
            </w:pPr>
            <w:r/>
            <w:r>
              <w:rPr>
                <w:b w:val="0"/>
                <w:sz w:val="15"/>
              </w:rPr>
              <w:t>Missing years</w:t>
            </w:r>
          </w:p>
        </w:tc>
        <w:tc>
          <w:tcPr>
            <w:tcW w:type="dxa" w:w="1757"/>
            <w:vAlign w:val="top"/>
          </w:tcPr>
          <w:p>
            <w:pPr>
              <w:spacing w:after="0" w:line="240" w:lineRule="auto"/>
            </w:pPr>
            <w:r/>
            <w:r>
              <w:rPr>
                <w:b w:val="0"/>
                <w:sz w:val="15"/>
              </w:rPr>
              <w:t>Missing / inconsistent</w:t>
            </w:r>
          </w:p>
        </w:tc>
      </w:tr>
      <w:tr>
        <w:tc>
          <w:tcPr>
            <w:tcW w:type="dxa" w:w="1757"/>
            <w:vAlign w:val="top"/>
          </w:tcPr>
          <w:p>
            <w:pPr>
              <w:spacing w:after="0" w:line="240" w:lineRule="auto"/>
            </w:pPr>
            <w:r/>
            <w:r>
              <w:rPr>
                <w:b w:val="0"/>
                <w:sz w:val="15"/>
              </w:rPr>
              <w:t>EBIT coverage</w:t>
            </w:r>
          </w:p>
        </w:tc>
        <w:tc>
          <w:tcPr>
            <w:tcW w:type="dxa" w:w="1757"/>
            <w:vAlign w:val="top"/>
          </w:tcPr>
          <w:p>
            <w:pPr>
              <w:spacing w:after="0" w:line="240" w:lineRule="auto"/>
            </w:pPr>
            <w:r/>
            <w:r>
              <w:rPr>
                <w:b w:val="0"/>
                <w:sz w:val="15"/>
              </w:rPr>
              <w:t>25%</w:t>
            </w:r>
          </w:p>
        </w:tc>
        <w:tc>
          <w:tcPr>
            <w:tcW w:type="dxa" w:w="1757"/>
            <w:vAlign w:val="top"/>
          </w:tcPr>
          <w:p>
            <w:pPr>
              <w:spacing w:after="0" w:line="240" w:lineRule="auto"/>
            </w:pPr>
            <w:r/>
            <w:r>
              <w:rPr>
                <w:b w:val="0"/>
                <w:sz w:val="15"/>
              </w:rPr>
              <w:t>Strong count + Y+1:Y+3</w:t>
            </w:r>
          </w:p>
        </w:tc>
        <w:tc>
          <w:tcPr>
            <w:tcW w:type="dxa" w:w="1757"/>
            <w:vAlign w:val="top"/>
          </w:tcPr>
          <w:p>
            <w:pPr>
              <w:spacing w:after="0" w:line="240" w:lineRule="auto"/>
            </w:pPr>
            <w:r/>
            <w:r>
              <w:rPr>
                <w:b w:val="0"/>
                <w:sz w:val="15"/>
              </w:rPr>
              <w:t>Available medium count</w:t>
            </w:r>
          </w:p>
        </w:tc>
        <w:tc>
          <w:tcPr>
            <w:tcW w:type="dxa" w:w="1757"/>
            <w:vAlign w:val="top"/>
          </w:tcPr>
          <w:p>
            <w:pPr>
              <w:spacing w:after="0" w:line="240" w:lineRule="auto"/>
            </w:pPr>
            <w:r/>
            <w:r>
              <w:rPr>
                <w:b w:val="0"/>
                <w:sz w:val="15"/>
              </w:rPr>
              <w:t>Missing years</w:t>
            </w:r>
          </w:p>
        </w:tc>
        <w:tc>
          <w:tcPr>
            <w:tcW w:type="dxa" w:w="1757"/>
            <w:vAlign w:val="top"/>
          </w:tcPr>
          <w:p>
            <w:pPr>
              <w:spacing w:after="0" w:line="240" w:lineRule="auto"/>
            </w:pPr>
            <w:r/>
            <w:r>
              <w:rPr>
                <w:b w:val="0"/>
                <w:sz w:val="15"/>
              </w:rPr>
              <w:t>Missing / inconsistent</w:t>
            </w:r>
          </w:p>
        </w:tc>
      </w:tr>
      <w:tr>
        <w:tc>
          <w:tcPr>
            <w:tcW w:type="dxa" w:w="1757"/>
            <w:vAlign w:val="top"/>
          </w:tcPr>
          <w:p>
            <w:pPr>
              <w:spacing w:after="0" w:line="240" w:lineRule="auto"/>
            </w:pPr>
            <w:r/>
            <w:r>
              <w:rPr>
                <w:b w:val="0"/>
                <w:sz w:val="15"/>
              </w:rPr>
              <w:t>Reasonableness</w:t>
            </w:r>
          </w:p>
        </w:tc>
        <w:tc>
          <w:tcPr>
            <w:tcW w:type="dxa" w:w="1757"/>
            <w:vAlign w:val="top"/>
          </w:tcPr>
          <w:p>
            <w:pPr>
              <w:spacing w:after="0" w:line="240" w:lineRule="auto"/>
            </w:pPr>
            <w:r/>
            <w:r>
              <w:rPr>
                <w:b w:val="0"/>
                <w:sz w:val="15"/>
              </w:rPr>
              <w:t>20%</w:t>
            </w:r>
          </w:p>
        </w:tc>
        <w:tc>
          <w:tcPr>
            <w:tcW w:type="dxa" w:w="1757"/>
            <w:vAlign w:val="top"/>
          </w:tcPr>
          <w:p>
            <w:pPr>
              <w:spacing w:after="0" w:line="240" w:lineRule="auto"/>
            </w:pPr>
            <w:r/>
            <w:r>
              <w:rPr>
                <w:b w:val="0"/>
                <w:sz w:val="15"/>
              </w:rPr>
              <w:t>Pass</w:t>
            </w:r>
          </w:p>
        </w:tc>
        <w:tc>
          <w:tcPr>
            <w:tcW w:type="dxa" w:w="1757"/>
            <w:vAlign w:val="top"/>
          </w:tcPr>
          <w:p>
            <w:pPr>
              <w:spacing w:after="0" w:line="240" w:lineRule="auto"/>
            </w:pPr>
            <w:r/>
            <w:r>
              <w:rPr>
                <w:b w:val="0"/>
                <w:sz w:val="15"/>
              </w:rPr>
              <w:t>Minor watch</w:t>
            </w:r>
          </w:p>
        </w:tc>
        <w:tc>
          <w:tcPr>
            <w:tcW w:type="dxa" w:w="1757"/>
            <w:vAlign w:val="top"/>
          </w:tcPr>
          <w:p>
            <w:pPr>
              <w:spacing w:after="0" w:line="240" w:lineRule="auto"/>
            </w:pPr>
            <w:r/>
            <w:r>
              <w:rPr>
                <w:b w:val="0"/>
                <w:sz w:val="15"/>
              </w:rPr>
              <w:t>Several watches</w:t>
            </w:r>
          </w:p>
        </w:tc>
        <w:tc>
          <w:tcPr>
            <w:tcW w:type="dxa" w:w="1757"/>
            <w:vAlign w:val="top"/>
          </w:tcPr>
          <w:p>
            <w:pPr>
              <w:spacing w:after="0" w:line="240" w:lineRule="auto"/>
            </w:pPr>
            <w:r/>
            <w:r>
              <w:rPr>
                <w:b w:val="0"/>
                <w:sz w:val="15"/>
              </w:rPr>
              <w:t>Major fail</w:t>
            </w:r>
          </w:p>
        </w:tc>
      </w:tr>
      <w:tr>
        <w:tc>
          <w:tcPr>
            <w:tcW w:type="dxa" w:w="1757"/>
            <w:vAlign w:val="top"/>
          </w:tcPr>
          <w:p>
            <w:pPr>
              <w:spacing w:after="0" w:line="240" w:lineRule="auto"/>
            </w:pPr>
            <w:r/>
            <w:r>
              <w:rPr>
                <w:b w:val="0"/>
                <w:sz w:val="15"/>
              </w:rPr>
              <w:t>Historical stability</w:t>
            </w:r>
          </w:p>
        </w:tc>
        <w:tc>
          <w:tcPr>
            <w:tcW w:type="dxa" w:w="1757"/>
            <w:vAlign w:val="top"/>
          </w:tcPr>
          <w:p>
            <w:pPr>
              <w:spacing w:after="0" w:line="240" w:lineRule="auto"/>
            </w:pPr>
            <w:r/>
            <w:r>
              <w:rPr>
                <w:b w:val="0"/>
                <w:sz w:val="15"/>
              </w:rPr>
              <w:t>10%</w:t>
            </w:r>
          </w:p>
        </w:tc>
        <w:tc>
          <w:tcPr>
            <w:tcW w:type="dxa" w:w="1757"/>
            <w:vAlign w:val="top"/>
          </w:tcPr>
          <w:p>
            <w:pPr>
              <w:spacing w:after="0" w:line="240" w:lineRule="auto"/>
            </w:pPr>
            <w:r/>
            <w:r>
              <w:rPr>
                <w:b w:val="0"/>
                <w:sz w:val="15"/>
              </w:rPr>
              <w:t>Stable</w:t>
            </w:r>
          </w:p>
        </w:tc>
        <w:tc>
          <w:tcPr>
            <w:tcW w:type="dxa" w:w="1757"/>
            <w:vAlign w:val="top"/>
          </w:tcPr>
          <w:p>
            <w:pPr>
              <w:spacing w:after="0" w:line="240" w:lineRule="auto"/>
            </w:pPr>
            <w:r/>
            <w:r>
              <w:rPr>
                <w:b w:val="0"/>
                <w:sz w:val="15"/>
              </w:rPr>
              <w:t>Some volatility</w:t>
            </w:r>
          </w:p>
        </w:tc>
        <w:tc>
          <w:tcPr>
            <w:tcW w:type="dxa" w:w="1757"/>
            <w:vAlign w:val="top"/>
          </w:tcPr>
          <w:p>
            <w:pPr>
              <w:spacing w:after="0" w:line="240" w:lineRule="auto"/>
            </w:pPr>
            <w:r/>
            <w:r>
              <w:rPr>
                <w:b w:val="0"/>
                <w:sz w:val="15"/>
              </w:rPr>
              <w:t>Volatile</w:t>
            </w:r>
          </w:p>
        </w:tc>
        <w:tc>
          <w:tcPr>
            <w:tcW w:type="dxa" w:w="1757"/>
            <w:vAlign w:val="top"/>
          </w:tcPr>
          <w:p>
            <w:pPr>
              <w:spacing w:after="0" w:line="240" w:lineRule="auto"/>
            </w:pPr>
            <w:r/>
            <w:r>
              <w:rPr>
                <w:b w:val="0"/>
                <w:sz w:val="15"/>
              </w:rPr>
              <w:t>Cyclical / abnormal</w:t>
            </w:r>
          </w:p>
        </w:tc>
      </w:tr>
      <w:tr>
        <w:tc>
          <w:tcPr>
            <w:tcW w:type="dxa" w:w="1757"/>
            <w:vAlign w:val="top"/>
          </w:tcPr>
          <w:p>
            <w:pPr>
              <w:spacing w:after="0" w:line="240" w:lineRule="auto"/>
            </w:pPr>
            <w:r/>
            <w:r>
              <w:rPr>
                <w:b w:val="0"/>
                <w:sz w:val="15"/>
              </w:rPr>
              <w:t>Industry / model fit</w:t>
            </w:r>
          </w:p>
        </w:tc>
        <w:tc>
          <w:tcPr>
            <w:tcW w:type="dxa" w:w="1757"/>
            <w:vAlign w:val="top"/>
          </w:tcPr>
          <w:p>
            <w:pPr>
              <w:spacing w:after="0" w:line="240" w:lineRule="auto"/>
            </w:pPr>
            <w:r/>
            <w:r>
              <w:rPr>
                <w:b w:val="0"/>
                <w:sz w:val="15"/>
              </w:rPr>
              <w:t>10%</w:t>
            </w:r>
          </w:p>
        </w:tc>
        <w:tc>
          <w:tcPr>
            <w:tcW w:type="dxa" w:w="1757"/>
            <w:vAlign w:val="top"/>
          </w:tcPr>
          <w:p>
            <w:pPr>
              <w:spacing w:after="0" w:line="240" w:lineRule="auto"/>
            </w:pPr>
            <w:r/>
            <w:r>
              <w:rPr>
                <w:b w:val="0"/>
                <w:sz w:val="15"/>
              </w:rPr>
              <w:t>Fits benchmark config</w:t>
            </w:r>
          </w:p>
        </w:tc>
        <w:tc>
          <w:tcPr>
            <w:tcW w:type="dxa" w:w="1757"/>
            <w:vAlign w:val="top"/>
          </w:tcPr>
          <w:p>
            <w:pPr>
              <w:spacing w:after="0" w:line="240" w:lineRule="auto"/>
            </w:pPr>
            <w:r/>
            <w:r>
              <w:rPr>
                <w:b w:val="0"/>
                <w:sz w:val="15"/>
              </w:rPr>
              <w:t>Mostly fits</w:t>
            </w:r>
          </w:p>
        </w:tc>
        <w:tc>
          <w:tcPr>
            <w:tcW w:type="dxa" w:w="1757"/>
            <w:vAlign w:val="top"/>
          </w:tcPr>
          <w:p>
            <w:pPr>
              <w:spacing w:after="0" w:line="240" w:lineRule="auto"/>
            </w:pPr>
            <w:r/>
            <w:r>
              <w:rPr>
                <w:b w:val="0"/>
                <w:sz w:val="15"/>
              </w:rPr>
              <w:t>Unclear</w:t>
            </w:r>
          </w:p>
        </w:tc>
        <w:tc>
          <w:tcPr>
            <w:tcW w:type="dxa" w:w="1757"/>
            <w:vAlign w:val="top"/>
          </w:tcPr>
          <w:p>
            <w:pPr>
              <w:spacing w:after="0" w:line="240" w:lineRule="auto"/>
            </w:pPr>
            <w:r/>
            <w:r>
              <w:rPr>
                <w:b w:val="0"/>
                <w:sz w:val="15"/>
              </w:rPr>
              <w:t>Model mismatch</w:t>
            </w:r>
          </w:p>
        </w:tc>
      </w:tr>
      <w:tr>
        <w:tc>
          <w:tcPr>
            <w:tcW w:type="dxa" w:w="1757"/>
            <w:vAlign w:val="top"/>
          </w:tcPr>
          <w:p>
            <w:pPr>
              <w:spacing w:after="0" w:line="240" w:lineRule="auto"/>
            </w:pPr>
            <w:r/>
            <w:r>
              <w:rPr>
                <w:b w:val="0"/>
                <w:sz w:val="15"/>
              </w:rPr>
              <w:t>Reinvestment support</w:t>
            </w:r>
          </w:p>
        </w:tc>
        <w:tc>
          <w:tcPr>
            <w:tcW w:type="dxa" w:w="1757"/>
            <w:vAlign w:val="top"/>
          </w:tcPr>
          <w:p>
            <w:pPr>
              <w:spacing w:after="0" w:line="240" w:lineRule="auto"/>
            </w:pPr>
            <w:r/>
            <w:r>
              <w:rPr>
                <w:b w:val="0"/>
                <w:sz w:val="15"/>
              </w:rPr>
              <w:t>10%</w:t>
            </w:r>
          </w:p>
        </w:tc>
        <w:tc>
          <w:tcPr>
            <w:tcW w:type="dxa" w:w="1757"/>
            <w:vAlign w:val="top"/>
          </w:tcPr>
          <w:p>
            <w:pPr>
              <w:spacing w:after="0" w:line="240" w:lineRule="auto"/>
            </w:pPr>
            <w:r/>
            <w:r>
              <w:rPr>
                <w:b w:val="0"/>
                <w:sz w:val="15"/>
              </w:rPr>
              <w:t>Growth funded</w:t>
            </w:r>
          </w:p>
        </w:tc>
        <w:tc>
          <w:tcPr>
            <w:tcW w:type="dxa" w:w="1757"/>
            <w:vAlign w:val="top"/>
          </w:tcPr>
          <w:p>
            <w:pPr>
              <w:spacing w:after="0" w:line="240" w:lineRule="auto"/>
            </w:pPr>
            <w:r/>
            <w:r>
              <w:rPr>
                <w:b w:val="0"/>
                <w:sz w:val="15"/>
              </w:rPr>
              <w:t>Mostly funded</w:t>
            </w:r>
          </w:p>
        </w:tc>
        <w:tc>
          <w:tcPr>
            <w:tcW w:type="dxa" w:w="1757"/>
            <w:vAlign w:val="top"/>
          </w:tcPr>
          <w:p>
            <w:pPr>
              <w:spacing w:after="0" w:line="240" w:lineRule="auto"/>
            </w:pPr>
            <w:r/>
            <w:r>
              <w:rPr>
                <w:b w:val="0"/>
                <w:sz w:val="15"/>
              </w:rPr>
              <w:t>Weak support</w:t>
            </w:r>
          </w:p>
        </w:tc>
        <w:tc>
          <w:tcPr>
            <w:tcW w:type="dxa" w:w="1757"/>
            <w:vAlign w:val="top"/>
          </w:tcPr>
          <w:p>
            <w:pPr>
              <w:spacing w:after="0" w:line="240" w:lineRule="auto"/>
            </w:pPr>
            <w:r/>
            <w:r>
              <w:rPr>
                <w:b w:val="0"/>
                <w:sz w:val="15"/>
              </w:rPr>
              <w:t>Growth without reinvestment</w:t>
            </w:r>
          </w:p>
        </w:tc>
      </w:tr>
    </w:tbl>
    <w:p/>
    <w:p>
      <w:pPr>
        <w:pStyle w:val="TableTitle"/>
      </w:pPr>
      <w:r>
        <w:rPr>
          <w:b/>
        </w:rPr>
        <w:t>Table - tblModelModeFadeDefaults</w:t>
      </w:r>
    </w:p>
    <w:p>
      <w:pPr>
        <w:pStyle w:val="TablePurpose"/>
      </w:pPr>
      <w:r>
        <w:t>Default fade start/stable state/terminal start by model mode.</w:t>
      </w:r>
    </w:p>
    <w:tbl>
      <w:tblPr>
        <w:tblStyle w:val="TableGrid"/>
        <w:tblW w:type="auto" w:w="0"/>
        <w:jc w:val="center"/>
        <w:tblLayout w:type="autofit"/>
        <w:tblLook w:firstColumn="1" w:firstRow="1" w:lastColumn="0" w:lastRow="0" w:noHBand="0" w:noVBand="1" w:val="04A0"/>
      </w:tblPr>
      <w:tblGrid>
        <w:gridCol w:w="1506"/>
        <w:gridCol w:w="1506"/>
        <w:gridCol w:w="1506"/>
        <w:gridCol w:w="1506"/>
        <w:gridCol w:w="1506"/>
        <w:gridCol w:w="1506"/>
        <w:gridCol w:w="1506"/>
      </w:tblGrid>
      <w:tr>
        <w:tc>
          <w:tcPr>
            <w:tcW w:type="dxa" w:w="1506"/>
            <w:vAlign w:val="top"/>
            <w:shd w:fill="D9EAF7"/>
          </w:tcPr>
          <w:p>
            <w:pPr>
              <w:spacing w:after="0" w:line="240" w:lineRule="auto"/>
            </w:pPr>
            <w:r/>
            <w:r>
              <w:rPr>
                <w:b/>
                <w:sz w:val="16"/>
              </w:rPr>
              <w:t>Model Mode</w:t>
            </w:r>
          </w:p>
        </w:tc>
        <w:tc>
          <w:tcPr>
            <w:tcW w:type="dxa" w:w="1506"/>
            <w:vAlign w:val="top"/>
            <w:shd w:fill="D9EAF7"/>
          </w:tcPr>
          <w:p>
            <w:pPr>
              <w:spacing w:after="0" w:line="240" w:lineRule="auto"/>
            </w:pPr>
            <w:r/>
            <w:r>
              <w:rPr>
                <w:b/>
                <w:sz w:val="16"/>
              </w:rPr>
              <w:t>Default Horizon</w:t>
            </w:r>
          </w:p>
        </w:tc>
        <w:tc>
          <w:tcPr>
            <w:tcW w:type="dxa" w:w="1506"/>
            <w:vAlign w:val="top"/>
            <w:shd w:fill="D9EAF7"/>
          </w:tcPr>
          <w:p>
            <w:pPr>
              <w:spacing w:after="0" w:line="240" w:lineRule="auto"/>
            </w:pPr>
            <w:r/>
            <w:r>
              <w:rPr>
                <w:b/>
                <w:sz w:val="16"/>
              </w:rPr>
              <w:t>Default Fade Start</w:t>
            </w:r>
          </w:p>
        </w:tc>
        <w:tc>
          <w:tcPr>
            <w:tcW w:type="dxa" w:w="1506"/>
            <w:vAlign w:val="top"/>
            <w:shd w:fill="D9EAF7"/>
          </w:tcPr>
          <w:p>
            <w:pPr>
              <w:spacing w:after="0" w:line="240" w:lineRule="auto"/>
            </w:pPr>
            <w:r/>
            <w:r>
              <w:rPr>
                <w:b/>
                <w:sz w:val="16"/>
              </w:rPr>
              <w:t>Default Stable State Year</w:t>
            </w:r>
          </w:p>
        </w:tc>
        <w:tc>
          <w:tcPr>
            <w:tcW w:type="dxa" w:w="1506"/>
            <w:vAlign w:val="top"/>
            <w:shd w:fill="D9EAF7"/>
          </w:tcPr>
          <w:p>
            <w:pPr>
              <w:spacing w:after="0" w:line="240" w:lineRule="auto"/>
            </w:pPr>
            <w:r/>
            <w:r>
              <w:rPr>
                <w:b/>
                <w:sz w:val="16"/>
              </w:rPr>
              <w:t>Terminal Start Year</w:t>
            </w:r>
          </w:p>
        </w:tc>
        <w:tc>
          <w:tcPr>
            <w:tcW w:type="dxa" w:w="1506"/>
            <w:vAlign w:val="top"/>
            <w:shd w:fill="D9EAF7"/>
          </w:tcPr>
          <w:p>
            <w:pPr>
              <w:spacing w:after="0" w:line="240" w:lineRule="auto"/>
            </w:pPr>
            <w:r/>
            <w:r>
              <w:rPr>
                <w:b/>
                <w:sz w:val="16"/>
              </w:rPr>
              <w:t>Typical Use Case</w:t>
            </w:r>
          </w:p>
        </w:tc>
        <w:tc>
          <w:tcPr>
            <w:tcW w:type="dxa" w:w="1506"/>
            <w:vAlign w:val="top"/>
            <w:shd w:fill="D9EAF7"/>
          </w:tcPr>
          <w:p>
            <w:pPr>
              <w:spacing w:after="0" w:line="240" w:lineRule="auto"/>
            </w:pPr>
            <w:r/>
            <w:r>
              <w:rPr>
                <w:b/>
                <w:sz w:val="16"/>
              </w:rPr>
              <w:t>Default Model Risk</w:t>
            </w:r>
          </w:p>
        </w:tc>
      </w:tr>
      <w:tr>
        <w:tc>
          <w:tcPr>
            <w:tcW w:type="dxa" w:w="1506"/>
            <w:vAlign w:val="top"/>
          </w:tcPr>
          <w:p>
            <w:pPr>
              <w:spacing w:after="0" w:line="240" w:lineRule="auto"/>
            </w:pPr>
            <w:r/>
            <w:r>
              <w:rPr>
                <w:b w:val="0"/>
                <w:sz w:val="15"/>
              </w:rPr>
              <w:t>Stable FCFF</w:t>
            </w:r>
          </w:p>
        </w:tc>
        <w:tc>
          <w:tcPr>
            <w:tcW w:type="dxa" w:w="1506"/>
            <w:vAlign w:val="top"/>
          </w:tcPr>
          <w:p>
            <w:pPr>
              <w:spacing w:after="0" w:line="240" w:lineRule="auto"/>
            </w:pPr>
            <w:r/>
            <w:r>
              <w:rPr>
                <w:b w:val="0"/>
                <w:sz w:val="15"/>
              </w:rPr>
              <w:t>1-3</w:t>
            </w:r>
          </w:p>
        </w:tc>
        <w:tc>
          <w:tcPr>
            <w:tcW w:type="dxa" w:w="1506"/>
            <w:vAlign w:val="top"/>
          </w:tcPr>
          <w:p>
            <w:pPr>
              <w:spacing w:after="0" w:line="240" w:lineRule="auto"/>
            </w:pPr>
            <w:r/>
            <w:r>
              <w:rPr>
                <w:b w:val="0"/>
                <w:sz w:val="15"/>
              </w:rPr>
              <w:t>Y+1</w:t>
            </w:r>
          </w:p>
        </w:tc>
        <w:tc>
          <w:tcPr>
            <w:tcW w:type="dxa" w:w="1506"/>
            <w:vAlign w:val="top"/>
          </w:tcPr>
          <w:p>
            <w:pPr>
              <w:spacing w:after="0" w:line="240" w:lineRule="auto"/>
            </w:pPr>
            <w:r/>
            <w:r>
              <w:rPr>
                <w:b w:val="0"/>
                <w:sz w:val="15"/>
              </w:rPr>
              <w:t>Y+3</w:t>
            </w:r>
          </w:p>
        </w:tc>
        <w:tc>
          <w:tcPr>
            <w:tcW w:type="dxa" w:w="1506"/>
            <w:vAlign w:val="top"/>
          </w:tcPr>
          <w:p>
            <w:pPr>
              <w:spacing w:after="0" w:line="240" w:lineRule="auto"/>
            </w:pPr>
            <w:r/>
            <w:r>
              <w:rPr>
                <w:b w:val="0"/>
                <w:sz w:val="15"/>
              </w:rPr>
              <w:t>Y+4</w:t>
            </w:r>
          </w:p>
        </w:tc>
        <w:tc>
          <w:tcPr>
            <w:tcW w:type="dxa" w:w="1506"/>
            <w:vAlign w:val="top"/>
          </w:tcPr>
          <w:p>
            <w:pPr>
              <w:spacing w:after="0" w:line="240" w:lineRule="auto"/>
            </w:pPr>
            <w:r/>
            <w:r>
              <w:rPr>
                <w:b w:val="0"/>
                <w:sz w:val="15"/>
              </w:rPr>
              <w:t>Mature stable company</w:t>
            </w:r>
          </w:p>
        </w:tc>
        <w:tc>
          <w:tcPr>
            <w:tcW w:type="dxa" w:w="1506"/>
            <w:vAlign w:val="top"/>
          </w:tcPr>
          <w:p>
            <w:pPr>
              <w:spacing w:after="0" w:line="240" w:lineRule="auto"/>
            </w:pPr>
            <w:r/>
            <w:r>
              <w:rPr>
                <w:b w:val="0"/>
                <w:sz w:val="15"/>
              </w:rPr>
              <w:t>Low/Medium</w:t>
            </w:r>
          </w:p>
        </w:tc>
      </w:tr>
      <w:tr>
        <w:tc>
          <w:tcPr>
            <w:tcW w:type="dxa" w:w="1506"/>
            <w:vAlign w:val="top"/>
          </w:tcPr>
          <w:p>
            <w:pPr>
              <w:spacing w:after="0" w:line="240" w:lineRule="auto"/>
            </w:pPr>
            <w:r/>
            <w:r>
              <w:rPr>
                <w:b w:val="0"/>
                <w:sz w:val="15"/>
              </w:rPr>
              <w:t>2-stage FCFF</w:t>
            </w:r>
          </w:p>
        </w:tc>
        <w:tc>
          <w:tcPr>
            <w:tcW w:type="dxa" w:w="1506"/>
            <w:vAlign w:val="top"/>
          </w:tcPr>
          <w:p>
            <w:pPr>
              <w:spacing w:after="0" w:line="240" w:lineRule="auto"/>
            </w:pPr>
            <w:r/>
            <w:r>
              <w:rPr>
                <w:b w:val="0"/>
                <w:sz w:val="15"/>
              </w:rPr>
              <w:t>5</w:t>
            </w:r>
          </w:p>
        </w:tc>
        <w:tc>
          <w:tcPr>
            <w:tcW w:type="dxa" w:w="1506"/>
            <w:vAlign w:val="top"/>
          </w:tcPr>
          <w:p>
            <w:pPr>
              <w:spacing w:after="0" w:line="240" w:lineRule="auto"/>
            </w:pPr>
            <w:r/>
            <w:r>
              <w:rPr>
                <w:b w:val="0"/>
                <w:sz w:val="15"/>
              </w:rPr>
              <w:t>Y+1</w:t>
            </w:r>
          </w:p>
        </w:tc>
        <w:tc>
          <w:tcPr>
            <w:tcW w:type="dxa" w:w="1506"/>
            <w:vAlign w:val="top"/>
          </w:tcPr>
          <w:p>
            <w:pPr>
              <w:spacing w:after="0" w:line="240" w:lineRule="auto"/>
            </w:pPr>
            <w:r/>
            <w:r>
              <w:rPr>
                <w:b w:val="0"/>
                <w:sz w:val="15"/>
              </w:rPr>
              <w:t>Y+5</w:t>
            </w:r>
          </w:p>
        </w:tc>
        <w:tc>
          <w:tcPr>
            <w:tcW w:type="dxa" w:w="1506"/>
            <w:vAlign w:val="top"/>
          </w:tcPr>
          <w:p>
            <w:pPr>
              <w:spacing w:after="0" w:line="240" w:lineRule="auto"/>
            </w:pPr>
            <w:r/>
            <w:r>
              <w:rPr>
                <w:b w:val="0"/>
                <w:sz w:val="15"/>
              </w:rPr>
              <w:t>Y+6</w:t>
            </w:r>
          </w:p>
        </w:tc>
        <w:tc>
          <w:tcPr>
            <w:tcW w:type="dxa" w:w="1506"/>
            <w:vAlign w:val="top"/>
          </w:tcPr>
          <w:p>
            <w:pPr>
              <w:spacing w:after="0" w:line="240" w:lineRule="auto"/>
            </w:pPr>
            <w:r/>
            <w:r>
              <w:rPr>
                <w:b w:val="0"/>
                <w:sz w:val="15"/>
              </w:rPr>
              <w:t>Moderate growth</w:t>
            </w:r>
          </w:p>
        </w:tc>
        <w:tc>
          <w:tcPr>
            <w:tcW w:type="dxa" w:w="1506"/>
            <w:vAlign w:val="top"/>
          </w:tcPr>
          <w:p>
            <w:pPr>
              <w:spacing w:after="0" w:line="240" w:lineRule="auto"/>
            </w:pPr>
            <w:r/>
            <w:r>
              <w:rPr>
                <w:b w:val="0"/>
                <w:sz w:val="15"/>
              </w:rPr>
              <w:t>Medium</w:t>
            </w:r>
          </w:p>
        </w:tc>
      </w:tr>
      <w:tr>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10</w:t>
            </w:r>
          </w:p>
        </w:tc>
        <w:tc>
          <w:tcPr>
            <w:tcW w:type="dxa" w:w="1506"/>
            <w:vAlign w:val="top"/>
          </w:tcPr>
          <w:p>
            <w:pPr>
              <w:spacing w:after="0" w:line="240" w:lineRule="auto"/>
            </w:pPr>
            <w:r/>
            <w:r>
              <w:rPr>
                <w:b w:val="0"/>
                <w:sz w:val="15"/>
              </w:rPr>
              <w:t>Y+4</w:t>
            </w:r>
          </w:p>
        </w:tc>
        <w:tc>
          <w:tcPr>
            <w:tcW w:type="dxa" w:w="1506"/>
            <w:vAlign w:val="top"/>
          </w:tcPr>
          <w:p>
            <w:pPr>
              <w:spacing w:after="0" w:line="240" w:lineRule="auto"/>
            </w:pPr>
            <w:r/>
            <w:r>
              <w:rPr>
                <w:b w:val="0"/>
                <w:sz w:val="15"/>
              </w:rPr>
              <w:t>Y+10</w:t>
            </w:r>
          </w:p>
        </w:tc>
        <w:tc>
          <w:tcPr>
            <w:tcW w:type="dxa" w:w="1506"/>
            <w:vAlign w:val="top"/>
          </w:tcPr>
          <w:p>
            <w:pPr>
              <w:spacing w:after="0" w:line="240" w:lineRule="auto"/>
            </w:pPr>
            <w:r/>
            <w:r>
              <w:rPr>
                <w:b w:val="0"/>
                <w:sz w:val="15"/>
              </w:rPr>
              <w:t>Y+11</w:t>
            </w:r>
          </w:p>
        </w:tc>
        <w:tc>
          <w:tcPr>
            <w:tcW w:type="dxa" w:w="1506"/>
            <w:vAlign w:val="top"/>
          </w:tcPr>
          <w:p>
            <w:pPr>
              <w:spacing w:after="0" w:line="240" w:lineRule="auto"/>
            </w:pPr>
            <w:r/>
            <w:r>
              <w:rPr>
                <w:b w:val="0"/>
                <w:sz w:val="15"/>
              </w:rPr>
              <w:t>Growth to stable</w:t>
            </w:r>
          </w:p>
        </w:tc>
        <w:tc>
          <w:tcPr>
            <w:tcW w:type="dxa" w:w="1506"/>
            <w:vAlign w:val="top"/>
          </w:tcPr>
          <w:p>
            <w:pPr>
              <w:spacing w:after="0" w:line="240" w:lineRule="auto"/>
            </w:pPr>
            <w:r/>
            <w:r>
              <w:rPr>
                <w:b w:val="0"/>
                <w:sz w:val="15"/>
              </w:rPr>
              <w:t>Medium/High</w:t>
            </w:r>
          </w:p>
        </w:tc>
      </w:tr>
      <w:tr>
        <w:tc>
          <w:tcPr>
            <w:tcW w:type="dxa" w:w="1506"/>
            <w:vAlign w:val="top"/>
          </w:tcPr>
          <w:p>
            <w:pPr>
              <w:spacing w:after="0" w:line="240" w:lineRule="auto"/>
            </w:pPr>
            <w:r/>
            <w:r>
              <w:rPr>
                <w:b w:val="0"/>
                <w:sz w:val="15"/>
              </w:rPr>
              <w:t>n-stage / generalized FCFF</w:t>
            </w:r>
          </w:p>
        </w:tc>
        <w:tc>
          <w:tcPr>
            <w:tcW w:type="dxa" w:w="1506"/>
            <w:vAlign w:val="top"/>
          </w:tcPr>
          <w:p>
            <w:pPr>
              <w:spacing w:after="0" w:line="240" w:lineRule="auto"/>
            </w:pPr>
            <w:r/>
            <w:r>
              <w:rPr>
                <w:b w:val="0"/>
                <w:sz w:val="15"/>
              </w:rPr>
              <w:t>Custom</w:t>
            </w:r>
          </w:p>
        </w:tc>
        <w:tc>
          <w:tcPr>
            <w:tcW w:type="dxa" w:w="1506"/>
            <w:vAlign w:val="top"/>
          </w:tcPr>
          <w:p>
            <w:pPr>
              <w:spacing w:after="0" w:line="240" w:lineRule="auto"/>
            </w:pPr>
            <w:r/>
            <w:r>
              <w:rPr>
                <w:b w:val="0"/>
                <w:sz w:val="15"/>
              </w:rPr>
              <w:t>Custom</w:t>
            </w:r>
          </w:p>
        </w:tc>
        <w:tc>
          <w:tcPr>
            <w:tcW w:type="dxa" w:w="1506"/>
            <w:vAlign w:val="top"/>
          </w:tcPr>
          <w:p>
            <w:pPr>
              <w:spacing w:after="0" w:line="240" w:lineRule="auto"/>
            </w:pPr>
            <w:r/>
            <w:r>
              <w:rPr>
                <w:b w:val="0"/>
                <w:sz w:val="15"/>
              </w:rPr>
              <w:t>Custom</w:t>
            </w:r>
          </w:p>
        </w:tc>
        <w:tc>
          <w:tcPr>
            <w:tcW w:type="dxa" w:w="1506"/>
            <w:vAlign w:val="top"/>
          </w:tcPr>
          <w:p>
            <w:pPr>
              <w:spacing w:after="0" w:line="240" w:lineRule="auto"/>
            </w:pPr>
            <w:r/>
            <w:r>
              <w:rPr>
                <w:b w:val="0"/>
                <w:sz w:val="15"/>
              </w:rPr>
              <w:t>Custom</w:t>
            </w:r>
          </w:p>
        </w:tc>
        <w:tc>
          <w:tcPr>
            <w:tcW w:type="dxa" w:w="1506"/>
            <w:vAlign w:val="top"/>
          </w:tcPr>
          <w:p>
            <w:pPr>
              <w:spacing w:after="0" w:line="240" w:lineRule="auto"/>
            </w:pPr>
            <w:r/>
            <w:r>
              <w:rPr>
                <w:b w:val="0"/>
                <w:sz w:val="15"/>
              </w:rPr>
              <w:t>Turnaround/cyclical/complex</w:t>
            </w:r>
          </w:p>
        </w:tc>
        <w:tc>
          <w:tcPr>
            <w:tcW w:type="dxa" w:w="1506"/>
            <w:vAlign w:val="top"/>
          </w:tcPr>
          <w:p>
            <w:pPr>
              <w:spacing w:after="0" w:line="240" w:lineRule="auto"/>
            </w:pPr>
            <w:r/>
            <w:r>
              <w:rPr>
                <w:b w:val="0"/>
                <w:sz w:val="15"/>
              </w:rPr>
              <w:t>High</w:t>
            </w:r>
          </w:p>
        </w:tc>
      </w:tr>
      <w:tr>
        <w:tc>
          <w:tcPr>
            <w:tcW w:type="dxa" w:w="1506"/>
            <w:vAlign w:val="top"/>
          </w:tcPr>
          <w:p>
            <w:pPr>
              <w:spacing w:after="0" w:line="240" w:lineRule="auto"/>
            </w:pPr>
            <w:r/>
            <w:r>
              <w:rPr>
                <w:b w:val="0"/>
                <w:sz w:val="15"/>
              </w:rPr>
              <w:t>Cyclical normalized FCFF</w:t>
            </w:r>
          </w:p>
        </w:tc>
        <w:tc>
          <w:tcPr>
            <w:tcW w:type="dxa" w:w="1506"/>
            <w:vAlign w:val="top"/>
          </w:tcPr>
          <w:p>
            <w:pPr>
              <w:spacing w:after="0" w:line="240" w:lineRule="auto"/>
            </w:pPr>
            <w:r/>
            <w:r>
              <w:rPr>
                <w:b w:val="0"/>
                <w:sz w:val="15"/>
              </w:rPr>
              <w:t>10 / extended</w:t>
            </w:r>
          </w:p>
        </w:tc>
        <w:tc>
          <w:tcPr>
            <w:tcW w:type="dxa" w:w="1506"/>
            <w:vAlign w:val="top"/>
          </w:tcPr>
          <w:p>
            <w:pPr>
              <w:spacing w:after="0" w:line="240" w:lineRule="auto"/>
            </w:pPr>
            <w:r/>
            <w:r>
              <w:rPr>
                <w:b w:val="0"/>
                <w:sz w:val="15"/>
              </w:rPr>
              <w:t>Custom</w:t>
            </w:r>
          </w:p>
        </w:tc>
        <w:tc>
          <w:tcPr>
            <w:tcW w:type="dxa" w:w="1506"/>
            <w:vAlign w:val="top"/>
          </w:tcPr>
          <w:p>
            <w:pPr>
              <w:spacing w:after="0" w:line="240" w:lineRule="auto"/>
            </w:pPr>
            <w:r/>
            <w:r>
              <w:rPr>
                <w:b w:val="0"/>
                <w:sz w:val="15"/>
              </w:rPr>
              <w:t>Mid-cycle normalized</w:t>
            </w:r>
          </w:p>
        </w:tc>
        <w:tc>
          <w:tcPr>
            <w:tcW w:type="dxa" w:w="1506"/>
            <w:vAlign w:val="top"/>
          </w:tcPr>
          <w:p>
            <w:pPr>
              <w:spacing w:after="0" w:line="240" w:lineRule="auto"/>
            </w:pPr>
            <w:r/>
            <w:r>
              <w:rPr>
                <w:b w:val="0"/>
                <w:sz w:val="15"/>
              </w:rPr>
              <w:t>Custom</w:t>
            </w:r>
          </w:p>
        </w:tc>
        <w:tc>
          <w:tcPr>
            <w:tcW w:type="dxa" w:w="1506"/>
            <w:vAlign w:val="top"/>
          </w:tcPr>
          <w:p>
            <w:pPr>
              <w:spacing w:after="0" w:line="240" w:lineRule="auto"/>
            </w:pPr>
            <w:r/>
            <w:r>
              <w:rPr>
                <w:b w:val="0"/>
                <w:sz w:val="15"/>
              </w:rPr>
              <w:t>Cyclical company</w:t>
            </w:r>
          </w:p>
        </w:tc>
        <w:tc>
          <w:tcPr>
            <w:tcW w:type="dxa" w:w="1506"/>
            <w:vAlign w:val="top"/>
          </w:tcPr>
          <w:p>
            <w:pPr>
              <w:spacing w:after="0" w:line="240" w:lineRule="auto"/>
            </w:pPr>
            <w:r/>
            <w:r>
              <w:rPr>
                <w:b w:val="0"/>
                <w:sz w:val="15"/>
              </w:rPr>
              <w:t>High</w:t>
            </w:r>
          </w:p>
        </w:tc>
      </w:tr>
      <w:tr>
        <w:tc>
          <w:tcPr>
            <w:tcW w:type="dxa" w:w="1506"/>
            <w:vAlign w:val="top"/>
          </w:tcPr>
          <w:p>
            <w:pPr>
              <w:spacing w:after="0" w:line="240" w:lineRule="auto"/>
            </w:pPr>
            <w:r/>
            <w:r>
              <w:rPr>
                <w:b w:val="0"/>
                <w:sz w:val="15"/>
              </w:rPr>
              <w:t>Negative earnings / turnaround FCFF</w:t>
            </w:r>
          </w:p>
        </w:tc>
        <w:tc>
          <w:tcPr>
            <w:tcW w:type="dxa" w:w="1506"/>
            <w:vAlign w:val="top"/>
          </w:tcPr>
          <w:p>
            <w:pPr>
              <w:spacing w:after="0" w:line="240" w:lineRule="auto"/>
            </w:pPr>
            <w:r/>
            <w:r>
              <w:rPr>
                <w:b w:val="0"/>
                <w:sz w:val="15"/>
              </w:rPr>
              <w:t>10+</w:t>
            </w:r>
          </w:p>
        </w:tc>
        <w:tc>
          <w:tcPr>
            <w:tcW w:type="dxa" w:w="1506"/>
            <w:vAlign w:val="top"/>
          </w:tcPr>
          <w:p>
            <w:pPr>
              <w:spacing w:after="0" w:line="240" w:lineRule="auto"/>
            </w:pPr>
            <w:r/>
            <w:r>
              <w:rPr>
                <w:b w:val="0"/>
                <w:sz w:val="15"/>
              </w:rPr>
              <w:t>Y+1</w:t>
            </w:r>
          </w:p>
        </w:tc>
        <w:tc>
          <w:tcPr>
            <w:tcW w:type="dxa" w:w="1506"/>
            <w:vAlign w:val="top"/>
          </w:tcPr>
          <w:p>
            <w:pPr>
              <w:spacing w:after="0" w:line="240" w:lineRule="auto"/>
            </w:pPr>
            <w:r/>
            <w:r>
              <w:rPr>
                <w:b w:val="0"/>
                <w:sz w:val="15"/>
              </w:rPr>
              <w:t>Custom</w:t>
            </w:r>
          </w:p>
        </w:tc>
        <w:tc>
          <w:tcPr>
            <w:tcW w:type="dxa" w:w="1506"/>
            <w:vAlign w:val="top"/>
          </w:tcPr>
          <w:p>
            <w:pPr>
              <w:spacing w:after="0" w:line="240" w:lineRule="auto"/>
            </w:pPr>
            <w:r/>
            <w:r>
              <w:rPr>
                <w:b w:val="0"/>
                <w:sz w:val="15"/>
              </w:rPr>
              <w:t>Custom</w:t>
            </w:r>
          </w:p>
        </w:tc>
        <w:tc>
          <w:tcPr>
            <w:tcW w:type="dxa" w:w="1506"/>
            <w:vAlign w:val="top"/>
          </w:tcPr>
          <w:p>
            <w:pPr>
              <w:spacing w:after="0" w:line="240" w:lineRule="auto"/>
            </w:pPr>
            <w:r/>
            <w:r>
              <w:rPr>
                <w:b w:val="0"/>
                <w:sz w:val="15"/>
              </w:rPr>
              <w:t>Negative EBIT / recovery</w:t>
            </w:r>
          </w:p>
        </w:tc>
        <w:tc>
          <w:tcPr>
            <w:tcW w:type="dxa" w:w="1506"/>
            <w:vAlign w:val="top"/>
          </w:tcPr>
          <w:p>
            <w:pPr>
              <w:spacing w:after="0" w:line="240" w:lineRule="auto"/>
            </w:pPr>
            <w:r/>
            <w:r>
              <w:rPr>
                <w:b w:val="0"/>
                <w:sz w:val="15"/>
              </w:rPr>
              <w:t>High</w:t>
            </w:r>
          </w:p>
        </w:tc>
      </w:tr>
      <w:tr>
        <w:tc>
          <w:tcPr>
            <w:tcW w:type="dxa" w:w="1506"/>
            <w:vAlign w:val="top"/>
          </w:tcPr>
          <w:p>
            <w:pPr>
              <w:spacing w:after="0" w:line="240" w:lineRule="auto"/>
            </w:pPr>
            <w:r/>
            <w:r>
              <w:rPr>
                <w:b w:val="0"/>
                <w:sz w:val="15"/>
              </w:rPr>
              <w:t>Distress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Potential distress</w:t>
            </w:r>
          </w:p>
        </w:tc>
        <w:tc>
          <w:tcPr>
            <w:tcW w:type="dxa" w:w="1506"/>
            <w:vAlign w:val="top"/>
          </w:tcPr>
          <w:p>
            <w:pPr>
              <w:spacing w:after="0" w:line="240" w:lineRule="auto"/>
            </w:pPr>
            <w:r/>
            <w:r>
              <w:rPr>
                <w:b w:val="0"/>
                <w:sz w:val="15"/>
              </w:rPr>
              <w:t>Very High</w:t>
            </w:r>
          </w:p>
        </w:tc>
      </w:tr>
    </w:tbl>
    <w:p/>
    <w:p>
      <w:pPr>
        <w:pStyle w:val="TableTitle"/>
      </w:pPr>
      <w:r>
        <w:rPr>
          <w:b/>
        </w:rPr>
        <w:t>Table - tblRevenueGrowthFadeRules</w:t>
      </w:r>
    </w:p>
    <w:tbl>
      <w:tblPr>
        <w:tblStyle w:val="TableGrid"/>
        <w:tblW w:type="auto" w:w="0"/>
        <w:jc w:val="center"/>
        <w:tblLayout w:type="autofit"/>
        <w:tblLook w:firstColumn="1" w:firstRow="1" w:lastColumn="0" w:lastRow="0" w:noHBand="0" w:noVBand="1" w:val="04A0"/>
      </w:tblPr>
      <w:tblGrid>
        <w:gridCol w:w="1757"/>
        <w:gridCol w:w="1757"/>
        <w:gridCol w:w="1757"/>
        <w:gridCol w:w="1757"/>
        <w:gridCol w:w="1757"/>
        <w:gridCol w:w="1757"/>
      </w:tblGrid>
      <w:tr>
        <w:tc>
          <w:tcPr>
            <w:tcW w:type="dxa" w:w="1757"/>
            <w:vAlign w:val="top"/>
            <w:shd w:fill="D9EAF7"/>
          </w:tcPr>
          <w:p>
            <w:pPr>
              <w:spacing w:after="0" w:line="240" w:lineRule="auto"/>
            </w:pPr>
            <w:r/>
            <w:r>
              <w:rPr>
                <w:b/>
                <w:sz w:val="16"/>
              </w:rPr>
              <w:t>Model Mode</w:t>
            </w:r>
          </w:p>
        </w:tc>
        <w:tc>
          <w:tcPr>
            <w:tcW w:type="dxa" w:w="1757"/>
            <w:vAlign w:val="top"/>
            <w:shd w:fill="D9EAF7"/>
          </w:tcPr>
          <w:p>
            <w:pPr>
              <w:spacing w:after="0" w:line="240" w:lineRule="auto"/>
            </w:pPr>
            <w:r/>
            <w:r>
              <w:rPr>
                <w:b/>
                <w:sz w:val="16"/>
              </w:rPr>
              <w:t>Start Growth Source</w:t>
            </w:r>
          </w:p>
        </w:tc>
        <w:tc>
          <w:tcPr>
            <w:tcW w:type="dxa" w:w="1757"/>
            <w:vAlign w:val="top"/>
            <w:shd w:fill="D9EAF7"/>
          </w:tcPr>
          <w:p>
            <w:pPr>
              <w:spacing w:after="0" w:line="240" w:lineRule="auto"/>
            </w:pPr>
            <w:r/>
            <w:r>
              <w:rPr>
                <w:b/>
                <w:sz w:val="16"/>
              </w:rPr>
              <w:t>End Growth Source</w:t>
            </w:r>
          </w:p>
        </w:tc>
        <w:tc>
          <w:tcPr>
            <w:tcW w:type="dxa" w:w="1757"/>
            <w:vAlign w:val="top"/>
            <w:shd w:fill="D9EAF7"/>
          </w:tcPr>
          <w:p>
            <w:pPr>
              <w:spacing w:after="0" w:line="240" w:lineRule="auto"/>
            </w:pPr>
            <w:r/>
            <w:r>
              <w:rPr>
                <w:b/>
                <w:sz w:val="16"/>
              </w:rPr>
              <w:t>Fade Method</w:t>
            </w:r>
          </w:p>
        </w:tc>
        <w:tc>
          <w:tcPr>
            <w:tcW w:type="dxa" w:w="1757"/>
            <w:vAlign w:val="top"/>
            <w:shd w:fill="D9EAF7"/>
          </w:tcPr>
          <w:p>
            <w:pPr>
              <w:spacing w:after="0" w:line="240" w:lineRule="auto"/>
            </w:pPr>
            <w:r/>
            <w:r>
              <w:rPr>
                <w:b/>
                <w:sz w:val="16"/>
              </w:rPr>
              <w:t>Stable Growth Cap</w:t>
            </w:r>
          </w:p>
        </w:tc>
        <w:tc>
          <w:tcPr>
            <w:tcW w:type="dxa" w:w="1757"/>
            <w:vAlign w:val="top"/>
            <w:shd w:fill="D9EAF7"/>
          </w:tcPr>
          <w:p>
            <w:pPr>
              <w:spacing w:after="0" w:line="240" w:lineRule="auto"/>
            </w:pPr>
            <w:r/>
            <w:r>
              <w:rPr>
                <w:b/>
                <w:sz w:val="16"/>
              </w:rPr>
              <w:t>Review Trigger</w:t>
            </w:r>
          </w:p>
        </w:tc>
      </w:tr>
      <w:tr>
        <w:tc>
          <w:tcPr>
            <w:tcW w:type="dxa" w:w="1757"/>
            <w:vAlign w:val="top"/>
          </w:tcPr>
          <w:p>
            <w:pPr>
              <w:spacing w:after="0" w:line="240" w:lineRule="auto"/>
            </w:pPr>
            <w:r/>
            <w:r>
              <w:rPr>
                <w:b w:val="0"/>
                <w:sz w:val="15"/>
              </w:rPr>
              <w:t>Stable FCFF</w:t>
            </w:r>
          </w:p>
        </w:tc>
        <w:tc>
          <w:tcPr>
            <w:tcW w:type="dxa" w:w="1757"/>
            <w:vAlign w:val="top"/>
          </w:tcPr>
          <w:p>
            <w:pPr>
              <w:spacing w:after="0" w:line="240" w:lineRule="auto"/>
            </w:pPr>
            <w:r/>
            <w:r>
              <w:rPr>
                <w:b w:val="0"/>
                <w:sz w:val="15"/>
              </w:rPr>
              <w:t>Normalized growth</w:t>
            </w:r>
          </w:p>
        </w:tc>
        <w:tc>
          <w:tcPr>
            <w:tcW w:type="dxa" w:w="1757"/>
            <w:vAlign w:val="top"/>
          </w:tcPr>
          <w:p>
            <w:pPr>
              <w:spacing w:after="0" w:line="240" w:lineRule="auto"/>
            </w:pPr>
            <w:r/>
            <w:r>
              <w:rPr>
                <w:b w:val="0"/>
                <w:sz w:val="15"/>
              </w:rPr>
              <w:t>Stable growth</w:t>
            </w:r>
          </w:p>
        </w:tc>
        <w:tc>
          <w:tcPr>
            <w:tcW w:type="dxa" w:w="1757"/>
            <w:vAlign w:val="top"/>
          </w:tcPr>
          <w:p>
            <w:pPr>
              <w:spacing w:after="0" w:line="240" w:lineRule="auto"/>
            </w:pPr>
            <w:r/>
            <w:r>
              <w:rPr>
                <w:b w:val="0"/>
                <w:sz w:val="15"/>
              </w:rPr>
              <w:t>Immediate / short fade</w:t>
            </w:r>
          </w:p>
        </w:tc>
        <w:tc>
          <w:tcPr>
            <w:tcW w:type="dxa" w:w="1757"/>
            <w:vAlign w:val="top"/>
          </w:tcPr>
          <w:p>
            <w:pPr>
              <w:spacing w:after="0" w:line="240" w:lineRule="auto"/>
            </w:pPr>
            <w:r/>
            <w:r>
              <w:rPr>
                <w:b w:val="0"/>
                <w:sz w:val="15"/>
              </w:rPr>
              <w:t>Must be &lt; stable WACC</w:t>
            </w:r>
          </w:p>
        </w:tc>
        <w:tc>
          <w:tcPr>
            <w:tcW w:type="dxa" w:w="1757"/>
            <w:vAlign w:val="top"/>
          </w:tcPr>
          <w:p>
            <w:pPr>
              <w:spacing w:after="0" w:line="240" w:lineRule="auto"/>
            </w:pPr>
            <w:r/>
            <w:r>
              <w:rPr>
                <w:b w:val="0"/>
                <w:sz w:val="15"/>
              </w:rPr>
              <w:t>Growth above economy</w:t>
            </w:r>
          </w:p>
        </w:tc>
      </w:tr>
      <w:tr>
        <w:tc>
          <w:tcPr>
            <w:tcW w:type="dxa" w:w="1757"/>
            <w:vAlign w:val="top"/>
          </w:tcPr>
          <w:p>
            <w:pPr>
              <w:spacing w:after="0" w:line="240" w:lineRule="auto"/>
            </w:pPr>
            <w:r/>
            <w:r>
              <w:rPr>
                <w:b w:val="0"/>
                <w:sz w:val="15"/>
              </w:rPr>
              <w:t>2-stage FCFF</w:t>
            </w:r>
          </w:p>
        </w:tc>
        <w:tc>
          <w:tcPr>
            <w:tcW w:type="dxa" w:w="1757"/>
            <w:vAlign w:val="top"/>
          </w:tcPr>
          <w:p>
            <w:pPr>
              <w:spacing w:after="0" w:line="240" w:lineRule="auto"/>
            </w:pPr>
            <w:r/>
            <w:r>
              <w:rPr>
                <w:b w:val="0"/>
                <w:sz w:val="15"/>
              </w:rPr>
              <w:t>Last forecast growth</w:t>
            </w:r>
          </w:p>
        </w:tc>
        <w:tc>
          <w:tcPr>
            <w:tcW w:type="dxa" w:w="1757"/>
            <w:vAlign w:val="top"/>
          </w:tcPr>
          <w:p>
            <w:pPr>
              <w:spacing w:after="0" w:line="240" w:lineRule="auto"/>
            </w:pPr>
            <w:r/>
            <w:r>
              <w:rPr>
                <w:b w:val="0"/>
                <w:sz w:val="15"/>
              </w:rPr>
              <w:t>Stable growth</w:t>
            </w:r>
          </w:p>
        </w:tc>
        <w:tc>
          <w:tcPr>
            <w:tcW w:type="dxa" w:w="1757"/>
            <w:vAlign w:val="top"/>
          </w:tcPr>
          <w:p>
            <w:pPr>
              <w:spacing w:after="0" w:line="240" w:lineRule="auto"/>
            </w:pPr>
            <w:r/>
            <w:r>
              <w:rPr>
                <w:b w:val="0"/>
                <w:sz w:val="15"/>
              </w:rPr>
              <w:t>Step-down / linear</w:t>
            </w:r>
          </w:p>
        </w:tc>
        <w:tc>
          <w:tcPr>
            <w:tcW w:type="dxa" w:w="1757"/>
            <w:vAlign w:val="top"/>
          </w:tcPr>
          <w:p>
            <w:pPr>
              <w:spacing w:after="0" w:line="240" w:lineRule="auto"/>
            </w:pPr>
            <w:r/>
            <w:r>
              <w:rPr>
                <w:b w:val="0"/>
                <w:sz w:val="15"/>
              </w:rPr>
              <w:t>Must be &lt; stable WACC</w:t>
            </w:r>
          </w:p>
        </w:tc>
        <w:tc>
          <w:tcPr>
            <w:tcW w:type="dxa" w:w="1757"/>
            <w:vAlign w:val="top"/>
          </w:tcPr>
          <w:p>
            <w:pPr>
              <w:spacing w:after="0" w:line="240" w:lineRule="auto"/>
            </w:pPr>
            <w:r/>
            <w:r>
              <w:rPr>
                <w:b w:val="0"/>
                <w:sz w:val="15"/>
              </w:rPr>
              <w:t>Growth too high at terminal</w:t>
            </w:r>
          </w:p>
        </w:tc>
      </w:tr>
      <w:tr>
        <w:tc>
          <w:tcPr>
            <w:tcW w:type="dxa" w:w="1757"/>
            <w:vAlign w:val="top"/>
          </w:tcPr>
          <w:p>
            <w:pPr>
              <w:spacing w:after="0" w:line="240" w:lineRule="auto"/>
            </w:pPr>
            <w:r/>
            <w:r>
              <w:rPr>
                <w:b w:val="0"/>
                <w:sz w:val="15"/>
              </w:rPr>
              <w:t>3-stage FCFF</w:t>
            </w:r>
          </w:p>
        </w:tc>
        <w:tc>
          <w:tcPr>
            <w:tcW w:type="dxa" w:w="1757"/>
            <w:vAlign w:val="top"/>
          </w:tcPr>
          <w:p>
            <w:pPr>
              <w:spacing w:after="0" w:line="240" w:lineRule="auto"/>
            </w:pPr>
            <w:r/>
            <w:r>
              <w:rPr>
                <w:b w:val="0"/>
                <w:sz w:val="15"/>
              </w:rPr>
              <w:t>Last anchor growth</w:t>
            </w:r>
          </w:p>
        </w:tc>
        <w:tc>
          <w:tcPr>
            <w:tcW w:type="dxa" w:w="1757"/>
            <w:vAlign w:val="top"/>
          </w:tcPr>
          <w:p>
            <w:pPr>
              <w:spacing w:after="0" w:line="240" w:lineRule="auto"/>
            </w:pPr>
            <w:r/>
            <w:r>
              <w:rPr>
                <w:b w:val="0"/>
                <w:sz w:val="15"/>
              </w:rPr>
              <w:t>Stable growth</w:t>
            </w:r>
          </w:p>
        </w:tc>
        <w:tc>
          <w:tcPr>
            <w:tcW w:type="dxa" w:w="1757"/>
            <w:vAlign w:val="top"/>
          </w:tcPr>
          <w:p>
            <w:pPr>
              <w:spacing w:after="0" w:line="240" w:lineRule="auto"/>
            </w:pPr>
            <w:r/>
            <w:r>
              <w:rPr>
                <w:b w:val="0"/>
                <w:sz w:val="15"/>
              </w:rPr>
              <w:t>Linear fade</w:t>
            </w:r>
          </w:p>
        </w:tc>
        <w:tc>
          <w:tcPr>
            <w:tcW w:type="dxa" w:w="1757"/>
            <w:vAlign w:val="top"/>
          </w:tcPr>
          <w:p>
            <w:pPr>
              <w:spacing w:after="0" w:line="240" w:lineRule="auto"/>
            </w:pPr>
            <w:r/>
            <w:r>
              <w:rPr>
                <w:b w:val="0"/>
                <w:sz w:val="15"/>
              </w:rPr>
              <w:t>Must be &lt; stable WACC</w:t>
            </w:r>
          </w:p>
        </w:tc>
        <w:tc>
          <w:tcPr>
            <w:tcW w:type="dxa" w:w="1757"/>
            <w:vAlign w:val="top"/>
          </w:tcPr>
          <w:p>
            <w:pPr>
              <w:spacing w:after="0" w:line="240" w:lineRule="auto"/>
            </w:pPr>
            <w:r/>
            <w:r>
              <w:rPr>
                <w:b w:val="0"/>
                <w:sz w:val="15"/>
              </w:rPr>
              <w:t>No convergence by stable year</w:t>
            </w:r>
          </w:p>
        </w:tc>
      </w:tr>
      <w:tr>
        <w:tc>
          <w:tcPr>
            <w:tcW w:type="dxa" w:w="1757"/>
            <w:vAlign w:val="top"/>
          </w:tcPr>
          <w:p>
            <w:pPr>
              <w:spacing w:after="0" w:line="240" w:lineRule="auto"/>
            </w:pPr>
            <w:r/>
            <w:r>
              <w:rPr>
                <w:b w:val="0"/>
                <w:sz w:val="15"/>
              </w:rPr>
              <w:t>n-stage / generalized FCFF</w:t>
            </w:r>
          </w:p>
        </w:tc>
        <w:tc>
          <w:tcPr>
            <w:tcW w:type="dxa" w:w="1757"/>
            <w:vAlign w:val="top"/>
          </w:tcPr>
          <w:p>
            <w:pPr>
              <w:spacing w:after="0" w:line="240" w:lineRule="auto"/>
            </w:pPr>
            <w:r/>
            <w:r>
              <w:rPr>
                <w:b w:val="0"/>
                <w:sz w:val="15"/>
              </w:rPr>
              <w:t>Custom</w:t>
            </w:r>
          </w:p>
        </w:tc>
        <w:tc>
          <w:tcPr>
            <w:tcW w:type="dxa" w:w="1757"/>
            <w:vAlign w:val="top"/>
          </w:tcPr>
          <w:p>
            <w:pPr>
              <w:spacing w:after="0" w:line="240" w:lineRule="auto"/>
            </w:pPr>
            <w:r/>
            <w:r>
              <w:rPr>
                <w:b w:val="0"/>
                <w:sz w:val="15"/>
              </w:rPr>
              <w:t>Stable growth</w:t>
            </w:r>
          </w:p>
        </w:tc>
        <w:tc>
          <w:tcPr>
            <w:tcW w:type="dxa" w:w="1757"/>
            <w:vAlign w:val="top"/>
          </w:tcPr>
          <w:p>
            <w:pPr>
              <w:spacing w:after="0" w:line="240" w:lineRule="auto"/>
            </w:pPr>
            <w:r/>
            <w:r>
              <w:rPr>
                <w:b w:val="0"/>
                <w:sz w:val="15"/>
              </w:rPr>
              <w:t>Custom year-by-year</w:t>
            </w:r>
          </w:p>
        </w:tc>
        <w:tc>
          <w:tcPr>
            <w:tcW w:type="dxa" w:w="1757"/>
            <w:vAlign w:val="top"/>
          </w:tcPr>
          <w:p>
            <w:pPr>
              <w:spacing w:after="0" w:line="240" w:lineRule="auto"/>
            </w:pPr>
            <w:r/>
            <w:r>
              <w:rPr>
                <w:b w:val="0"/>
                <w:sz w:val="15"/>
              </w:rPr>
              <w:t>Must be &lt; stable WACC</w:t>
            </w:r>
          </w:p>
        </w:tc>
        <w:tc>
          <w:tcPr>
            <w:tcW w:type="dxa" w:w="1757"/>
            <w:vAlign w:val="top"/>
          </w:tcPr>
          <w:p>
            <w:pPr>
              <w:spacing w:after="0" w:line="240" w:lineRule="auto"/>
            </w:pPr>
            <w:r/>
            <w:r>
              <w:rPr>
                <w:b w:val="0"/>
                <w:sz w:val="15"/>
              </w:rPr>
              <w:t>Unsupported custom growth</w:t>
            </w:r>
          </w:p>
        </w:tc>
      </w:tr>
      <w:tr>
        <w:tc>
          <w:tcPr>
            <w:tcW w:type="dxa" w:w="1757"/>
            <w:vAlign w:val="top"/>
          </w:tcPr>
          <w:p>
            <w:pPr>
              <w:spacing w:after="0" w:line="240" w:lineRule="auto"/>
            </w:pPr>
            <w:r/>
            <w:r>
              <w:rPr>
                <w:b w:val="0"/>
                <w:sz w:val="15"/>
              </w:rPr>
              <w:t>Cyclical normalized FCFF</w:t>
            </w:r>
          </w:p>
        </w:tc>
        <w:tc>
          <w:tcPr>
            <w:tcW w:type="dxa" w:w="1757"/>
            <w:vAlign w:val="top"/>
          </w:tcPr>
          <w:p>
            <w:pPr>
              <w:spacing w:after="0" w:line="240" w:lineRule="auto"/>
            </w:pPr>
            <w:r/>
            <w:r>
              <w:rPr>
                <w:b w:val="0"/>
                <w:sz w:val="15"/>
              </w:rPr>
              <w:t>Mid-cycle growth</w:t>
            </w:r>
          </w:p>
        </w:tc>
        <w:tc>
          <w:tcPr>
            <w:tcW w:type="dxa" w:w="1757"/>
            <w:vAlign w:val="top"/>
          </w:tcPr>
          <w:p>
            <w:pPr>
              <w:spacing w:after="0" w:line="240" w:lineRule="auto"/>
            </w:pPr>
            <w:r/>
            <w:r>
              <w:rPr>
                <w:b w:val="0"/>
                <w:sz w:val="15"/>
              </w:rPr>
              <w:t>Stable growth</w:t>
            </w:r>
          </w:p>
        </w:tc>
        <w:tc>
          <w:tcPr>
            <w:tcW w:type="dxa" w:w="1757"/>
            <w:vAlign w:val="top"/>
          </w:tcPr>
          <w:p>
            <w:pPr>
              <w:spacing w:after="0" w:line="240" w:lineRule="auto"/>
            </w:pPr>
            <w:r/>
            <w:r>
              <w:rPr>
                <w:b w:val="0"/>
                <w:sz w:val="15"/>
              </w:rPr>
              <w:t>Normalized</w:t>
            </w:r>
          </w:p>
        </w:tc>
        <w:tc>
          <w:tcPr>
            <w:tcW w:type="dxa" w:w="1757"/>
            <w:vAlign w:val="top"/>
          </w:tcPr>
          <w:p>
            <w:pPr>
              <w:spacing w:after="0" w:line="240" w:lineRule="auto"/>
            </w:pPr>
            <w:r/>
            <w:r>
              <w:rPr>
                <w:b w:val="0"/>
                <w:sz w:val="15"/>
              </w:rPr>
              <w:t>Must be &lt; stable WACC</w:t>
            </w:r>
          </w:p>
        </w:tc>
        <w:tc>
          <w:tcPr>
            <w:tcW w:type="dxa" w:w="1757"/>
            <w:vAlign w:val="top"/>
          </w:tcPr>
          <w:p>
            <w:pPr>
              <w:spacing w:after="0" w:line="240" w:lineRule="auto"/>
            </w:pPr>
            <w:r/>
            <w:r>
              <w:rPr>
                <w:b w:val="0"/>
                <w:sz w:val="15"/>
              </w:rPr>
              <w:t>Peak-cycle used as base</w:t>
            </w:r>
          </w:p>
        </w:tc>
      </w:tr>
      <w:tr>
        <w:tc>
          <w:tcPr>
            <w:tcW w:type="dxa" w:w="1757"/>
            <w:vAlign w:val="top"/>
          </w:tcPr>
          <w:p>
            <w:pPr>
              <w:spacing w:after="0" w:line="240" w:lineRule="auto"/>
            </w:pPr>
            <w:r/>
            <w:r>
              <w:rPr>
                <w:b w:val="0"/>
                <w:sz w:val="15"/>
              </w:rPr>
              <w:t>Negative earnings / turnaround FCFF</w:t>
            </w:r>
          </w:p>
        </w:tc>
        <w:tc>
          <w:tcPr>
            <w:tcW w:type="dxa" w:w="1757"/>
            <w:vAlign w:val="top"/>
          </w:tcPr>
          <w:p>
            <w:pPr>
              <w:spacing w:after="0" w:line="240" w:lineRule="auto"/>
            </w:pPr>
            <w:r/>
            <w:r>
              <w:rPr>
                <w:b w:val="0"/>
                <w:sz w:val="15"/>
              </w:rPr>
              <w:t>Revenue-led growth</w:t>
            </w:r>
          </w:p>
        </w:tc>
        <w:tc>
          <w:tcPr>
            <w:tcW w:type="dxa" w:w="1757"/>
            <w:vAlign w:val="top"/>
          </w:tcPr>
          <w:p>
            <w:pPr>
              <w:spacing w:after="0" w:line="240" w:lineRule="auto"/>
            </w:pPr>
            <w:r/>
            <w:r>
              <w:rPr>
                <w:b w:val="0"/>
                <w:sz w:val="15"/>
              </w:rPr>
              <w:t>Stable growth</w:t>
            </w:r>
          </w:p>
        </w:tc>
        <w:tc>
          <w:tcPr>
            <w:tcW w:type="dxa" w:w="1757"/>
            <w:vAlign w:val="top"/>
          </w:tcPr>
          <w:p>
            <w:pPr>
              <w:spacing w:after="0" w:line="240" w:lineRule="auto"/>
            </w:pPr>
            <w:r/>
            <w:r>
              <w:rPr>
                <w:b w:val="0"/>
                <w:sz w:val="15"/>
              </w:rPr>
              <w:t>Gradual fade</w:t>
            </w:r>
          </w:p>
        </w:tc>
        <w:tc>
          <w:tcPr>
            <w:tcW w:type="dxa" w:w="1757"/>
            <w:vAlign w:val="top"/>
          </w:tcPr>
          <w:p>
            <w:pPr>
              <w:spacing w:after="0" w:line="240" w:lineRule="auto"/>
            </w:pPr>
            <w:r/>
            <w:r>
              <w:rPr>
                <w:b w:val="0"/>
                <w:sz w:val="15"/>
              </w:rPr>
              <w:t>Must be &lt; stable WACC</w:t>
            </w:r>
          </w:p>
        </w:tc>
        <w:tc>
          <w:tcPr>
            <w:tcW w:type="dxa" w:w="1757"/>
            <w:vAlign w:val="top"/>
          </w:tcPr>
          <w:p>
            <w:pPr>
              <w:spacing w:after="0" w:line="240" w:lineRule="auto"/>
            </w:pPr>
            <w:r/>
            <w:r>
              <w:rPr>
                <w:b w:val="0"/>
                <w:sz w:val="15"/>
              </w:rPr>
              <w:t>Recovery too fast</w:t>
            </w:r>
          </w:p>
        </w:tc>
      </w:tr>
    </w:tbl>
    <w:p/>
    <w:p>
      <w:pPr>
        <w:pStyle w:val="TableTitle"/>
      </w:pPr>
      <w:r>
        <w:rPr>
          <w:b/>
        </w:rPr>
        <w:t>Table - tblEBITMarginFadeRules</w:t>
      </w:r>
    </w:p>
    <w:p>
      <w:pPr>
        <w:pStyle w:val="TablePurpose"/>
      </w:pPr>
      <w:r>
        <w:t>EBIT margin fade rules by benchmark group / model mode.</w:t>
      </w:r>
    </w:p>
    <w:tbl>
      <w:tblPr>
        <w:tblStyle w:val="TableGrid"/>
        <w:tblW w:type="auto" w:w="0"/>
        <w:jc w:val="center"/>
        <w:tblLayout w:type="autofit"/>
        <w:tblLook w:firstColumn="1" w:firstRow="1" w:lastColumn="0" w:lastRow="0" w:noHBand="0" w:noVBand="1" w:val="04A0"/>
      </w:tblPr>
      <w:tblGrid>
        <w:gridCol w:w="1317"/>
        <w:gridCol w:w="1317"/>
        <w:gridCol w:w="1317"/>
        <w:gridCol w:w="1317"/>
        <w:gridCol w:w="1317"/>
        <w:gridCol w:w="1317"/>
        <w:gridCol w:w="1317"/>
        <w:gridCol w:w="1317"/>
      </w:tblGrid>
      <w:tr>
        <w:tc>
          <w:tcPr>
            <w:tcW w:type="dxa" w:w="1317"/>
            <w:vAlign w:val="top"/>
            <w:shd w:fill="D9EAF7"/>
          </w:tcPr>
          <w:p>
            <w:pPr>
              <w:spacing w:after="0" w:line="240" w:lineRule="auto"/>
            </w:pPr>
            <w:r/>
            <w:r>
              <w:rPr>
                <w:b/>
                <w:sz w:val="16"/>
              </w:rPr>
              <w:t>Benchmark Group</w:t>
            </w:r>
          </w:p>
        </w:tc>
        <w:tc>
          <w:tcPr>
            <w:tcW w:type="dxa" w:w="1317"/>
            <w:vAlign w:val="top"/>
            <w:shd w:fill="D9EAF7"/>
          </w:tcPr>
          <w:p>
            <w:pPr>
              <w:spacing w:after="0" w:line="240" w:lineRule="auto"/>
            </w:pPr>
            <w:r/>
            <w:r>
              <w:rPr>
                <w:b/>
                <w:sz w:val="16"/>
              </w:rPr>
              <w:t>Model Mode</w:t>
            </w:r>
          </w:p>
        </w:tc>
        <w:tc>
          <w:tcPr>
            <w:tcW w:type="dxa" w:w="1317"/>
            <w:vAlign w:val="top"/>
            <w:shd w:fill="D9EAF7"/>
          </w:tcPr>
          <w:p>
            <w:pPr>
              <w:spacing w:after="0" w:line="240" w:lineRule="auto"/>
            </w:pPr>
            <w:r/>
            <w:r>
              <w:rPr>
                <w:b/>
                <w:sz w:val="16"/>
              </w:rPr>
              <w:t>Current Margin Source</w:t>
            </w:r>
          </w:p>
        </w:tc>
        <w:tc>
          <w:tcPr>
            <w:tcW w:type="dxa" w:w="1317"/>
            <w:vAlign w:val="top"/>
            <w:shd w:fill="D9EAF7"/>
          </w:tcPr>
          <w:p>
            <w:pPr>
              <w:spacing w:after="0" w:line="240" w:lineRule="auto"/>
            </w:pPr>
            <w:r/>
            <w:r>
              <w:rPr>
                <w:b/>
                <w:sz w:val="16"/>
              </w:rPr>
              <w:t>Target Margin Source</w:t>
            </w:r>
          </w:p>
        </w:tc>
        <w:tc>
          <w:tcPr>
            <w:tcW w:type="dxa" w:w="1317"/>
            <w:vAlign w:val="top"/>
            <w:shd w:fill="D9EAF7"/>
          </w:tcPr>
          <w:p>
            <w:pPr>
              <w:spacing w:after="0" w:line="240" w:lineRule="auto"/>
            </w:pPr>
            <w:r/>
            <w:r>
              <w:rPr>
                <w:b/>
                <w:sz w:val="16"/>
              </w:rPr>
              <w:t>Stable Margin Source</w:t>
            </w:r>
          </w:p>
        </w:tc>
        <w:tc>
          <w:tcPr>
            <w:tcW w:type="dxa" w:w="1317"/>
            <w:vAlign w:val="top"/>
            <w:shd w:fill="D9EAF7"/>
          </w:tcPr>
          <w:p>
            <w:pPr>
              <w:spacing w:after="0" w:line="240" w:lineRule="auto"/>
            </w:pPr>
            <w:r/>
            <w:r>
              <w:rPr>
                <w:b/>
                <w:sz w:val="16"/>
              </w:rPr>
              <w:t>Fade Method</w:t>
            </w:r>
          </w:p>
        </w:tc>
        <w:tc>
          <w:tcPr>
            <w:tcW w:type="dxa" w:w="1317"/>
            <w:vAlign w:val="top"/>
            <w:shd w:fill="D9EAF7"/>
          </w:tcPr>
          <w:p>
            <w:pPr>
              <w:spacing w:after="0" w:line="240" w:lineRule="auto"/>
            </w:pPr>
            <w:r/>
            <w:r>
              <w:rPr>
                <w:b/>
                <w:sz w:val="16"/>
              </w:rPr>
              <w:t>Max Annual Change</w:t>
            </w:r>
          </w:p>
        </w:tc>
        <w:tc>
          <w:tcPr>
            <w:tcW w:type="dxa" w:w="1317"/>
            <w:vAlign w:val="top"/>
            <w:shd w:fill="D9EAF7"/>
          </w:tcPr>
          <w:p>
            <w:pPr>
              <w:spacing w:after="0" w:line="240" w:lineRule="auto"/>
            </w:pPr>
            <w:r/>
            <w:r>
              <w:rPr>
                <w:b/>
                <w:sz w:val="16"/>
              </w:rPr>
              <w:t>Review Trigger</w:t>
            </w:r>
          </w:p>
        </w:tc>
      </w:tr>
      <w:tr>
        <w:tc>
          <w:tcPr>
            <w:tcW w:type="dxa" w:w="1317"/>
            <w:vAlign w:val="top"/>
          </w:tcPr>
          <w:p>
            <w:pPr>
              <w:spacing w:after="0" w:line="240" w:lineRule="auto"/>
            </w:pPr>
            <w:r/>
            <w:r>
              <w:rPr>
                <w:b w:val="0"/>
                <w:sz w:val="15"/>
              </w:rPr>
              <w:t>Software / intangible-heavy</w:t>
            </w:r>
          </w:p>
        </w:tc>
        <w:tc>
          <w:tcPr>
            <w:tcW w:type="dxa" w:w="1317"/>
            <w:vAlign w:val="top"/>
          </w:tcPr>
          <w:p>
            <w:pPr>
              <w:spacing w:after="0" w:line="240" w:lineRule="auto"/>
            </w:pPr>
            <w:r/>
            <w:r>
              <w:rPr>
                <w:b w:val="0"/>
                <w:sz w:val="15"/>
              </w:rPr>
              <w:t>3-stage / n-stage</w:t>
            </w:r>
          </w:p>
        </w:tc>
        <w:tc>
          <w:tcPr>
            <w:tcW w:type="dxa" w:w="1317"/>
            <w:vAlign w:val="top"/>
          </w:tcPr>
          <w:p>
            <w:pPr>
              <w:spacing w:after="0" w:line="240" w:lineRule="auto"/>
            </w:pPr>
            <w:r/>
            <w:r>
              <w:rPr>
                <w:b w:val="0"/>
                <w:sz w:val="15"/>
              </w:rPr>
              <w:t>Current/normalized margin</w:t>
            </w:r>
          </w:p>
        </w:tc>
        <w:tc>
          <w:tcPr>
            <w:tcW w:type="dxa" w:w="1317"/>
            <w:vAlign w:val="top"/>
          </w:tcPr>
          <w:p>
            <w:pPr>
              <w:spacing w:after="0" w:line="240" w:lineRule="auto"/>
            </w:pPr>
            <w:r/>
            <w:r>
              <w:rPr>
                <w:b w:val="0"/>
                <w:sz w:val="15"/>
              </w:rPr>
              <w:t>Analyst/target margin</w:t>
            </w:r>
          </w:p>
        </w:tc>
        <w:tc>
          <w:tcPr>
            <w:tcW w:type="dxa" w:w="1317"/>
            <w:vAlign w:val="top"/>
          </w:tcPr>
          <w:p>
            <w:pPr>
              <w:spacing w:after="0" w:line="240" w:lineRule="auto"/>
            </w:pPr>
            <w:r/>
            <w:r>
              <w:rPr>
                <w:b w:val="0"/>
                <w:sz w:val="15"/>
              </w:rPr>
              <w:t>Damodaran benchmark/manual</w:t>
            </w:r>
          </w:p>
        </w:tc>
        <w:tc>
          <w:tcPr>
            <w:tcW w:type="dxa" w:w="1317"/>
            <w:vAlign w:val="top"/>
          </w:tcPr>
          <w:p>
            <w:pPr>
              <w:spacing w:after="0" w:line="240" w:lineRule="auto"/>
            </w:pPr>
            <w:r/>
            <w:r>
              <w:rPr>
                <w:b w:val="0"/>
                <w:sz w:val="15"/>
              </w:rPr>
              <w:t>Gradual</w:t>
            </w:r>
          </w:p>
        </w:tc>
        <w:tc>
          <w:tcPr>
            <w:tcW w:type="dxa" w:w="1317"/>
            <w:vAlign w:val="top"/>
          </w:tcPr>
          <w:p>
            <w:pPr>
              <w:spacing w:after="0" w:line="240" w:lineRule="auto"/>
            </w:pPr>
            <w:r/>
            <w:r>
              <w:rPr>
                <w:b w:val="0"/>
                <w:sz w:val="15"/>
              </w:rPr>
              <w:t>300 bps default</w:t>
            </w:r>
          </w:p>
        </w:tc>
        <w:tc>
          <w:tcPr>
            <w:tcW w:type="dxa" w:w="1317"/>
            <w:vAlign w:val="top"/>
          </w:tcPr>
          <w:p>
            <w:pPr>
              <w:spacing w:after="0" w:line="240" w:lineRule="auto"/>
            </w:pPr>
            <w:r/>
            <w:r>
              <w:rPr>
                <w:b w:val="0"/>
                <w:sz w:val="15"/>
              </w:rPr>
              <w:t>Margin jump too fast</w:t>
            </w:r>
          </w:p>
        </w:tc>
      </w:tr>
      <w:tr>
        <w:tc>
          <w:tcPr>
            <w:tcW w:type="dxa" w:w="1317"/>
            <w:vAlign w:val="top"/>
          </w:tcPr>
          <w:p>
            <w:pPr>
              <w:spacing w:after="0" w:line="240" w:lineRule="auto"/>
            </w:pPr>
            <w:r/>
            <w:r>
              <w:rPr>
                <w:b w:val="0"/>
                <w:sz w:val="15"/>
              </w:rPr>
              <w:t>Healthcare / biotech</w:t>
            </w:r>
          </w:p>
        </w:tc>
        <w:tc>
          <w:tcPr>
            <w:tcW w:type="dxa" w:w="1317"/>
            <w:vAlign w:val="top"/>
          </w:tcPr>
          <w:p>
            <w:pPr>
              <w:spacing w:after="0" w:line="240" w:lineRule="auto"/>
            </w:pPr>
            <w:r/>
            <w:r>
              <w:rPr>
                <w:b w:val="0"/>
                <w:sz w:val="15"/>
              </w:rPr>
              <w:t>3-stage / n-stage</w:t>
            </w:r>
          </w:p>
        </w:tc>
        <w:tc>
          <w:tcPr>
            <w:tcW w:type="dxa" w:w="1317"/>
            <w:vAlign w:val="top"/>
          </w:tcPr>
          <w:p>
            <w:pPr>
              <w:spacing w:after="0" w:line="240" w:lineRule="auto"/>
            </w:pPr>
            <w:r/>
            <w:r>
              <w:rPr>
                <w:b w:val="0"/>
                <w:sz w:val="15"/>
              </w:rPr>
              <w:t>Current/normalized or negative</w:t>
            </w:r>
          </w:p>
        </w:tc>
        <w:tc>
          <w:tcPr>
            <w:tcW w:type="dxa" w:w="1317"/>
            <w:vAlign w:val="top"/>
          </w:tcPr>
          <w:p>
            <w:pPr>
              <w:spacing w:after="0" w:line="240" w:lineRule="auto"/>
            </w:pPr>
            <w:r/>
            <w:r>
              <w:rPr>
                <w:b w:val="0"/>
                <w:sz w:val="15"/>
              </w:rPr>
              <w:t>Target margin</w:t>
            </w:r>
          </w:p>
        </w:tc>
        <w:tc>
          <w:tcPr>
            <w:tcW w:type="dxa" w:w="1317"/>
            <w:vAlign w:val="top"/>
          </w:tcPr>
          <w:p>
            <w:pPr>
              <w:spacing w:after="0" w:line="240" w:lineRule="auto"/>
            </w:pPr>
            <w:r/>
            <w:r>
              <w:rPr>
                <w:b w:val="0"/>
                <w:sz w:val="15"/>
              </w:rPr>
              <w:t>Benchmark/manual</w:t>
            </w:r>
          </w:p>
        </w:tc>
        <w:tc>
          <w:tcPr>
            <w:tcW w:type="dxa" w:w="1317"/>
            <w:vAlign w:val="top"/>
          </w:tcPr>
          <w:p>
            <w:pPr>
              <w:spacing w:after="0" w:line="240" w:lineRule="auto"/>
            </w:pPr>
            <w:r/>
            <w:r>
              <w:rPr>
                <w:b w:val="0"/>
                <w:sz w:val="15"/>
              </w:rPr>
              <w:t>Gradual</w:t>
            </w:r>
          </w:p>
        </w:tc>
        <w:tc>
          <w:tcPr>
            <w:tcW w:type="dxa" w:w="1317"/>
            <w:vAlign w:val="top"/>
          </w:tcPr>
          <w:p>
            <w:pPr>
              <w:spacing w:after="0" w:line="240" w:lineRule="auto"/>
            </w:pPr>
            <w:r/>
            <w:r>
              <w:rPr>
                <w:b w:val="0"/>
                <w:sz w:val="15"/>
              </w:rPr>
              <w:t>Custom</w:t>
            </w:r>
          </w:p>
        </w:tc>
        <w:tc>
          <w:tcPr>
            <w:tcW w:type="dxa" w:w="1317"/>
            <w:vAlign w:val="top"/>
          </w:tcPr>
          <w:p>
            <w:pPr>
              <w:spacing w:after="0" w:line="240" w:lineRule="auto"/>
            </w:pPr>
            <w:r/>
            <w:r>
              <w:rPr>
                <w:b w:val="0"/>
                <w:sz w:val="15"/>
              </w:rPr>
              <w:t>Profitability too fast</w:t>
            </w:r>
          </w:p>
        </w:tc>
      </w:tr>
      <w:tr>
        <w:tc>
          <w:tcPr>
            <w:tcW w:type="dxa" w:w="1317"/>
            <w:vAlign w:val="top"/>
          </w:tcPr>
          <w:p>
            <w:pPr>
              <w:spacing w:after="0" w:line="240" w:lineRule="auto"/>
            </w:pPr>
            <w:r/>
            <w:r>
              <w:rPr>
                <w:b w:val="0"/>
                <w:sz w:val="15"/>
              </w:rPr>
              <w:t>Media / information</w:t>
            </w:r>
          </w:p>
        </w:tc>
        <w:tc>
          <w:tcPr>
            <w:tcW w:type="dxa" w:w="1317"/>
            <w:vAlign w:val="top"/>
          </w:tcPr>
          <w:p>
            <w:pPr>
              <w:spacing w:after="0" w:line="240" w:lineRule="auto"/>
            </w:pPr>
            <w:r/>
            <w:r>
              <w:rPr>
                <w:b w:val="0"/>
                <w:sz w:val="15"/>
              </w:rPr>
              <w:t>2-stage / 3-stage</w:t>
            </w:r>
          </w:p>
        </w:tc>
        <w:tc>
          <w:tcPr>
            <w:tcW w:type="dxa" w:w="1317"/>
            <w:vAlign w:val="top"/>
          </w:tcPr>
          <w:p>
            <w:pPr>
              <w:spacing w:after="0" w:line="240" w:lineRule="auto"/>
            </w:pPr>
            <w:r/>
            <w:r>
              <w:rPr>
                <w:b w:val="0"/>
                <w:sz w:val="15"/>
              </w:rPr>
              <w:t>Current/normalized</w:t>
            </w:r>
          </w:p>
        </w:tc>
        <w:tc>
          <w:tcPr>
            <w:tcW w:type="dxa" w:w="1317"/>
            <w:vAlign w:val="top"/>
          </w:tcPr>
          <w:p>
            <w:pPr>
              <w:spacing w:after="0" w:line="240" w:lineRule="auto"/>
            </w:pPr>
            <w:r/>
            <w:r>
              <w:rPr>
                <w:b w:val="0"/>
                <w:sz w:val="15"/>
              </w:rPr>
              <w:t>Target margin</w:t>
            </w:r>
          </w:p>
        </w:tc>
        <w:tc>
          <w:tcPr>
            <w:tcW w:type="dxa" w:w="1317"/>
            <w:vAlign w:val="top"/>
          </w:tcPr>
          <w:p>
            <w:pPr>
              <w:spacing w:after="0" w:line="240" w:lineRule="auto"/>
            </w:pPr>
            <w:r/>
            <w:r>
              <w:rPr>
                <w:b w:val="0"/>
                <w:sz w:val="15"/>
              </w:rPr>
              <w:t>Benchmark/stable</w:t>
            </w:r>
          </w:p>
        </w:tc>
        <w:tc>
          <w:tcPr>
            <w:tcW w:type="dxa" w:w="1317"/>
            <w:vAlign w:val="top"/>
          </w:tcPr>
          <w:p>
            <w:pPr>
              <w:spacing w:after="0" w:line="240" w:lineRule="auto"/>
            </w:pPr>
            <w:r/>
            <w:r>
              <w:rPr>
                <w:b w:val="0"/>
                <w:sz w:val="15"/>
              </w:rPr>
              <w:t>Gradual</w:t>
            </w:r>
          </w:p>
        </w:tc>
        <w:tc>
          <w:tcPr>
            <w:tcW w:type="dxa" w:w="1317"/>
            <w:vAlign w:val="top"/>
          </w:tcPr>
          <w:p>
            <w:pPr>
              <w:spacing w:after="0" w:line="240" w:lineRule="auto"/>
            </w:pPr>
            <w:r/>
            <w:r>
              <w:rPr>
                <w:b w:val="0"/>
                <w:sz w:val="15"/>
              </w:rPr>
              <w:t>200 bps default</w:t>
            </w:r>
          </w:p>
        </w:tc>
        <w:tc>
          <w:tcPr>
            <w:tcW w:type="dxa" w:w="1317"/>
            <w:vAlign w:val="top"/>
          </w:tcPr>
          <w:p>
            <w:pPr>
              <w:spacing w:after="0" w:line="240" w:lineRule="auto"/>
            </w:pPr>
            <w:r/>
            <w:r>
              <w:rPr>
                <w:b w:val="0"/>
                <w:sz w:val="15"/>
              </w:rPr>
              <w:t>Margin above benchmark</w:t>
            </w:r>
          </w:p>
        </w:tc>
      </w:tr>
      <w:tr>
        <w:tc>
          <w:tcPr>
            <w:tcW w:type="dxa" w:w="1317"/>
            <w:vAlign w:val="top"/>
          </w:tcPr>
          <w:p>
            <w:pPr>
              <w:spacing w:after="0" w:line="240" w:lineRule="auto"/>
            </w:pPr>
            <w:r/>
            <w:r>
              <w:rPr>
                <w:b w:val="0"/>
                <w:sz w:val="15"/>
              </w:rPr>
              <w:t>Utilities / regulated</w:t>
            </w:r>
          </w:p>
        </w:tc>
        <w:tc>
          <w:tcPr>
            <w:tcW w:type="dxa" w:w="1317"/>
            <w:vAlign w:val="top"/>
          </w:tcPr>
          <w:p>
            <w:pPr>
              <w:spacing w:after="0" w:line="240" w:lineRule="auto"/>
            </w:pPr>
            <w:r/>
            <w:r>
              <w:rPr>
                <w:b w:val="0"/>
                <w:sz w:val="15"/>
              </w:rPr>
              <w:t>Stable / 2-stage</w:t>
            </w:r>
          </w:p>
        </w:tc>
        <w:tc>
          <w:tcPr>
            <w:tcW w:type="dxa" w:w="1317"/>
            <w:vAlign w:val="top"/>
          </w:tcPr>
          <w:p>
            <w:pPr>
              <w:spacing w:after="0" w:line="240" w:lineRule="auto"/>
            </w:pPr>
            <w:r/>
            <w:r>
              <w:rPr>
                <w:b w:val="0"/>
                <w:sz w:val="15"/>
              </w:rPr>
              <w:t>Normalized</w:t>
            </w:r>
          </w:p>
        </w:tc>
        <w:tc>
          <w:tcPr>
            <w:tcW w:type="dxa" w:w="1317"/>
            <w:vAlign w:val="top"/>
          </w:tcPr>
          <w:p>
            <w:pPr>
              <w:spacing w:after="0" w:line="240" w:lineRule="auto"/>
            </w:pPr>
            <w:r/>
            <w:r>
              <w:rPr>
                <w:b w:val="0"/>
                <w:sz w:val="15"/>
              </w:rPr>
              <w:t>Stable margin</w:t>
            </w:r>
          </w:p>
        </w:tc>
        <w:tc>
          <w:tcPr>
            <w:tcW w:type="dxa" w:w="1317"/>
            <w:vAlign w:val="top"/>
          </w:tcPr>
          <w:p>
            <w:pPr>
              <w:spacing w:after="0" w:line="240" w:lineRule="auto"/>
            </w:pPr>
            <w:r/>
            <w:r>
              <w:rPr>
                <w:b w:val="0"/>
                <w:sz w:val="15"/>
              </w:rPr>
              <w:t>Historical/benchmark</w:t>
            </w:r>
          </w:p>
        </w:tc>
        <w:tc>
          <w:tcPr>
            <w:tcW w:type="dxa" w:w="1317"/>
            <w:vAlign w:val="top"/>
          </w:tcPr>
          <w:p>
            <w:pPr>
              <w:spacing w:after="0" w:line="240" w:lineRule="auto"/>
            </w:pPr>
            <w:r/>
            <w:r>
              <w:rPr>
                <w:b w:val="0"/>
                <w:sz w:val="15"/>
              </w:rPr>
              <w:t>Short fade</w:t>
            </w:r>
          </w:p>
        </w:tc>
        <w:tc>
          <w:tcPr>
            <w:tcW w:type="dxa" w:w="1317"/>
            <w:vAlign w:val="top"/>
          </w:tcPr>
          <w:p>
            <w:pPr>
              <w:spacing w:after="0" w:line="240" w:lineRule="auto"/>
            </w:pPr>
            <w:r/>
            <w:r>
              <w:rPr>
                <w:b w:val="0"/>
                <w:sz w:val="15"/>
              </w:rPr>
              <w:t>100 bps default</w:t>
            </w:r>
          </w:p>
        </w:tc>
        <w:tc>
          <w:tcPr>
            <w:tcW w:type="dxa" w:w="1317"/>
            <w:vAlign w:val="top"/>
          </w:tcPr>
          <w:p>
            <w:pPr>
              <w:spacing w:after="0" w:line="240" w:lineRule="auto"/>
            </w:pPr>
            <w:r/>
            <w:r>
              <w:rPr>
                <w:b w:val="0"/>
                <w:sz w:val="15"/>
              </w:rPr>
              <w:t>Margin instability</w:t>
            </w:r>
          </w:p>
        </w:tc>
      </w:tr>
      <w:tr>
        <w:tc>
          <w:tcPr>
            <w:tcW w:type="dxa" w:w="1317"/>
            <w:vAlign w:val="top"/>
          </w:tcPr>
          <w:p>
            <w:pPr>
              <w:spacing w:after="0" w:line="240" w:lineRule="auto"/>
            </w:pPr>
            <w:r/>
            <w:r>
              <w:rPr>
                <w:b w:val="0"/>
                <w:sz w:val="15"/>
              </w:rPr>
              <w:t>Cyclical / commodity / asset-heavy</w:t>
            </w:r>
          </w:p>
        </w:tc>
        <w:tc>
          <w:tcPr>
            <w:tcW w:type="dxa" w:w="1317"/>
            <w:vAlign w:val="top"/>
          </w:tcPr>
          <w:p>
            <w:pPr>
              <w:spacing w:after="0" w:line="240" w:lineRule="auto"/>
            </w:pPr>
            <w:r/>
            <w:r>
              <w:rPr>
                <w:b w:val="0"/>
                <w:sz w:val="15"/>
              </w:rPr>
              <w:t>Cyclical normalized</w:t>
            </w:r>
          </w:p>
        </w:tc>
        <w:tc>
          <w:tcPr>
            <w:tcW w:type="dxa" w:w="1317"/>
            <w:vAlign w:val="top"/>
          </w:tcPr>
          <w:p>
            <w:pPr>
              <w:spacing w:after="0" w:line="240" w:lineRule="auto"/>
            </w:pPr>
            <w:r/>
            <w:r>
              <w:rPr>
                <w:b w:val="0"/>
                <w:sz w:val="15"/>
              </w:rPr>
              <w:t>Mid-cycle margin</w:t>
            </w:r>
          </w:p>
        </w:tc>
        <w:tc>
          <w:tcPr>
            <w:tcW w:type="dxa" w:w="1317"/>
            <w:vAlign w:val="top"/>
          </w:tcPr>
          <w:p>
            <w:pPr>
              <w:spacing w:after="0" w:line="240" w:lineRule="auto"/>
            </w:pPr>
            <w:r/>
            <w:r>
              <w:rPr>
                <w:b w:val="0"/>
                <w:sz w:val="15"/>
              </w:rPr>
              <w:t>Mid-cycle target</w:t>
            </w:r>
          </w:p>
        </w:tc>
        <w:tc>
          <w:tcPr>
            <w:tcW w:type="dxa" w:w="1317"/>
            <w:vAlign w:val="top"/>
          </w:tcPr>
          <w:p>
            <w:pPr>
              <w:spacing w:after="0" w:line="240" w:lineRule="auto"/>
            </w:pPr>
            <w:r/>
            <w:r>
              <w:rPr>
                <w:b w:val="0"/>
                <w:sz w:val="15"/>
              </w:rPr>
              <w:t>Mid-cycle/stable</w:t>
            </w:r>
          </w:p>
        </w:tc>
        <w:tc>
          <w:tcPr>
            <w:tcW w:type="dxa" w:w="1317"/>
            <w:vAlign w:val="top"/>
          </w:tcPr>
          <w:p>
            <w:pPr>
              <w:spacing w:after="0" w:line="240" w:lineRule="auto"/>
            </w:pPr>
            <w:r/>
            <w:r>
              <w:rPr>
                <w:b w:val="0"/>
                <w:sz w:val="15"/>
              </w:rPr>
              <w:t>Normalized</w:t>
            </w:r>
          </w:p>
        </w:tc>
        <w:tc>
          <w:tcPr>
            <w:tcW w:type="dxa" w:w="1317"/>
            <w:vAlign w:val="top"/>
          </w:tcPr>
          <w:p>
            <w:pPr>
              <w:spacing w:after="0" w:line="240" w:lineRule="auto"/>
            </w:pPr>
            <w:r/>
            <w:r>
              <w:rPr>
                <w:b w:val="0"/>
                <w:sz w:val="15"/>
              </w:rPr>
              <w:t>Custom</w:t>
            </w:r>
          </w:p>
        </w:tc>
        <w:tc>
          <w:tcPr>
            <w:tcW w:type="dxa" w:w="1317"/>
            <w:vAlign w:val="top"/>
          </w:tcPr>
          <w:p>
            <w:pPr>
              <w:spacing w:after="0" w:line="240" w:lineRule="auto"/>
            </w:pPr>
            <w:r/>
            <w:r>
              <w:rPr>
                <w:b w:val="0"/>
                <w:sz w:val="15"/>
              </w:rPr>
              <w:t>Peak-cycle margin used</w:t>
            </w:r>
          </w:p>
        </w:tc>
      </w:tr>
      <w:tr>
        <w:tc>
          <w:tcPr>
            <w:tcW w:type="dxa" w:w="1317"/>
            <w:vAlign w:val="top"/>
          </w:tcPr>
          <w:p>
            <w:pPr>
              <w:spacing w:after="0" w:line="240" w:lineRule="auto"/>
            </w:pPr>
            <w:r/>
            <w:r>
              <w:rPr>
                <w:b w:val="0"/>
                <w:sz w:val="15"/>
              </w:rPr>
              <w:t>Turnaround</w:t>
            </w:r>
          </w:p>
        </w:tc>
        <w:tc>
          <w:tcPr>
            <w:tcW w:type="dxa" w:w="1317"/>
            <w:vAlign w:val="top"/>
          </w:tcPr>
          <w:p>
            <w:pPr>
              <w:spacing w:after="0" w:line="240" w:lineRule="auto"/>
            </w:pPr>
            <w:r/>
            <w:r>
              <w:rPr>
                <w:b w:val="0"/>
                <w:sz w:val="15"/>
              </w:rPr>
              <w:t>n-stage</w:t>
            </w:r>
          </w:p>
        </w:tc>
        <w:tc>
          <w:tcPr>
            <w:tcW w:type="dxa" w:w="1317"/>
            <w:vAlign w:val="top"/>
          </w:tcPr>
          <w:p>
            <w:pPr>
              <w:spacing w:after="0" w:line="240" w:lineRule="auto"/>
            </w:pPr>
            <w:r/>
            <w:r>
              <w:rPr>
                <w:b w:val="0"/>
                <w:sz w:val="15"/>
              </w:rPr>
              <w:t>Negative/current</w:t>
            </w:r>
          </w:p>
        </w:tc>
        <w:tc>
          <w:tcPr>
            <w:tcW w:type="dxa" w:w="1317"/>
            <w:vAlign w:val="top"/>
          </w:tcPr>
          <w:p>
            <w:pPr>
              <w:spacing w:after="0" w:line="240" w:lineRule="auto"/>
            </w:pPr>
            <w:r/>
            <w:r>
              <w:rPr>
                <w:b w:val="0"/>
                <w:sz w:val="15"/>
              </w:rPr>
              <w:t>Target margin</w:t>
            </w:r>
          </w:p>
        </w:tc>
        <w:tc>
          <w:tcPr>
            <w:tcW w:type="dxa" w:w="1317"/>
            <w:vAlign w:val="top"/>
          </w:tcPr>
          <w:p>
            <w:pPr>
              <w:spacing w:after="0" w:line="240" w:lineRule="auto"/>
            </w:pPr>
            <w:r/>
            <w:r>
              <w:rPr>
                <w:b w:val="0"/>
                <w:sz w:val="15"/>
              </w:rPr>
              <w:t>Stable margin</w:t>
            </w:r>
          </w:p>
        </w:tc>
        <w:tc>
          <w:tcPr>
            <w:tcW w:type="dxa" w:w="1317"/>
            <w:vAlign w:val="top"/>
          </w:tcPr>
          <w:p>
            <w:pPr>
              <w:spacing w:after="0" w:line="240" w:lineRule="auto"/>
            </w:pPr>
            <w:r/>
            <w:r>
              <w:rPr>
                <w:b w:val="0"/>
                <w:sz w:val="15"/>
              </w:rPr>
              <w:t>Recovery curve</w:t>
            </w:r>
          </w:p>
        </w:tc>
        <w:tc>
          <w:tcPr>
            <w:tcW w:type="dxa" w:w="1317"/>
            <w:vAlign w:val="top"/>
          </w:tcPr>
          <w:p>
            <w:pPr>
              <w:spacing w:after="0" w:line="240" w:lineRule="auto"/>
            </w:pPr>
            <w:r/>
            <w:r>
              <w:rPr>
                <w:b w:val="0"/>
                <w:sz w:val="15"/>
              </w:rPr>
              <w:t>Custom</w:t>
            </w:r>
          </w:p>
        </w:tc>
        <w:tc>
          <w:tcPr>
            <w:tcW w:type="dxa" w:w="1317"/>
            <w:vAlign w:val="top"/>
          </w:tcPr>
          <w:p>
            <w:pPr>
              <w:spacing w:after="0" w:line="240" w:lineRule="auto"/>
            </w:pPr>
            <w:r/>
            <w:r>
              <w:rPr>
                <w:b w:val="0"/>
                <w:sz w:val="15"/>
              </w:rPr>
              <w:t>Profitability too fast</w:t>
            </w:r>
          </w:p>
        </w:tc>
      </w:tr>
    </w:tbl>
    <w:p/>
    <w:p>
      <w:pPr>
        <w:pStyle w:val="TableTitle"/>
      </w:pPr>
      <w:r>
        <w:rPr>
          <w:b/>
        </w:rPr>
        <w:t>Table - tblReinvestmentFadeRules</w:t>
      </w:r>
    </w:p>
    <w:tbl>
      <w:tblPr>
        <w:tblStyle w:val="TableGrid"/>
        <w:tblW w:type="auto" w:w="0"/>
        <w:jc w:val="center"/>
        <w:tblLayout w:type="autofit"/>
        <w:tblLook w:firstColumn="1" w:firstRow="1" w:lastColumn="0" w:lastRow="0" w:noHBand="0" w:noVBand="1" w:val="04A0"/>
      </w:tblPr>
      <w:tblGrid>
        <w:gridCol w:w="1506"/>
        <w:gridCol w:w="1506"/>
        <w:gridCol w:w="1506"/>
        <w:gridCol w:w="1506"/>
        <w:gridCol w:w="1506"/>
        <w:gridCol w:w="1506"/>
        <w:gridCol w:w="1506"/>
      </w:tblGrid>
      <w:tr>
        <w:tc>
          <w:tcPr>
            <w:tcW w:type="dxa" w:w="1506"/>
            <w:vAlign w:val="top"/>
            <w:shd w:fill="D9EAF7"/>
          </w:tcPr>
          <w:p>
            <w:pPr>
              <w:spacing w:after="0" w:line="240" w:lineRule="auto"/>
            </w:pPr>
            <w:r/>
            <w:r>
              <w:rPr>
                <w:b/>
                <w:sz w:val="16"/>
              </w:rPr>
              <w:t>Model Mode</w:t>
            </w:r>
          </w:p>
        </w:tc>
        <w:tc>
          <w:tcPr>
            <w:tcW w:type="dxa" w:w="1506"/>
            <w:vAlign w:val="top"/>
            <w:shd w:fill="D9EAF7"/>
          </w:tcPr>
          <w:p>
            <w:pPr>
              <w:spacing w:after="0" w:line="240" w:lineRule="auto"/>
            </w:pPr>
            <w:r/>
            <w:r>
              <w:rPr>
                <w:b/>
                <w:sz w:val="16"/>
              </w:rPr>
              <w:t>Early Reinvestment Method</w:t>
            </w:r>
          </w:p>
        </w:tc>
        <w:tc>
          <w:tcPr>
            <w:tcW w:type="dxa" w:w="1506"/>
            <w:vAlign w:val="top"/>
            <w:shd w:fill="D9EAF7"/>
          </w:tcPr>
          <w:p>
            <w:pPr>
              <w:spacing w:after="0" w:line="240" w:lineRule="auto"/>
            </w:pPr>
            <w:r/>
            <w:r>
              <w:rPr>
                <w:b/>
                <w:sz w:val="16"/>
              </w:rPr>
              <w:t>Transition Method</w:t>
            </w:r>
          </w:p>
        </w:tc>
        <w:tc>
          <w:tcPr>
            <w:tcW w:type="dxa" w:w="1506"/>
            <w:vAlign w:val="top"/>
            <w:shd w:fill="D9EAF7"/>
          </w:tcPr>
          <w:p>
            <w:pPr>
              <w:spacing w:after="0" w:line="240" w:lineRule="auto"/>
            </w:pPr>
            <w:r/>
            <w:r>
              <w:rPr>
                <w:b/>
                <w:sz w:val="16"/>
              </w:rPr>
              <w:t>Stable Method</w:t>
            </w:r>
          </w:p>
        </w:tc>
        <w:tc>
          <w:tcPr>
            <w:tcW w:type="dxa" w:w="1506"/>
            <w:vAlign w:val="top"/>
            <w:shd w:fill="D9EAF7"/>
          </w:tcPr>
          <w:p>
            <w:pPr>
              <w:spacing w:after="0" w:line="240" w:lineRule="auto"/>
            </w:pPr>
            <w:r/>
            <w:r>
              <w:rPr>
                <w:b/>
                <w:sz w:val="16"/>
              </w:rPr>
              <w:t>Sales-to-Capital Source</w:t>
            </w:r>
          </w:p>
        </w:tc>
        <w:tc>
          <w:tcPr>
            <w:tcW w:type="dxa" w:w="1506"/>
            <w:vAlign w:val="top"/>
            <w:shd w:fill="D9EAF7"/>
          </w:tcPr>
          <w:p>
            <w:pPr>
              <w:spacing w:after="0" w:line="240" w:lineRule="auto"/>
            </w:pPr>
            <w:r/>
            <w:r>
              <w:rPr>
                <w:b/>
                <w:sz w:val="16"/>
              </w:rPr>
              <w:t>Stable ROC Source</w:t>
            </w:r>
          </w:p>
        </w:tc>
        <w:tc>
          <w:tcPr>
            <w:tcW w:type="dxa" w:w="1506"/>
            <w:vAlign w:val="top"/>
            <w:shd w:fill="D9EAF7"/>
          </w:tcPr>
          <w:p>
            <w:pPr>
              <w:spacing w:after="0" w:line="240" w:lineRule="auto"/>
            </w:pPr>
            <w:r/>
            <w:r>
              <w:rPr>
                <w:b/>
                <w:sz w:val="16"/>
              </w:rPr>
              <w:t>Review Trigger</w:t>
            </w:r>
          </w:p>
        </w:tc>
      </w:tr>
      <w:tr>
        <w:tc>
          <w:tcPr>
            <w:tcW w:type="dxa" w:w="1506"/>
            <w:vAlign w:val="top"/>
          </w:tcPr>
          <w:p>
            <w:pPr>
              <w:spacing w:after="0" w:line="240" w:lineRule="auto"/>
            </w:pPr>
            <w:r/>
            <w:r>
              <w:rPr>
                <w:b w:val="0"/>
                <w:sz w:val="15"/>
              </w:rPr>
              <w:t>Stable FCFF</w:t>
            </w:r>
          </w:p>
        </w:tc>
        <w:tc>
          <w:tcPr>
            <w:tcW w:type="dxa" w:w="1506"/>
            <w:vAlign w:val="top"/>
          </w:tcPr>
          <w:p>
            <w:pPr>
              <w:spacing w:after="0" w:line="240" w:lineRule="auto"/>
            </w:pPr>
            <w:r/>
            <w:r>
              <w:rPr>
                <w:b w:val="0"/>
                <w:sz w:val="15"/>
              </w:rPr>
              <w:t>Stable method</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g / ROC</w:t>
            </w:r>
          </w:p>
        </w:tc>
        <w:tc>
          <w:tcPr>
            <w:tcW w:type="dxa" w:w="1506"/>
            <w:vAlign w:val="top"/>
          </w:tcPr>
          <w:p>
            <w:pPr>
              <w:spacing w:after="0" w:line="240" w:lineRule="auto"/>
            </w:pPr>
            <w:r/>
            <w:r>
              <w:rPr>
                <w:b w:val="0"/>
                <w:sz w:val="15"/>
              </w:rPr>
              <w:t>Benchmark/manual</w:t>
            </w:r>
          </w:p>
        </w:tc>
        <w:tc>
          <w:tcPr>
            <w:tcW w:type="dxa" w:w="1506"/>
            <w:vAlign w:val="top"/>
          </w:tcPr>
          <w:p>
            <w:pPr>
              <w:spacing w:after="0" w:line="240" w:lineRule="auto"/>
            </w:pPr>
            <w:r/>
            <w:r>
              <w:rPr>
                <w:b w:val="0"/>
                <w:sz w:val="15"/>
              </w:rPr>
              <w:t>Stable ROC</w:t>
            </w:r>
          </w:p>
        </w:tc>
        <w:tc>
          <w:tcPr>
            <w:tcW w:type="dxa" w:w="1506"/>
            <w:vAlign w:val="top"/>
          </w:tcPr>
          <w:p>
            <w:pPr>
              <w:spacing w:after="0" w:line="240" w:lineRule="auto"/>
            </w:pPr>
            <w:r/>
            <w:r>
              <w:rPr>
                <w:b w:val="0"/>
                <w:sz w:val="15"/>
              </w:rPr>
              <w:t>Reinvestment inconsistent</w:t>
            </w:r>
          </w:p>
        </w:tc>
      </w:tr>
      <w:tr>
        <w:tc>
          <w:tcPr>
            <w:tcW w:type="dxa" w:w="1506"/>
            <w:vAlign w:val="top"/>
          </w:tcPr>
          <w:p>
            <w:pPr>
              <w:spacing w:after="0" w:line="240" w:lineRule="auto"/>
            </w:pPr>
            <w:r/>
            <w:r>
              <w:rPr>
                <w:b w:val="0"/>
                <w:sz w:val="15"/>
              </w:rPr>
              <w:t>2-stage FCFF</w:t>
            </w:r>
          </w:p>
        </w:tc>
        <w:tc>
          <w:tcPr>
            <w:tcW w:type="dxa" w:w="1506"/>
            <w:vAlign w:val="top"/>
          </w:tcPr>
          <w:p>
            <w:pPr>
              <w:spacing w:after="0" w:line="240" w:lineRule="auto"/>
            </w:pPr>
            <w:r/>
            <w:r>
              <w:rPr>
                <w:b w:val="0"/>
                <w:sz w:val="15"/>
              </w:rPr>
              <w:t>Direct or sales-to-capital</w:t>
            </w:r>
          </w:p>
        </w:tc>
        <w:tc>
          <w:tcPr>
            <w:tcW w:type="dxa" w:w="1506"/>
            <w:vAlign w:val="top"/>
          </w:tcPr>
          <w:p>
            <w:pPr>
              <w:spacing w:after="0" w:line="240" w:lineRule="auto"/>
            </w:pPr>
            <w:r/>
            <w:r>
              <w:rPr>
                <w:b w:val="0"/>
                <w:sz w:val="15"/>
              </w:rPr>
              <w:t>Fade to stable</w:t>
            </w:r>
          </w:p>
        </w:tc>
        <w:tc>
          <w:tcPr>
            <w:tcW w:type="dxa" w:w="1506"/>
            <w:vAlign w:val="top"/>
          </w:tcPr>
          <w:p>
            <w:pPr>
              <w:spacing w:after="0" w:line="240" w:lineRule="auto"/>
            </w:pPr>
            <w:r/>
            <w:r>
              <w:rPr>
                <w:b w:val="0"/>
                <w:sz w:val="15"/>
              </w:rPr>
              <w:t>g / ROC</w:t>
            </w:r>
          </w:p>
        </w:tc>
        <w:tc>
          <w:tcPr>
            <w:tcW w:type="dxa" w:w="1506"/>
            <w:vAlign w:val="top"/>
          </w:tcPr>
          <w:p>
            <w:pPr>
              <w:spacing w:after="0" w:line="240" w:lineRule="auto"/>
            </w:pPr>
            <w:r/>
            <w:r>
              <w:rPr>
                <w:b w:val="0"/>
                <w:sz w:val="15"/>
              </w:rPr>
              <w:t>Company/industry</w:t>
            </w:r>
          </w:p>
        </w:tc>
        <w:tc>
          <w:tcPr>
            <w:tcW w:type="dxa" w:w="1506"/>
            <w:vAlign w:val="top"/>
          </w:tcPr>
          <w:p>
            <w:pPr>
              <w:spacing w:after="0" w:line="240" w:lineRule="auto"/>
            </w:pPr>
            <w:r/>
            <w:r>
              <w:rPr>
                <w:b w:val="0"/>
                <w:sz w:val="15"/>
              </w:rPr>
              <w:t>Industry/manual</w:t>
            </w:r>
          </w:p>
        </w:tc>
        <w:tc>
          <w:tcPr>
            <w:tcW w:type="dxa" w:w="1506"/>
            <w:vAlign w:val="top"/>
          </w:tcPr>
          <w:p>
            <w:pPr>
              <w:spacing w:after="0" w:line="240" w:lineRule="auto"/>
            </w:pPr>
            <w:r/>
            <w:r>
              <w:rPr>
                <w:b w:val="0"/>
                <w:sz w:val="15"/>
              </w:rPr>
              <w:t>Growth without reinvestment</w:t>
            </w:r>
          </w:p>
        </w:tc>
      </w:tr>
      <w:tr>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Direct or sales-to-capital</w:t>
            </w:r>
          </w:p>
        </w:tc>
        <w:tc>
          <w:tcPr>
            <w:tcW w:type="dxa" w:w="1506"/>
            <w:vAlign w:val="top"/>
          </w:tcPr>
          <w:p>
            <w:pPr>
              <w:spacing w:after="0" w:line="240" w:lineRule="auto"/>
            </w:pPr>
            <w:r/>
            <w:r>
              <w:rPr>
                <w:b w:val="0"/>
                <w:sz w:val="15"/>
              </w:rPr>
              <w:t>Fade to stable ROC</w:t>
            </w:r>
          </w:p>
        </w:tc>
        <w:tc>
          <w:tcPr>
            <w:tcW w:type="dxa" w:w="1506"/>
            <w:vAlign w:val="top"/>
          </w:tcPr>
          <w:p>
            <w:pPr>
              <w:spacing w:after="0" w:line="240" w:lineRule="auto"/>
            </w:pPr>
            <w:r/>
            <w:r>
              <w:rPr>
                <w:b w:val="0"/>
                <w:sz w:val="15"/>
              </w:rPr>
              <w:t>g / ROC</w:t>
            </w:r>
          </w:p>
        </w:tc>
        <w:tc>
          <w:tcPr>
            <w:tcW w:type="dxa" w:w="1506"/>
            <w:vAlign w:val="top"/>
          </w:tcPr>
          <w:p>
            <w:pPr>
              <w:spacing w:after="0" w:line="240" w:lineRule="auto"/>
            </w:pPr>
            <w:r/>
            <w:r>
              <w:rPr>
                <w:b w:val="0"/>
                <w:sz w:val="15"/>
              </w:rPr>
              <w:t>Company/Damodaran/manual</w:t>
            </w:r>
          </w:p>
        </w:tc>
        <w:tc>
          <w:tcPr>
            <w:tcW w:type="dxa" w:w="1506"/>
            <w:vAlign w:val="top"/>
          </w:tcPr>
          <w:p>
            <w:pPr>
              <w:spacing w:after="0" w:line="240" w:lineRule="auto"/>
            </w:pPr>
            <w:r/>
            <w:r>
              <w:rPr>
                <w:b w:val="0"/>
                <w:sz w:val="15"/>
              </w:rPr>
              <w:t>Damodaran/manual</w:t>
            </w:r>
          </w:p>
        </w:tc>
        <w:tc>
          <w:tcPr>
            <w:tcW w:type="dxa" w:w="1506"/>
            <w:vAlign w:val="top"/>
          </w:tcPr>
          <w:p>
            <w:pPr>
              <w:spacing w:after="0" w:line="240" w:lineRule="auto"/>
            </w:pPr>
            <w:r/>
            <w:r>
              <w:rPr>
                <w:b w:val="0"/>
                <w:sz w:val="15"/>
              </w:rPr>
              <w:t>Low reinvestment despite growth</w:t>
            </w:r>
          </w:p>
        </w:tc>
      </w:tr>
      <w:tr>
        <w:tc>
          <w:tcPr>
            <w:tcW w:type="dxa" w:w="1506"/>
            <w:vAlign w:val="top"/>
          </w:tcPr>
          <w:p>
            <w:pPr>
              <w:spacing w:after="0" w:line="240" w:lineRule="auto"/>
            </w:pPr>
            <w:r/>
            <w:r>
              <w:rPr>
                <w:b w:val="0"/>
                <w:sz w:val="15"/>
              </w:rPr>
              <w:t>n-stage / generalized FCFF</w:t>
            </w:r>
          </w:p>
        </w:tc>
        <w:tc>
          <w:tcPr>
            <w:tcW w:type="dxa" w:w="1506"/>
            <w:vAlign w:val="top"/>
          </w:tcPr>
          <w:p>
            <w:pPr>
              <w:spacing w:after="0" w:line="240" w:lineRule="auto"/>
            </w:pPr>
            <w:r/>
            <w:r>
              <w:rPr>
                <w:b w:val="0"/>
                <w:sz w:val="15"/>
              </w:rPr>
              <w:t>Sales-to-capital often preferred</w:t>
            </w:r>
          </w:p>
        </w:tc>
        <w:tc>
          <w:tcPr>
            <w:tcW w:type="dxa" w:w="1506"/>
            <w:vAlign w:val="top"/>
          </w:tcPr>
          <w:p>
            <w:pPr>
              <w:spacing w:after="0" w:line="240" w:lineRule="auto"/>
            </w:pPr>
            <w:r/>
            <w:r>
              <w:rPr>
                <w:b w:val="0"/>
                <w:sz w:val="15"/>
              </w:rPr>
              <w:t>Custom transition</w:t>
            </w:r>
          </w:p>
        </w:tc>
        <w:tc>
          <w:tcPr>
            <w:tcW w:type="dxa" w:w="1506"/>
            <w:vAlign w:val="top"/>
          </w:tcPr>
          <w:p>
            <w:pPr>
              <w:spacing w:after="0" w:line="240" w:lineRule="auto"/>
            </w:pPr>
            <w:r/>
            <w:r>
              <w:rPr>
                <w:b w:val="0"/>
                <w:sz w:val="15"/>
              </w:rPr>
              <w:t>g / ROC</w:t>
            </w:r>
          </w:p>
        </w:tc>
        <w:tc>
          <w:tcPr>
            <w:tcW w:type="dxa" w:w="1506"/>
            <w:vAlign w:val="top"/>
          </w:tcPr>
          <w:p>
            <w:pPr>
              <w:spacing w:after="0" w:line="240" w:lineRule="auto"/>
            </w:pPr>
            <w:r/>
            <w:r>
              <w:rPr>
                <w:b w:val="0"/>
                <w:sz w:val="15"/>
              </w:rPr>
              <w:t>Damodaran/manual</w:t>
            </w:r>
          </w:p>
        </w:tc>
        <w:tc>
          <w:tcPr>
            <w:tcW w:type="dxa" w:w="1506"/>
            <w:vAlign w:val="top"/>
          </w:tcPr>
          <w:p>
            <w:pPr>
              <w:spacing w:after="0" w:line="240" w:lineRule="auto"/>
            </w:pPr>
            <w:r/>
            <w:r>
              <w:rPr>
                <w:b w:val="0"/>
                <w:sz w:val="15"/>
              </w:rPr>
              <w:t>Damodaran/manual</w:t>
            </w:r>
          </w:p>
        </w:tc>
        <w:tc>
          <w:tcPr>
            <w:tcW w:type="dxa" w:w="1506"/>
            <w:vAlign w:val="top"/>
          </w:tcPr>
          <w:p>
            <w:pPr>
              <w:spacing w:after="0" w:line="240" w:lineRule="auto"/>
            </w:pPr>
            <w:r/>
            <w:r>
              <w:rPr>
                <w:b w:val="0"/>
                <w:sz w:val="15"/>
              </w:rPr>
              <w:t>Unsupported growth</w:t>
            </w:r>
          </w:p>
        </w:tc>
      </w:tr>
      <w:tr>
        <w:tc>
          <w:tcPr>
            <w:tcW w:type="dxa" w:w="1506"/>
            <w:vAlign w:val="top"/>
          </w:tcPr>
          <w:p>
            <w:pPr>
              <w:spacing w:after="0" w:line="240" w:lineRule="auto"/>
            </w:pPr>
            <w:r/>
            <w:r>
              <w:rPr>
                <w:b w:val="0"/>
                <w:sz w:val="15"/>
              </w:rPr>
              <w:t>Turnaround FCFF</w:t>
            </w:r>
          </w:p>
        </w:tc>
        <w:tc>
          <w:tcPr>
            <w:tcW w:type="dxa" w:w="1506"/>
            <w:vAlign w:val="top"/>
          </w:tcPr>
          <w:p>
            <w:pPr>
              <w:spacing w:after="0" w:line="240" w:lineRule="auto"/>
            </w:pPr>
            <w:r/>
            <w:r>
              <w:rPr>
                <w:b w:val="0"/>
                <w:sz w:val="15"/>
              </w:rPr>
              <w:t>Sales-to-capital</w:t>
            </w:r>
          </w:p>
        </w:tc>
        <w:tc>
          <w:tcPr>
            <w:tcW w:type="dxa" w:w="1506"/>
            <w:vAlign w:val="top"/>
          </w:tcPr>
          <w:p>
            <w:pPr>
              <w:spacing w:after="0" w:line="240" w:lineRule="auto"/>
            </w:pPr>
            <w:r/>
            <w:r>
              <w:rPr>
                <w:b w:val="0"/>
                <w:sz w:val="15"/>
              </w:rPr>
              <w:t>Margin/revenue-led</w:t>
            </w:r>
          </w:p>
        </w:tc>
        <w:tc>
          <w:tcPr>
            <w:tcW w:type="dxa" w:w="1506"/>
            <w:vAlign w:val="top"/>
          </w:tcPr>
          <w:p>
            <w:pPr>
              <w:spacing w:after="0" w:line="240" w:lineRule="auto"/>
            </w:pPr>
            <w:r/>
            <w:r>
              <w:rPr>
                <w:b w:val="0"/>
                <w:sz w:val="15"/>
              </w:rPr>
              <w:t>g / ROC only after positive stable ROC</w:t>
            </w:r>
          </w:p>
        </w:tc>
        <w:tc>
          <w:tcPr>
            <w:tcW w:type="dxa" w:w="1506"/>
            <w:vAlign w:val="top"/>
          </w:tcPr>
          <w:p>
            <w:pPr>
              <w:spacing w:after="0" w:line="240" w:lineRule="auto"/>
            </w:pPr>
            <w:r/>
            <w:r>
              <w:rPr>
                <w:b w:val="0"/>
                <w:sz w:val="15"/>
              </w:rPr>
              <w:t>Industry/manual</w:t>
            </w:r>
          </w:p>
        </w:tc>
        <w:tc>
          <w:tcPr>
            <w:tcW w:type="dxa" w:w="1506"/>
            <w:vAlign w:val="top"/>
          </w:tcPr>
          <w:p>
            <w:pPr>
              <w:spacing w:after="0" w:line="240" w:lineRule="auto"/>
            </w:pPr>
            <w:r/>
            <w:r>
              <w:rPr>
                <w:b w:val="0"/>
                <w:sz w:val="15"/>
              </w:rPr>
              <w:t>Manual/stable ROC</w:t>
            </w:r>
          </w:p>
        </w:tc>
        <w:tc>
          <w:tcPr>
            <w:tcW w:type="dxa" w:w="1506"/>
            <w:vAlign w:val="top"/>
          </w:tcPr>
          <w:p>
            <w:pPr>
              <w:spacing w:after="0" w:line="240" w:lineRule="auto"/>
            </w:pPr>
            <w:r/>
            <w:r>
              <w:rPr>
                <w:b w:val="0"/>
                <w:sz w:val="15"/>
              </w:rPr>
              <w:t>Negative ROC / EBIT logic invalid</w:t>
            </w:r>
          </w:p>
        </w:tc>
      </w:tr>
    </w:tbl>
    <w:p/>
    <w:p>
      <w:pPr>
        <w:pStyle w:val="TableTitle"/>
      </w:pPr>
      <w:r>
        <w:rPr>
          <w:b/>
        </w:rPr>
        <w:t>Table - tblROCFadeRules</w:t>
      </w:r>
    </w:p>
    <w:tbl>
      <w:tblPr>
        <w:tblStyle w:val="TableGrid"/>
        <w:tblW w:type="auto" w:w="0"/>
        <w:jc w:val="center"/>
        <w:tblLayout w:type="autofit"/>
        <w:tblLook w:firstColumn="1" w:firstRow="1" w:lastColumn="0" w:lastRow="0" w:noHBand="0" w:noVBand="1" w:val="04A0"/>
      </w:tblPr>
      <w:tblGrid>
        <w:gridCol w:w="2108"/>
        <w:gridCol w:w="2108"/>
        <w:gridCol w:w="2108"/>
        <w:gridCol w:w="2108"/>
        <w:gridCol w:w="2108"/>
      </w:tblGrid>
      <w:tr>
        <w:tc>
          <w:tcPr>
            <w:tcW w:type="dxa" w:w="2108"/>
            <w:vAlign w:val="top"/>
            <w:shd w:fill="D9EAF7"/>
          </w:tcPr>
          <w:p>
            <w:pPr>
              <w:spacing w:after="0" w:line="240" w:lineRule="auto"/>
            </w:pPr>
            <w:r/>
            <w:r>
              <w:rPr>
                <w:b/>
                <w:sz w:val="16"/>
              </w:rPr>
              <w:t>Model Mode</w:t>
            </w:r>
          </w:p>
        </w:tc>
        <w:tc>
          <w:tcPr>
            <w:tcW w:type="dxa" w:w="2108"/>
            <w:vAlign w:val="top"/>
            <w:shd w:fill="D9EAF7"/>
          </w:tcPr>
          <w:p>
            <w:pPr>
              <w:spacing w:after="0" w:line="240" w:lineRule="auto"/>
            </w:pPr>
            <w:r/>
            <w:r>
              <w:rPr>
                <w:b/>
                <w:sz w:val="16"/>
              </w:rPr>
              <w:t>Current ROC Source</w:t>
            </w:r>
          </w:p>
        </w:tc>
        <w:tc>
          <w:tcPr>
            <w:tcW w:type="dxa" w:w="2108"/>
            <w:vAlign w:val="top"/>
            <w:shd w:fill="D9EAF7"/>
          </w:tcPr>
          <w:p>
            <w:pPr>
              <w:spacing w:after="0" w:line="240" w:lineRule="auto"/>
            </w:pPr>
            <w:r/>
            <w:r>
              <w:rPr>
                <w:b/>
                <w:sz w:val="16"/>
              </w:rPr>
              <w:t>Stable ROC Source</w:t>
            </w:r>
          </w:p>
        </w:tc>
        <w:tc>
          <w:tcPr>
            <w:tcW w:type="dxa" w:w="2108"/>
            <w:vAlign w:val="top"/>
            <w:shd w:fill="D9EAF7"/>
          </w:tcPr>
          <w:p>
            <w:pPr>
              <w:spacing w:after="0" w:line="240" w:lineRule="auto"/>
            </w:pPr>
            <w:r/>
            <w:r>
              <w:rPr>
                <w:b/>
                <w:sz w:val="16"/>
              </w:rPr>
              <w:t>Fade Method</w:t>
            </w:r>
          </w:p>
        </w:tc>
        <w:tc>
          <w:tcPr>
            <w:tcW w:type="dxa" w:w="2108"/>
            <w:vAlign w:val="top"/>
            <w:shd w:fill="D9EAF7"/>
          </w:tcPr>
          <w:p>
            <w:pPr>
              <w:spacing w:after="0" w:line="240" w:lineRule="auto"/>
            </w:pPr>
            <w:r/>
            <w:r>
              <w:rPr>
                <w:b/>
                <w:sz w:val="16"/>
              </w:rPr>
              <w:t>Review Trigger</w:t>
            </w:r>
          </w:p>
        </w:tc>
      </w:tr>
      <w:tr>
        <w:tc>
          <w:tcPr>
            <w:tcW w:type="dxa" w:w="2108"/>
            <w:vAlign w:val="top"/>
          </w:tcPr>
          <w:p>
            <w:pPr>
              <w:spacing w:after="0" w:line="240" w:lineRule="auto"/>
            </w:pPr>
            <w:r/>
            <w:r>
              <w:rPr>
                <w:b w:val="0"/>
                <w:sz w:val="15"/>
              </w:rPr>
              <w:t>Stable FCFF</w:t>
            </w:r>
          </w:p>
        </w:tc>
        <w:tc>
          <w:tcPr>
            <w:tcW w:type="dxa" w:w="2108"/>
            <w:vAlign w:val="top"/>
          </w:tcPr>
          <w:p>
            <w:pPr>
              <w:spacing w:after="0" w:line="240" w:lineRule="auto"/>
            </w:pPr>
            <w:r/>
            <w:r>
              <w:rPr>
                <w:b w:val="0"/>
                <w:sz w:val="15"/>
              </w:rPr>
              <w:t>Current/normalized ROC</w:t>
            </w:r>
          </w:p>
        </w:tc>
        <w:tc>
          <w:tcPr>
            <w:tcW w:type="dxa" w:w="2108"/>
            <w:vAlign w:val="top"/>
          </w:tcPr>
          <w:p>
            <w:pPr>
              <w:spacing w:after="0" w:line="240" w:lineRule="auto"/>
            </w:pPr>
            <w:r/>
            <w:r>
              <w:rPr>
                <w:b w:val="0"/>
                <w:sz w:val="15"/>
              </w:rPr>
              <w:t>Stable/company/industry ROC</w:t>
            </w:r>
          </w:p>
        </w:tc>
        <w:tc>
          <w:tcPr>
            <w:tcW w:type="dxa" w:w="2108"/>
            <w:vAlign w:val="top"/>
          </w:tcPr>
          <w:p>
            <w:pPr>
              <w:spacing w:after="0" w:line="240" w:lineRule="auto"/>
            </w:pPr>
            <w:r/>
            <w:r>
              <w:rPr>
                <w:b w:val="0"/>
                <w:sz w:val="15"/>
              </w:rPr>
              <w:t>Immediate/short</w:t>
            </w:r>
          </w:p>
        </w:tc>
        <w:tc>
          <w:tcPr>
            <w:tcW w:type="dxa" w:w="2108"/>
            <w:vAlign w:val="top"/>
          </w:tcPr>
          <w:p>
            <w:pPr>
              <w:spacing w:after="0" w:line="240" w:lineRule="auto"/>
            </w:pPr>
            <w:r/>
            <w:r>
              <w:rPr>
                <w:b w:val="0"/>
                <w:sz w:val="15"/>
              </w:rPr>
              <w:t>Stable ROC &lt; WACC</w:t>
            </w:r>
          </w:p>
        </w:tc>
      </w:tr>
      <w:tr>
        <w:tc>
          <w:tcPr>
            <w:tcW w:type="dxa" w:w="2108"/>
            <w:vAlign w:val="top"/>
          </w:tcPr>
          <w:p>
            <w:pPr>
              <w:spacing w:after="0" w:line="240" w:lineRule="auto"/>
            </w:pPr>
            <w:r/>
            <w:r>
              <w:rPr>
                <w:b w:val="0"/>
                <w:sz w:val="15"/>
              </w:rPr>
              <w:t>2-stage FCFF</w:t>
            </w:r>
          </w:p>
        </w:tc>
        <w:tc>
          <w:tcPr>
            <w:tcW w:type="dxa" w:w="2108"/>
            <w:vAlign w:val="top"/>
          </w:tcPr>
          <w:p>
            <w:pPr>
              <w:spacing w:after="0" w:line="240" w:lineRule="auto"/>
            </w:pPr>
            <w:r/>
            <w:r>
              <w:rPr>
                <w:b w:val="0"/>
                <w:sz w:val="15"/>
              </w:rPr>
              <w:t>Current ROC</w:t>
            </w:r>
          </w:p>
        </w:tc>
        <w:tc>
          <w:tcPr>
            <w:tcW w:type="dxa" w:w="2108"/>
            <w:vAlign w:val="top"/>
          </w:tcPr>
          <w:p>
            <w:pPr>
              <w:spacing w:after="0" w:line="240" w:lineRule="auto"/>
            </w:pPr>
            <w:r/>
            <w:r>
              <w:rPr>
                <w:b w:val="0"/>
                <w:sz w:val="15"/>
              </w:rPr>
              <w:t>Industry/manual stable ROC</w:t>
            </w:r>
          </w:p>
        </w:tc>
        <w:tc>
          <w:tcPr>
            <w:tcW w:type="dxa" w:w="2108"/>
            <w:vAlign w:val="top"/>
          </w:tcPr>
          <w:p>
            <w:pPr>
              <w:spacing w:after="0" w:line="240" w:lineRule="auto"/>
            </w:pPr>
            <w:r/>
            <w:r>
              <w:rPr>
                <w:b w:val="0"/>
                <w:sz w:val="15"/>
              </w:rPr>
              <w:t>Gradual</w:t>
            </w:r>
          </w:p>
        </w:tc>
        <w:tc>
          <w:tcPr>
            <w:tcW w:type="dxa" w:w="2108"/>
            <w:vAlign w:val="top"/>
          </w:tcPr>
          <w:p>
            <w:pPr>
              <w:spacing w:after="0" w:line="240" w:lineRule="auto"/>
            </w:pPr>
            <w:r/>
            <w:r>
              <w:rPr>
                <w:b w:val="0"/>
                <w:sz w:val="15"/>
              </w:rPr>
              <w:t>ROC too high forever</w:t>
            </w:r>
          </w:p>
        </w:tc>
      </w:tr>
      <w:tr>
        <w:tc>
          <w:tcPr>
            <w:tcW w:type="dxa" w:w="2108"/>
            <w:vAlign w:val="top"/>
          </w:tcPr>
          <w:p>
            <w:pPr>
              <w:spacing w:after="0" w:line="240" w:lineRule="auto"/>
            </w:pPr>
            <w:r/>
            <w:r>
              <w:rPr>
                <w:b w:val="0"/>
                <w:sz w:val="15"/>
              </w:rPr>
              <w:t>3-stage FCFF</w:t>
            </w:r>
          </w:p>
        </w:tc>
        <w:tc>
          <w:tcPr>
            <w:tcW w:type="dxa" w:w="2108"/>
            <w:vAlign w:val="top"/>
          </w:tcPr>
          <w:p>
            <w:pPr>
              <w:spacing w:after="0" w:line="240" w:lineRule="auto"/>
            </w:pPr>
            <w:r/>
            <w:r>
              <w:rPr>
                <w:b w:val="0"/>
                <w:sz w:val="15"/>
              </w:rPr>
              <w:t>Current/forecast ROC</w:t>
            </w:r>
          </w:p>
        </w:tc>
        <w:tc>
          <w:tcPr>
            <w:tcW w:type="dxa" w:w="2108"/>
            <w:vAlign w:val="top"/>
          </w:tcPr>
          <w:p>
            <w:pPr>
              <w:spacing w:after="0" w:line="240" w:lineRule="auto"/>
            </w:pPr>
            <w:r/>
            <w:r>
              <w:rPr>
                <w:b w:val="0"/>
                <w:sz w:val="15"/>
              </w:rPr>
              <w:t>Damodaran industry/manual</w:t>
            </w:r>
          </w:p>
        </w:tc>
        <w:tc>
          <w:tcPr>
            <w:tcW w:type="dxa" w:w="2108"/>
            <w:vAlign w:val="top"/>
          </w:tcPr>
          <w:p>
            <w:pPr>
              <w:spacing w:after="0" w:line="240" w:lineRule="auto"/>
            </w:pPr>
            <w:r/>
            <w:r>
              <w:rPr>
                <w:b w:val="0"/>
                <w:sz w:val="15"/>
              </w:rPr>
              <w:t>Linear fade</w:t>
            </w:r>
          </w:p>
        </w:tc>
        <w:tc>
          <w:tcPr>
            <w:tcW w:type="dxa" w:w="2108"/>
            <w:vAlign w:val="top"/>
          </w:tcPr>
          <w:p>
            <w:pPr>
              <w:spacing w:after="0" w:line="240" w:lineRule="auto"/>
            </w:pPr>
            <w:r/>
            <w:r>
              <w:rPr>
                <w:b w:val="0"/>
                <w:sz w:val="15"/>
              </w:rPr>
              <w:t>No convergence</w:t>
            </w:r>
          </w:p>
        </w:tc>
      </w:tr>
      <w:tr>
        <w:tc>
          <w:tcPr>
            <w:tcW w:type="dxa" w:w="2108"/>
            <w:vAlign w:val="top"/>
          </w:tcPr>
          <w:p>
            <w:pPr>
              <w:spacing w:after="0" w:line="240" w:lineRule="auto"/>
            </w:pPr>
            <w:r/>
            <w:r>
              <w:rPr>
                <w:b w:val="0"/>
                <w:sz w:val="15"/>
              </w:rPr>
              <w:t>n-stage / generalized FCFF</w:t>
            </w:r>
          </w:p>
        </w:tc>
        <w:tc>
          <w:tcPr>
            <w:tcW w:type="dxa" w:w="2108"/>
            <w:vAlign w:val="top"/>
          </w:tcPr>
          <w:p>
            <w:pPr>
              <w:spacing w:after="0" w:line="240" w:lineRule="auto"/>
            </w:pPr>
            <w:r/>
            <w:r>
              <w:rPr>
                <w:b w:val="0"/>
                <w:sz w:val="15"/>
              </w:rPr>
              <w:t>Custom/current</w:t>
            </w:r>
          </w:p>
        </w:tc>
        <w:tc>
          <w:tcPr>
            <w:tcW w:type="dxa" w:w="2108"/>
            <w:vAlign w:val="top"/>
          </w:tcPr>
          <w:p>
            <w:pPr>
              <w:spacing w:after="0" w:line="240" w:lineRule="auto"/>
            </w:pPr>
            <w:r/>
            <w:r>
              <w:rPr>
                <w:b w:val="0"/>
                <w:sz w:val="15"/>
              </w:rPr>
              <w:t>Manual/industry</w:t>
            </w:r>
          </w:p>
        </w:tc>
        <w:tc>
          <w:tcPr>
            <w:tcW w:type="dxa" w:w="2108"/>
            <w:vAlign w:val="top"/>
          </w:tcPr>
          <w:p>
            <w:pPr>
              <w:spacing w:after="0" w:line="240" w:lineRule="auto"/>
            </w:pPr>
            <w:r/>
            <w:r>
              <w:rPr>
                <w:b w:val="0"/>
                <w:sz w:val="15"/>
              </w:rPr>
              <w:t>Custom</w:t>
            </w:r>
          </w:p>
        </w:tc>
        <w:tc>
          <w:tcPr>
            <w:tcW w:type="dxa" w:w="2108"/>
            <w:vAlign w:val="top"/>
          </w:tcPr>
          <w:p>
            <w:pPr>
              <w:spacing w:after="0" w:line="240" w:lineRule="auto"/>
            </w:pPr>
            <w:r/>
            <w:r>
              <w:rPr>
                <w:b w:val="0"/>
                <w:sz w:val="15"/>
              </w:rPr>
              <w:t>ROC unsupported</w:t>
            </w:r>
          </w:p>
        </w:tc>
      </w:tr>
      <w:tr>
        <w:tc>
          <w:tcPr>
            <w:tcW w:type="dxa" w:w="2108"/>
            <w:vAlign w:val="top"/>
          </w:tcPr>
          <w:p>
            <w:pPr>
              <w:spacing w:after="0" w:line="240" w:lineRule="auto"/>
            </w:pPr>
            <w:r/>
            <w:r>
              <w:rPr>
                <w:b w:val="0"/>
                <w:sz w:val="15"/>
              </w:rPr>
              <w:t>Turnaround FCFF</w:t>
            </w:r>
          </w:p>
        </w:tc>
        <w:tc>
          <w:tcPr>
            <w:tcW w:type="dxa" w:w="2108"/>
            <w:vAlign w:val="top"/>
          </w:tcPr>
          <w:p>
            <w:pPr>
              <w:spacing w:after="0" w:line="240" w:lineRule="auto"/>
            </w:pPr>
            <w:r/>
            <w:r>
              <w:rPr>
                <w:b w:val="0"/>
                <w:sz w:val="15"/>
              </w:rPr>
              <w:t>Not meaningful early</w:t>
            </w:r>
          </w:p>
        </w:tc>
        <w:tc>
          <w:tcPr>
            <w:tcW w:type="dxa" w:w="2108"/>
            <w:vAlign w:val="top"/>
          </w:tcPr>
          <w:p>
            <w:pPr>
              <w:spacing w:after="0" w:line="240" w:lineRule="auto"/>
            </w:pPr>
            <w:r/>
            <w:r>
              <w:rPr>
                <w:b w:val="0"/>
                <w:sz w:val="15"/>
              </w:rPr>
              <w:t>Target/stable ROC</w:t>
            </w:r>
          </w:p>
        </w:tc>
        <w:tc>
          <w:tcPr>
            <w:tcW w:type="dxa" w:w="2108"/>
            <w:vAlign w:val="top"/>
          </w:tcPr>
          <w:p>
            <w:pPr>
              <w:spacing w:after="0" w:line="240" w:lineRule="auto"/>
            </w:pPr>
            <w:r/>
            <w:r>
              <w:rPr>
                <w:b w:val="0"/>
                <w:sz w:val="15"/>
              </w:rPr>
              <w:t>Delayed fade</w:t>
            </w:r>
          </w:p>
        </w:tc>
        <w:tc>
          <w:tcPr>
            <w:tcW w:type="dxa" w:w="2108"/>
            <w:vAlign w:val="top"/>
          </w:tcPr>
          <w:p>
            <w:pPr>
              <w:spacing w:after="0" w:line="240" w:lineRule="auto"/>
            </w:pPr>
            <w:r/>
            <w:r>
              <w:rPr>
                <w:b w:val="0"/>
                <w:sz w:val="15"/>
              </w:rPr>
              <w:t>ROC used while EBIT negative</w:t>
            </w:r>
          </w:p>
        </w:tc>
      </w:tr>
    </w:tbl>
    <w:p/>
    <w:p>
      <w:pPr>
        <w:pStyle w:val="TableTitle"/>
      </w:pPr>
      <w:r>
        <w:rPr>
          <w:b/>
        </w:rPr>
        <w:t>Table - tblBetaWACCFadeRules</w:t>
      </w:r>
    </w:p>
    <w:tbl>
      <w:tblPr>
        <w:tblStyle w:val="TableGrid"/>
        <w:tblW w:type="auto" w:w="0"/>
        <w:jc w:val="center"/>
        <w:tblLayout w:type="autofit"/>
        <w:tblLook w:firstColumn="1" w:firstRow="1" w:lastColumn="0" w:lastRow="0" w:noHBand="0" w:noVBand="1" w:val="04A0"/>
      </w:tblPr>
      <w:tblGrid>
        <w:gridCol w:w="1506"/>
        <w:gridCol w:w="1506"/>
        <w:gridCol w:w="1506"/>
        <w:gridCol w:w="1506"/>
        <w:gridCol w:w="1506"/>
        <w:gridCol w:w="1506"/>
        <w:gridCol w:w="1506"/>
      </w:tblGrid>
      <w:tr>
        <w:tc>
          <w:tcPr>
            <w:tcW w:type="dxa" w:w="1506"/>
            <w:vAlign w:val="top"/>
            <w:shd w:fill="D9EAF7"/>
          </w:tcPr>
          <w:p>
            <w:pPr>
              <w:spacing w:after="0" w:line="240" w:lineRule="auto"/>
            </w:pPr>
            <w:r/>
            <w:r>
              <w:rPr>
                <w:b/>
                <w:sz w:val="16"/>
              </w:rPr>
              <w:t>Model Mode</w:t>
            </w:r>
          </w:p>
        </w:tc>
        <w:tc>
          <w:tcPr>
            <w:tcW w:type="dxa" w:w="1506"/>
            <w:vAlign w:val="top"/>
            <w:shd w:fill="D9EAF7"/>
          </w:tcPr>
          <w:p>
            <w:pPr>
              <w:spacing w:after="0" w:line="240" w:lineRule="auto"/>
            </w:pPr>
            <w:r/>
            <w:r>
              <w:rPr>
                <w:b/>
                <w:sz w:val="16"/>
              </w:rPr>
              <w:t>Current Beta Source</w:t>
            </w:r>
          </w:p>
        </w:tc>
        <w:tc>
          <w:tcPr>
            <w:tcW w:type="dxa" w:w="1506"/>
            <w:vAlign w:val="top"/>
            <w:shd w:fill="D9EAF7"/>
          </w:tcPr>
          <w:p>
            <w:pPr>
              <w:spacing w:after="0" w:line="240" w:lineRule="auto"/>
            </w:pPr>
            <w:r/>
            <w:r>
              <w:rPr>
                <w:b/>
                <w:sz w:val="16"/>
              </w:rPr>
              <w:t>Stable Beta Source</w:t>
            </w:r>
          </w:p>
        </w:tc>
        <w:tc>
          <w:tcPr>
            <w:tcW w:type="dxa" w:w="1506"/>
            <w:vAlign w:val="top"/>
            <w:shd w:fill="D9EAF7"/>
          </w:tcPr>
          <w:p>
            <w:pPr>
              <w:spacing w:after="0" w:line="240" w:lineRule="auto"/>
            </w:pPr>
            <w:r/>
            <w:r>
              <w:rPr>
                <w:b/>
                <w:sz w:val="16"/>
              </w:rPr>
              <w:t>Current WACC Source</w:t>
            </w:r>
          </w:p>
        </w:tc>
        <w:tc>
          <w:tcPr>
            <w:tcW w:type="dxa" w:w="1506"/>
            <w:vAlign w:val="top"/>
            <w:shd w:fill="D9EAF7"/>
          </w:tcPr>
          <w:p>
            <w:pPr>
              <w:spacing w:after="0" w:line="240" w:lineRule="auto"/>
            </w:pPr>
            <w:r/>
            <w:r>
              <w:rPr>
                <w:b/>
                <w:sz w:val="16"/>
              </w:rPr>
              <w:t>Stable WACC Source</w:t>
            </w:r>
          </w:p>
        </w:tc>
        <w:tc>
          <w:tcPr>
            <w:tcW w:type="dxa" w:w="1506"/>
            <w:vAlign w:val="top"/>
            <w:shd w:fill="D9EAF7"/>
          </w:tcPr>
          <w:p>
            <w:pPr>
              <w:spacing w:after="0" w:line="240" w:lineRule="auto"/>
            </w:pPr>
            <w:r/>
            <w:r>
              <w:rPr>
                <w:b/>
                <w:sz w:val="16"/>
              </w:rPr>
              <w:t>Fade Method</w:t>
            </w:r>
          </w:p>
        </w:tc>
        <w:tc>
          <w:tcPr>
            <w:tcW w:type="dxa" w:w="1506"/>
            <w:vAlign w:val="top"/>
            <w:shd w:fill="D9EAF7"/>
          </w:tcPr>
          <w:p>
            <w:pPr>
              <w:spacing w:after="0" w:line="240" w:lineRule="auto"/>
            </w:pPr>
            <w:r/>
            <w:r>
              <w:rPr>
                <w:b/>
                <w:sz w:val="16"/>
              </w:rPr>
              <w:t>Review Trigger</w:t>
            </w:r>
          </w:p>
        </w:tc>
      </w:tr>
      <w:tr>
        <w:tc>
          <w:tcPr>
            <w:tcW w:type="dxa" w:w="1506"/>
            <w:vAlign w:val="top"/>
          </w:tcPr>
          <w:p>
            <w:pPr>
              <w:spacing w:after="0" w:line="240" w:lineRule="auto"/>
            </w:pPr>
            <w:r/>
            <w:r>
              <w:rPr>
                <w:b w:val="0"/>
                <w:sz w:val="15"/>
              </w:rPr>
              <w:t>Stable FCFF</w:t>
            </w:r>
          </w:p>
        </w:tc>
        <w:tc>
          <w:tcPr>
            <w:tcW w:type="dxa" w:w="1506"/>
            <w:vAlign w:val="top"/>
          </w:tcPr>
          <w:p>
            <w:pPr>
              <w:spacing w:after="0" w:line="240" w:lineRule="auto"/>
            </w:pPr>
            <w:r/>
            <w:r>
              <w:rPr>
                <w:b w:val="0"/>
                <w:sz w:val="15"/>
              </w:rPr>
              <w:t>Selected Current Beta</w:t>
            </w:r>
          </w:p>
        </w:tc>
        <w:tc>
          <w:tcPr>
            <w:tcW w:type="dxa" w:w="1506"/>
            <w:vAlign w:val="top"/>
          </w:tcPr>
          <w:p>
            <w:pPr>
              <w:spacing w:after="0" w:line="240" w:lineRule="auto"/>
            </w:pPr>
            <w:r/>
            <w:r>
              <w:rPr>
                <w:b w:val="0"/>
                <w:sz w:val="15"/>
              </w:rPr>
              <w:t>Selected Stable Beta</w:t>
            </w:r>
          </w:p>
        </w:tc>
        <w:tc>
          <w:tcPr>
            <w:tcW w:type="dxa" w:w="1506"/>
            <w:vAlign w:val="top"/>
          </w:tcPr>
          <w:p>
            <w:pPr>
              <w:spacing w:after="0" w:line="240" w:lineRule="auto"/>
            </w:pPr>
            <w:r/>
            <w:r>
              <w:rPr>
                <w:b w:val="0"/>
                <w:sz w:val="15"/>
              </w:rPr>
              <w:t>Current/stable WACC</w:t>
            </w:r>
          </w:p>
        </w:tc>
        <w:tc>
          <w:tcPr>
            <w:tcW w:type="dxa" w:w="1506"/>
            <w:vAlign w:val="top"/>
          </w:tcPr>
          <w:p>
            <w:pPr>
              <w:spacing w:after="0" w:line="240" w:lineRule="auto"/>
            </w:pPr>
            <w:r/>
            <w:r>
              <w:rPr>
                <w:b w:val="0"/>
                <w:sz w:val="15"/>
              </w:rPr>
              <w:t>Stable WACC</w:t>
            </w:r>
          </w:p>
        </w:tc>
        <w:tc>
          <w:tcPr>
            <w:tcW w:type="dxa" w:w="1506"/>
            <w:vAlign w:val="top"/>
          </w:tcPr>
          <w:p>
            <w:pPr>
              <w:spacing w:after="0" w:line="240" w:lineRule="auto"/>
            </w:pPr>
            <w:r/>
            <w:r>
              <w:rPr>
                <w:b w:val="0"/>
                <w:sz w:val="15"/>
              </w:rPr>
              <w:t>Short fade</w:t>
            </w:r>
          </w:p>
        </w:tc>
        <w:tc>
          <w:tcPr>
            <w:tcW w:type="dxa" w:w="1506"/>
            <w:vAlign w:val="top"/>
          </w:tcPr>
          <w:p>
            <w:pPr>
              <w:spacing w:after="0" w:line="240" w:lineRule="auto"/>
            </w:pPr>
            <w:r/>
            <w:r>
              <w:rPr>
                <w:b w:val="0"/>
                <w:sz w:val="15"/>
              </w:rPr>
              <w:t>Beta gap</w:t>
            </w:r>
          </w:p>
        </w:tc>
      </w:tr>
      <w:tr>
        <w:tc>
          <w:tcPr>
            <w:tcW w:type="dxa" w:w="1506"/>
            <w:vAlign w:val="top"/>
          </w:tcPr>
          <w:p>
            <w:pPr>
              <w:spacing w:after="0" w:line="240" w:lineRule="auto"/>
            </w:pPr>
            <w:r/>
            <w:r>
              <w:rPr>
                <w:b w:val="0"/>
                <w:sz w:val="15"/>
              </w:rPr>
              <w:t>2-stage FCFF</w:t>
            </w:r>
          </w:p>
        </w:tc>
        <w:tc>
          <w:tcPr>
            <w:tcW w:type="dxa" w:w="1506"/>
            <w:vAlign w:val="top"/>
          </w:tcPr>
          <w:p>
            <w:pPr>
              <w:spacing w:after="0" w:line="240" w:lineRule="auto"/>
            </w:pPr>
            <w:r/>
            <w:r>
              <w:rPr>
                <w:b w:val="0"/>
                <w:sz w:val="15"/>
              </w:rPr>
              <w:t>Regression/selected beta</w:t>
            </w:r>
          </w:p>
        </w:tc>
        <w:tc>
          <w:tcPr>
            <w:tcW w:type="dxa" w:w="1506"/>
            <w:vAlign w:val="top"/>
          </w:tcPr>
          <w:p>
            <w:pPr>
              <w:spacing w:after="0" w:line="240" w:lineRule="auto"/>
            </w:pPr>
            <w:r/>
            <w:r>
              <w:rPr>
                <w:b w:val="0"/>
                <w:sz w:val="15"/>
              </w:rPr>
              <w:t>Bottom-up beta</w:t>
            </w:r>
          </w:p>
        </w:tc>
        <w:tc>
          <w:tcPr>
            <w:tcW w:type="dxa" w:w="1506"/>
            <w:vAlign w:val="top"/>
          </w:tcPr>
          <w:p>
            <w:pPr>
              <w:spacing w:after="0" w:line="240" w:lineRule="auto"/>
            </w:pPr>
            <w:r/>
            <w:r>
              <w:rPr>
                <w:b w:val="0"/>
                <w:sz w:val="15"/>
              </w:rPr>
              <w:t>Current WACC</w:t>
            </w:r>
          </w:p>
        </w:tc>
        <w:tc>
          <w:tcPr>
            <w:tcW w:type="dxa" w:w="1506"/>
            <w:vAlign w:val="top"/>
          </w:tcPr>
          <w:p>
            <w:pPr>
              <w:spacing w:after="0" w:line="240" w:lineRule="auto"/>
            </w:pPr>
            <w:r/>
            <w:r>
              <w:rPr>
                <w:b w:val="0"/>
                <w:sz w:val="15"/>
              </w:rPr>
              <w:t>Stable WACC</w:t>
            </w:r>
          </w:p>
        </w:tc>
        <w:tc>
          <w:tcPr>
            <w:tcW w:type="dxa" w:w="1506"/>
            <w:vAlign w:val="top"/>
          </w:tcPr>
          <w:p>
            <w:pPr>
              <w:spacing w:after="0" w:line="240" w:lineRule="auto"/>
            </w:pPr>
            <w:r/>
            <w:r>
              <w:rPr>
                <w:b w:val="0"/>
                <w:sz w:val="15"/>
              </w:rPr>
              <w:t>Gradual</w:t>
            </w:r>
          </w:p>
        </w:tc>
        <w:tc>
          <w:tcPr>
            <w:tcW w:type="dxa" w:w="1506"/>
            <w:vAlign w:val="top"/>
          </w:tcPr>
          <w:p>
            <w:pPr>
              <w:spacing w:after="0" w:line="240" w:lineRule="auto"/>
            </w:pPr>
            <w:r/>
            <w:r>
              <w:rPr>
                <w:b w:val="0"/>
                <w:sz w:val="15"/>
              </w:rPr>
              <w:t>WACC drops too fast</w:t>
            </w:r>
          </w:p>
        </w:tc>
      </w:tr>
      <w:tr>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Current beta</w:t>
            </w:r>
          </w:p>
        </w:tc>
        <w:tc>
          <w:tcPr>
            <w:tcW w:type="dxa" w:w="1506"/>
            <w:vAlign w:val="top"/>
          </w:tcPr>
          <w:p>
            <w:pPr>
              <w:spacing w:after="0" w:line="240" w:lineRule="auto"/>
            </w:pPr>
            <w:r/>
            <w:r>
              <w:rPr>
                <w:b w:val="0"/>
                <w:sz w:val="15"/>
              </w:rPr>
              <w:t>Damodaran bottom-up beta</w:t>
            </w:r>
          </w:p>
        </w:tc>
        <w:tc>
          <w:tcPr>
            <w:tcW w:type="dxa" w:w="1506"/>
            <w:vAlign w:val="top"/>
          </w:tcPr>
          <w:p>
            <w:pPr>
              <w:spacing w:after="0" w:line="240" w:lineRule="auto"/>
            </w:pPr>
            <w:r/>
            <w:r>
              <w:rPr>
                <w:b w:val="0"/>
                <w:sz w:val="15"/>
              </w:rPr>
              <w:t>Current WACC</w:t>
            </w:r>
          </w:p>
        </w:tc>
        <w:tc>
          <w:tcPr>
            <w:tcW w:type="dxa" w:w="1506"/>
            <w:vAlign w:val="top"/>
          </w:tcPr>
          <w:p>
            <w:pPr>
              <w:spacing w:after="0" w:line="240" w:lineRule="auto"/>
            </w:pPr>
            <w:r/>
            <w:r>
              <w:rPr>
                <w:b w:val="0"/>
                <w:sz w:val="15"/>
              </w:rPr>
              <w:t>Stable WACC</w:t>
            </w:r>
          </w:p>
        </w:tc>
        <w:tc>
          <w:tcPr>
            <w:tcW w:type="dxa" w:w="1506"/>
            <w:vAlign w:val="top"/>
          </w:tcPr>
          <w:p>
            <w:pPr>
              <w:spacing w:after="0" w:line="240" w:lineRule="auto"/>
            </w:pPr>
            <w:r/>
            <w:r>
              <w:rPr>
                <w:b w:val="0"/>
                <w:sz w:val="15"/>
              </w:rPr>
              <w:t>Linear fade</w:t>
            </w:r>
          </w:p>
        </w:tc>
        <w:tc>
          <w:tcPr>
            <w:tcW w:type="dxa" w:w="1506"/>
            <w:vAlign w:val="top"/>
          </w:tcPr>
          <w:p>
            <w:pPr>
              <w:spacing w:after="0" w:line="240" w:lineRule="auto"/>
            </w:pPr>
            <w:r/>
            <w:r>
              <w:rPr>
                <w:b w:val="0"/>
                <w:sz w:val="15"/>
              </w:rPr>
              <w:t>Beta gap large</w:t>
            </w:r>
          </w:p>
        </w:tc>
      </w:tr>
      <w:tr>
        <w:tc>
          <w:tcPr>
            <w:tcW w:type="dxa" w:w="1506"/>
            <w:vAlign w:val="top"/>
          </w:tcPr>
          <w:p>
            <w:pPr>
              <w:spacing w:after="0" w:line="240" w:lineRule="auto"/>
            </w:pPr>
            <w:r/>
            <w:r>
              <w:rPr>
                <w:b w:val="0"/>
                <w:sz w:val="15"/>
              </w:rPr>
              <w:t>n-stage / generalized FCFF</w:t>
            </w:r>
          </w:p>
        </w:tc>
        <w:tc>
          <w:tcPr>
            <w:tcW w:type="dxa" w:w="1506"/>
            <w:vAlign w:val="top"/>
          </w:tcPr>
          <w:p>
            <w:pPr>
              <w:spacing w:after="0" w:line="240" w:lineRule="auto"/>
            </w:pPr>
            <w:r/>
            <w:r>
              <w:rPr>
                <w:b w:val="0"/>
                <w:sz w:val="15"/>
              </w:rPr>
              <w:t>Current/manual</w:t>
            </w:r>
          </w:p>
        </w:tc>
        <w:tc>
          <w:tcPr>
            <w:tcW w:type="dxa" w:w="1506"/>
            <w:vAlign w:val="top"/>
          </w:tcPr>
          <w:p>
            <w:pPr>
              <w:spacing w:after="0" w:line="240" w:lineRule="auto"/>
            </w:pPr>
            <w:r/>
            <w:r>
              <w:rPr>
                <w:b w:val="0"/>
                <w:sz w:val="15"/>
              </w:rPr>
              <w:t>Industry/manual</w:t>
            </w:r>
          </w:p>
        </w:tc>
        <w:tc>
          <w:tcPr>
            <w:tcW w:type="dxa" w:w="1506"/>
            <w:vAlign w:val="top"/>
          </w:tcPr>
          <w:p>
            <w:pPr>
              <w:spacing w:after="0" w:line="240" w:lineRule="auto"/>
            </w:pPr>
            <w:r/>
            <w:r>
              <w:rPr>
                <w:b w:val="0"/>
                <w:sz w:val="15"/>
              </w:rPr>
              <w:t>Current WACC</w:t>
            </w:r>
          </w:p>
        </w:tc>
        <w:tc>
          <w:tcPr>
            <w:tcW w:type="dxa" w:w="1506"/>
            <w:vAlign w:val="top"/>
          </w:tcPr>
          <w:p>
            <w:pPr>
              <w:spacing w:after="0" w:line="240" w:lineRule="auto"/>
            </w:pPr>
            <w:r/>
            <w:r>
              <w:rPr>
                <w:b w:val="0"/>
                <w:sz w:val="15"/>
              </w:rPr>
              <w:t>Stable WACC</w:t>
            </w:r>
          </w:p>
        </w:tc>
        <w:tc>
          <w:tcPr>
            <w:tcW w:type="dxa" w:w="1506"/>
            <w:vAlign w:val="top"/>
          </w:tcPr>
          <w:p>
            <w:pPr>
              <w:spacing w:after="0" w:line="240" w:lineRule="auto"/>
            </w:pPr>
            <w:r/>
            <w:r>
              <w:rPr>
                <w:b w:val="0"/>
                <w:sz w:val="15"/>
              </w:rPr>
              <w:t>Custom</w:t>
            </w:r>
          </w:p>
        </w:tc>
        <w:tc>
          <w:tcPr>
            <w:tcW w:type="dxa" w:w="1506"/>
            <w:vAlign w:val="top"/>
          </w:tcPr>
          <w:p>
            <w:pPr>
              <w:spacing w:after="0" w:line="240" w:lineRule="auto"/>
            </w:pPr>
            <w:r/>
            <w:r>
              <w:rPr>
                <w:b w:val="0"/>
                <w:sz w:val="15"/>
              </w:rPr>
              <w:t>Unsupported risk fade</w:t>
            </w:r>
          </w:p>
        </w:tc>
      </w:tr>
      <w:tr>
        <w:tc>
          <w:tcPr>
            <w:tcW w:type="dxa" w:w="1506"/>
            <w:vAlign w:val="top"/>
          </w:tcPr>
          <w:p>
            <w:pPr>
              <w:spacing w:after="0" w:line="240" w:lineRule="auto"/>
            </w:pPr>
            <w:r/>
            <w:r>
              <w:rPr>
                <w:b w:val="0"/>
                <w:sz w:val="15"/>
              </w:rPr>
              <w:t>Turnaround FCFF</w:t>
            </w:r>
          </w:p>
        </w:tc>
        <w:tc>
          <w:tcPr>
            <w:tcW w:type="dxa" w:w="1506"/>
            <w:vAlign w:val="top"/>
          </w:tcPr>
          <w:p>
            <w:pPr>
              <w:spacing w:after="0" w:line="240" w:lineRule="auto"/>
            </w:pPr>
            <w:r/>
            <w:r>
              <w:rPr>
                <w:b w:val="0"/>
                <w:sz w:val="15"/>
              </w:rPr>
              <w:t>Current/manual</w:t>
            </w:r>
          </w:p>
        </w:tc>
        <w:tc>
          <w:tcPr>
            <w:tcW w:type="dxa" w:w="1506"/>
            <w:vAlign w:val="top"/>
          </w:tcPr>
          <w:p>
            <w:pPr>
              <w:spacing w:after="0" w:line="240" w:lineRule="auto"/>
            </w:pPr>
            <w:r/>
            <w:r>
              <w:rPr>
                <w:b w:val="0"/>
                <w:sz w:val="15"/>
              </w:rPr>
              <w:t>Industry/manual</w:t>
            </w:r>
          </w:p>
        </w:tc>
        <w:tc>
          <w:tcPr>
            <w:tcW w:type="dxa" w:w="1506"/>
            <w:vAlign w:val="top"/>
          </w:tcPr>
          <w:p>
            <w:pPr>
              <w:spacing w:after="0" w:line="240" w:lineRule="auto"/>
            </w:pPr>
            <w:r/>
            <w:r>
              <w:rPr>
                <w:b w:val="0"/>
                <w:sz w:val="15"/>
              </w:rPr>
              <w:t>Elevated current WACC</w:t>
            </w:r>
          </w:p>
        </w:tc>
        <w:tc>
          <w:tcPr>
            <w:tcW w:type="dxa" w:w="1506"/>
            <w:vAlign w:val="top"/>
          </w:tcPr>
          <w:p>
            <w:pPr>
              <w:spacing w:after="0" w:line="240" w:lineRule="auto"/>
            </w:pPr>
            <w:r/>
            <w:r>
              <w:rPr>
                <w:b w:val="0"/>
                <w:sz w:val="15"/>
              </w:rPr>
              <w:t>Stable WACC</w:t>
            </w:r>
          </w:p>
        </w:tc>
        <w:tc>
          <w:tcPr>
            <w:tcW w:type="dxa" w:w="1506"/>
            <w:vAlign w:val="top"/>
          </w:tcPr>
          <w:p>
            <w:pPr>
              <w:spacing w:after="0" w:line="240" w:lineRule="auto"/>
            </w:pPr>
            <w:r/>
            <w:r>
              <w:rPr>
                <w:b w:val="0"/>
                <w:sz w:val="15"/>
              </w:rPr>
              <w:t>Gradual</w:t>
            </w:r>
          </w:p>
        </w:tc>
        <w:tc>
          <w:tcPr>
            <w:tcW w:type="dxa" w:w="1506"/>
            <w:vAlign w:val="top"/>
          </w:tcPr>
          <w:p>
            <w:pPr>
              <w:spacing w:after="0" w:line="240" w:lineRule="auto"/>
            </w:pPr>
            <w:r/>
            <w:r>
              <w:rPr>
                <w:b w:val="0"/>
                <w:sz w:val="15"/>
              </w:rPr>
              <w:t>Risk normalizes too fast</w:t>
            </w:r>
          </w:p>
        </w:tc>
      </w:tr>
    </w:tbl>
    <w:p/>
    <w:p>
      <w:pPr>
        <w:pStyle w:val="TableTitle"/>
      </w:pPr>
      <w:r>
        <w:rPr>
          <w:b/>
        </w:rPr>
        <w:t>Table - tblTerminalReadinessRules</w:t>
      </w:r>
    </w:p>
    <w:tbl>
      <w:tblPr>
        <w:tblStyle w:val="TableGrid"/>
        <w:tblW w:type="auto" w:w="0"/>
        <w:jc w:val="center"/>
        <w:tblLayout w:type="autofit"/>
        <w:tblLook w:firstColumn="1" w:firstRow="1" w:lastColumn="0" w:lastRow="0" w:noHBand="0" w:noVBand="1" w:val="04A0"/>
      </w:tblPr>
      <w:tblGrid>
        <w:gridCol w:w="1757"/>
        <w:gridCol w:w="1757"/>
        <w:gridCol w:w="1757"/>
        <w:gridCol w:w="1757"/>
        <w:gridCol w:w="1757"/>
        <w:gridCol w:w="1757"/>
      </w:tblGrid>
      <w:tr>
        <w:tc>
          <w:tcPr>
            <w:tcW w:type="dxa" w:w="1757"/>
            <w:vAlign w:val="top"/>
            <w:shd w:fill="D9EAF7"/>
          </w:tcPr>
          <w:p>
            <w:pPr>
              <w:spacing w:after="0" w:line="240" w:lineRule="auto"/>
            </w:pPr>
            <w:r/>
            <w:r>
              <w:rPr>
                <w:b/>
                <w:sz w:val="16"/>
              </w:rPr>
              <w:t>Check ID</w:t>
            </w:r>
          </w:p>
        </w:tc>
        <w:tc>
          <w:tcPr>
            <w:tcW w:type="dxa" w:w="1757"/>
            <w:vAlign w:val="top"/>
            <w:shd w:fill="D9EAF7"/>
          </w:tcPr>
          <w:p>
            <w:pPr>
              <w:spacing w:after="0" w:line="240" w:lineRule="auto"/>
            </w:pPr>
            <w:r/>
            <w:r>
              <w:rPr>
                <w:b/>
                <w:sz w:val="16"/>
              </w:rPr>
              <w:t>Condition</w:t>
            </w:r>
          </w:p>
        </w:tc>
        <w:tc>
          <w:tcPr>
            <w:tcW w:type="dxa" w:w="1757"/>
            <w:vAlign w:val="top"/>
            <w:shd w:fill="D9EAF7"/>
          </w:tcPr>
          <w:p>
            <w:pPr>
              <w:spacing w:after="0" w:line="240" w:lineRule="auto"/>
            </w:pPr>
            <w:r/>
            <w:r>
              <w:rPr>
                <w:b/>
                <w:sz w:val="16"/>
              </w:rPr>
              <w:t>Required?</w:t>
            </w:r>
          </w:p>
        </w:tc>
        <w:tc>
          <w:tcPr>
            <w:tcW w:type="dxa" w:w="1757"/>
            <w:vAlign w:val="top"/>
            <w:shd w:fill="D9EAF7"/>
          </w:tcPr>
          <w:p>
            <w:pPr>
              <w:spacing w:after="0" w:line="240" w:lineRule="auto"/>
            </w:pPr>
            <w:r/>
            <w:r>
              <w:rPr>
                <w:b/>
                <w:sz w:val="16"/>
              </w:rPr>
              <w:t>Severity</w:t>
            </w:r>
          </w:p>
        </w:tc>
        <w:tc>
          <w:tcPr>
            <w:tcW w:type="dxa" w:w="1757"/>
            <w:vAlign w:val="top"/>
            <w:shd w:fill="D9EAF7"/>
          </w:tcPr>
          <w:p>
            <w:pPr>
              <w:spacing w:after="0" w:line="240" w:lineRule="auto"/>
            </w:pPr>
            <w:r/>
            <w:r>
              <w:rPr>
                <w:b/>
                <w:sz w:val="16"/>
              </w:rPr>
              <w:t>If Failed</w:t>
            </w:r>
          </w:p>
        </w:tc>
        <w:tc>
          <w:tcPr>
            <w:tcW w:type="dxa" w:w="1757"/>
            <w:vAlign w:val="top"/>
            <w:shd w:fill="D9EAF7"/>
          </w:tcPr>
          <w:p>
            <w:pPr>
              <w:spacing w:after="0" w:line="240" w:lineRule="auto"/>
            </w:pPr>
            <w:r/>
            <w:r>
              <w:rPr>
                <w:b/>
                <w:sz w:val="16"/>
              </w:rPr>
              <w:t>Notes</w:t>
            </w:r>
          </w:p>
        </w:tc>
      </w:tr>
      <w:tr>
        <w:tc>
          <w:tcPr>
            <w:tcW w:type="dxa" w:w="1757"/>
            <w:vAlign w:val="top"/>
          </w:tcPr>
          <w:p>
            <w:pPr>
              <w:spacing w:after="0" w:line="240" w:lineRule="auto"/>
            </w:pPr>
            <w:r/>
            <w:r>
              <w:rPr>
                <w:b w:val="0"/>
                <w:sz w:val="15"/>
              </w:rPr>
              <w:t>TV-READY-001</w:t>
            </w:r>
          </w:p>
        </w:tc>
        <w:tc>
          <w:tcPr>
            <w:tcW w:type="dxa" w:w="1757"/>
            <w:vAlign w:val="top"/>
          </w:tcPr>
          <w:p>
            <w:pPr>
              <w:spacing w:after="0" w:line="240" w:lineRule="auto"/>
            </w:pPr>
            <w:r/>
            <w:r>
              <w:rPr>
                <w:b w:val="0"/>
                <w:sz w:val="15"/>
              </w:rPr>
              <w:t>Stable growth &lt; stable WACC</w:t>
            </w:r>
          </w:p>
        </w:tc>
        <w:tc>
          <w:tcPr>
            <w:tcW w:type="dxa" w:w="1757"/>
            <w:vAlign w:val="top"/>
          </w:tcPr>
          <w:p>
            <w:pPr>
              <w:spacing w:after="0" w:line="240" w:lineRule="auto"/>
            </w:pPr>
            <w:r/>
            <w:r>
              <w:rPr>
                <w:b w:val="0"/>
                <w:sz w:val="15"/>
              </w:rPr>
              <w:t>YES</w:t>
            </w:r>
          </w:p>
        </w:tc>
        <w:tc>
          <w:tcPr>
            <w:tcW w:type="dxa" w:w="1757"/>
            <w:vAlign w:val="top"/>
          </w:tcPr>
          <w:p>
            <w:pPr>
              <w:spacing w:after="0" w:line="240" w:lineRule="auto"/>
            </w:pPr>
            <w:r/>
            <w:r>
              <w:rPr>
                <w:b w:val="0"/>
                <w:sz w:val="15"/>
              </w:rPr>
              <w:t>High</w:t>
            </w:r>
          </w:p>
        </w:tc>
        <w:tc>
          <w:tcPr>
            <w:tcW w:type="dxa" w:w="1757"/>
            <w:vAlign w:val="top"/>
          </w:tcPr>
          <w:p>
            <w:pPr>
              <w:spacing w:after="0" w:line="240" w:lineRule="auto"/>
            </w:pPr>
            <w:r/>
            <w:r>
              <w:rPr>
                <w:b w:val="0"/>
                <w:sz w:val="15"/>
              </w:rPr>
              <w:t>Terminal Review Required</w:t>
            </w:r>
          </w:p>
        </w:tc>
        <w:tc>
          <w:tcPr>
            <w:tcW w:type="dxa" w:w="1757"/>
            <w:vAlign w:val="top"/>
          </w:tcPr>
          <w:p>
            <w:pPr>
              <w:spacing w:after="0" w:line="240" w:lineRule="auto"/>
            </w:pPr>
            <w:r/>
            <w:r>
              <w:rPr>
                <w:b w:val="0"/>
                <w:sz w:val="15"/>
              </w:rPr>
              <w:t>Gordon formula unsafe if not.</w:t>
            </w:r>
          </w:p>
        </w:tc>
      </w:tr>
      <w:tr>
        <w:tc>
          <w:tcPr>
            <w:tcW w:type="dxa" w:w="1757"/>
            <w:vAlign w:val="top"/>
          </w:tcPr>
          <w:p>
            <w:pPr>
              <w:spacing w:after="0" w:line="240" w:lineRule="auto"/>
            </w:pPr>
            <w:r/>
            <w:r>
              <w:rPr>
                <w:b w:val="0"/>
                <w:sz w:val="15"/>
              </w:rPr>
              <w:t>TV-READY-002</w:t>
            </w:r>
          </w:p>
        </w:tc>
        <w:tc>
          <w:tcPr>
            <w:tcW w:type="dxa" w:w="1757"/>
            <w:vAlign w:val="top"/>
          </w:tcPr>
          <w:p>
            <w:pPr>
              <w:spacing w:after="0" w:line="240" w:lineRule="auto"/>
            </w:pPr>
            <w:r/>
            <w:r>
              <w:rPr>
                <w:b w:val="0"/>
                <w:sz w:val="15"/>
              </w:rPr>
              <w:t>Revenue growth near stable growth</w:t>
            </w:r>
          </w:p>
        </w:tc>
        <w:tc>
          <w:tcPr>
            <w:tcW w:type="dxa" w:w="1757"/>
            <w:vAlign w:val="top"/>
          </w:tcPr>
          <w:p>
            <w:pPr>
              <w:spacing w:after="0" w:line="240" w:lineRule="auto"/>
            </w:pPr>
            <w:r/>
            <w:r>
              <w:rPr>
                <w:b w:val="0"/>
                <w:sz w:val="15"/>
              </w:rPr>
              <w:t>YES</w:t>
            </w:r>
          </w:p>
        </w:tc>
        <w:tc>
          <w:tcPr>
            <w:tcW w:type="dxa" w:w="1757"/>
            <w:vAlign w:val="top"/>
          </w:tcPr>
          <w:p>
            <w:pPr>
              <w:spacing w:after="0" w:line="240" w:lineRule="auto"/>
            </w:pPr>
            <w:r/>
            <w:r>
              <w:rPr>
                <w:b w:val="0"/>
                <w:sz w:val="15"/>
              </w:rPr>
              <w:t>Medium</w:t>
            </w:r>
          </w:p>
        </w:tc>
        <w:tc>
          <w:tcPr>
            <w:tcW w:type="dxa" w:w="1757"/>
            <w:vAlign w:val="top"/>
          </w:tcPr>
          <w:p>
            <w:pPr>
              <w:spacing w:after="0" w:line="240" w:lineRule="auto"/>
            </w:pPr>
            <w:r/>
            <w:r>
              <w:rPr>
                <w:b w:val="0"/>
                <w:sz w:val="15"/>
              </w:rPr>
              <w:t>Fade Review</w:t>
            </w:r>
          </w:p>
        </w:tc>
        <w:tc>
          <w:tcPr>
            <w:tcW w:type="dxa" w:w="1757"/>
            <w:vAlign w:val="top"/>
          </w:tcPr>
          <w:p>
            <w:pPr>
              <w:spacing w:after="0" w:line="240" w:lineRule="auto"/>
            </w:pPr>
            <w:r/>
            <w:r>
              <w:rPr>
                <w:b w:val="0"/>
                <w:sz w:val="15"/>
              </w:rPr>
              <w:t>Growth not normalized.</w:t>
            </w:r>
          </w:p>
        </w:tc>
      </w:tr>
      <w:tr>
        <w:tc>
          <w:tcPr>
            <w:tcW w:type="dxa" w:w="1757"/>
            <w:vAlign w:val="top"/>
          </w:tcPr>
          <w:p>
            <w:pPr>
              <w:spacing w:after="0" w:line="240" w:lineRule="auto"/>
            </w:pPr>
            <w:r/>
            <w:r>
              <w:rPr>
                <w:b w:val="0"/>
                <w:sz w:val="15"/>
              </w:rPr>
              <w:t>TV-READY-003</w:t>
            </w:r>
          </w:p>
        </w:tc>
        <w:tc>
          <w:tcPr>
            <w:tcW w:type="dxa" w:w="1757"/>
            <w:vAlign w:val="top"/>
          </w:tcPr>
          <w:p>
            <w:pPr>
              <w:spacing w:after="0" w:line="240" w:lineRule="auto"/>
            </w:pPr>
            <w:r/>
            <w:r>
              <w:rPr>
                <w:b w:val="0"/>
                <w:sz w:val="15"/>
              </w:rPr>
              <w:t>EBIT margin near stable margin</w:t>
            </w:r>
          </w:p>
        </w:tc>
        <w:tc>
          <w:tcPr>
            <w:tcW w:type="dxa" w:w="1757"/>
            <w:vAlign w:val="top"/>
          </w:tcPr>
          <w:p>
            <w:pPr>
              <w:spacing w:after="0" w:line="240" w:lineRule="auto"/>
            </w:pPr>
            <w:r/>
            <w:r>
              <w:rPr>
                <w:b w:val="0"/>
                <w:sz w:val="15"/>
              </w:rPr>
              <w:t>YES</w:t>
            </w:r>
          </w:p>
        </w:tc>
        <w:tc>
          <w:tcPr>
            <w:tcW w:type="dxa" w:w="1757"/>
            <w:vAlign w:val="top"/>
          </w:tcPr>
          <w:p>
            <w:pPr>
              <w:spacing w:after="0" w:line="240" w:lineRule="auto"/>
            </w:pPr>
            <w:r/>
            <w:r>
              <w:rPr>
                <w:b w:val="0"/>
                <w:sz w:val="15"/>
              </w:rPr>
              <w:t>Medium</w:t>
            </w:r>
          </w:p>
        </w:tc>
        <w:tc>
          <w:tcPr>
            <w:tcW w:type="dxa" w:w="1757"/>
            <w:vAlign w:val="top"/>
          </w:tcPr>
          <w:p>
            <w:pPr>
              <w:spacing w:after="0" w:line="240" w:lineRule="auto"/>
            </w:pPr>
            <w:r/>
            <w:r>
              <w:rPr>
                <w:b w:val="0"/>
                <w:sz w:val="15"/>
              </w:rPr>
              <w:t>Fade Review</w:t>
            </w:r>
          </w:p>
        </w:tc>
        <w:tc>
          <w:tcPr>
            <w:tcW w:type="dxa" w:w="1757"/>
            <w:vAlign w:val="top"/>
          </w:tcPr>
          <w:p>
            <w:pPr>
              <w:spacing w:after="0" w:line="240" w:lineRule="auto"/>
            </w:pPr>
            <w:r/>
            <w:r>
              <w:rPr>
                <w:b w:val="0"/>
                <w:sz w:val="15"/>
              </w:rPr>
              <w:t>Margin not stable.</w:t>
            </w:r>
          </w:p>
        </w:tc>
      </w:tr>
      <w:tr>
        <w:tc>
          <w:tcPr>
            <w:tcW w:type="dxa" w:w="1757"/>
            <w:vAlign w:val="top"/>
          </w:tcPr>
          <w:p>
            <w:pPr>
              <w:spacing w:after="0" w:line="240" w:lineRule="auto"/>
            </w:pPr>
            <w:r/>
            <w:r>
              <w:rPr>
                <w:b w:val="0"/>
                <w:sz w:val="15"/>
              </w:rPr>
              <w:t>TV-READY-004</w:t>
            </w:r>
          </w:p>
        </w:tc>
        <w:tc>
          <w:tcPr>
            <w:tcW w:type="dxa" w:w="1757"/>
            <w:vAlign w:val="top"/>
          </w:tcPr>
          <w:p>
            <w:pPr>
              <w:spacing w:after="0" w:line="240" w:lineRule="auto"/>
            </w:pPr>
            <w:r/>
            <w:r>
              <w:rPr>
                <w:b w:val="0"/>
                <w:sz w:val="15"/>
              </w:rPr>
              <w:t>Stable reinvestment = g / ROC logic</w:t>
            </w:r>
          </w:p>
        </w:tc>
        <w:tc>
          <w:tcPr>
            <w:tcW w:type="dxa" w:w="1757"/>
            <w:vAlign w:val="top"/>
          </w:tcPr>
          <w:p>
            <w:pPr>
              <w:spacing w:after="0" w:line="240" w:lineRule="auto"/>
            </w:pPr>
            <w:r/>
            <w:r>
              <w:rPr>
                <w:b w:val="0"/>
                <w:sz w:val="15"/>
              </w:rPr>
              <w:t>YES</w:t>
            </w:r>
          </w:p>
        </w:tc>
        <w:tc>
          <w:tcPr>
            <w:tcW w:type="dxa" w:w="1757"/>
            <w:vAlign w:val="top"/>
          </w:tcPr>
          <w:p>
            <w:pPr>
              <w:spacing w:after="0" w:line="240" w:lineRule="auto"/>
            </w:pPr>
            <w:r/>
            <w:r>
              <w:rPr>
                <w:b w:val="0"/>
                <w:sz w:val="15"/>
              </w:rPr>
              <w:t>High</w:t>
            </w:r>
          </w:p>
        </w:tc>
        <w:tc>
          <w:tcPr>
            <w:tcW w:type="dxa" w:w="1757"/>
            <w:vAlign w:val="top"/>
          </w:tcPr>
          <w:p>
            <w:pPr>
              <w:spacing w:after="0" w:line="240" w:lineRule="auto"/>
            </w:pPr>
            <w:r/>
            <w:r>
              <w:rPr>
                <w:b w:val="0"/>
                <w:sz w:val="15"/>
              </w:rPr>
              <w:t>Reinvestment Review</w:t>
            </w:r>
          </w:p>
        </w:tc>
        <w:tc>
          <w:tcPr>
            <w:tcW w:type="dxa" w:w="1757"/>
            <w:vAlign w:val="top"/>
          </w:tcPr>
          <w:p>
            <w:pPr>
              <w:spacing w:after="0" w:line="240" w:lineRule="auto"/>
            </w:pPr>
            <w:r/>
            <w:r>
              <w:rPr>
                <w:b w:val="0"/>
                <w:sz w:val="15"/>
              </w:rPr>
              <w:t>Terminal FCFF may be overstated.</w:t>
            </w:r>
          </w:p>
        </w:tc>
      </w:tr>
      <w:tr>
        <w:tc>
          <w:tcPr>
            <w:tcW w:type="dxa" w:w="1757"/>
            <w:vAlign w:val="top"/>
          </w:tcPr>
          <w:p>
            <w:pPr>
              <w:spacing w:after="0" w:line="240" w:lineRule="auto"/>
            </w:pPr>
            <w:r/>
            <w:r>
              <w:rPr>
                <w:b w:val="0"/>
                <w:sz w:val="15"/>
              </w:rPr>
              <w:t>TV-READY-005</w:t>
            </w:r>
          </w:p>
        </w:tc>
        <w:tc>
          <w:tcPr>
            <w:tcW w:type="dxa" w:w="1757"/>
            <w:vAlign w:val="top"/>
          </w:tcPr>
          <w:p>
            <w:pPr>
              <w:spacing w:after="0" w:line="240" w:lineRule="auto"/>
            </w:pPr>
            <w:r/>
            <w:r>
              <w:rPr>
                <w:b w:val="0"/>
                <w:sz w:val="15"/>
              </w:rPr>
              <w:t>Stable ROC positive and reasonable</w:t>
            </w:r>
          </w:p>
        </w:tc>
        <w:tc>
          <w:tcPr>
            <w:tcW w:type="dxa" w:w="1757"/>
            <w:vAlign w:val="top"/>
          </w:tcPr>
          <w:p>
            <w:pPr>
              <w:spacing w:after="0" w:line="240" w:lineRule="auto"/>
            </w:pPr>
            <w:r/>
            <w:r>
              <w:rPr>
                <w:b w:val="0"/>
                <w:sz w:val="15"/>
              </w:rPr>
              <w:t>YES</w:t>
            </w:r>
          </w:p>
        </w:tc>
        <w:tc>
          <w:tcPr>
            <w:tcW w:type="dxa" w:w="1757"/>
            <w:vAlign w:val="top"/>
          </w:tcPr>
          <w:p>
            <w:pPr>
              <w:spacing w:after="0" w:line="240" w:lineRule="auto"/>
            </w:pPr>
            <w:r/>
            <w:r>
              <w:rPr>
                <w:b w:val="0"/>
                <w:sz w:val="15"/>
              </w:rPr>
              <w:t>High</w:t>
            </w:r>
          </w:p>
        </w:tc>
        <w:tc>
          <w:tcPr>
            <w:tcW w:type="dxa" w:w="1757"/>
            <w:vAlign w:val="top"/>
          </w:tcPr>
          <w:p>
            <w:pPr>
              <w:spacing w:after="0" w:line="240" w:lineRule="auto"/>
            </w:pPr>
            <w:r/>
            <w:r>
              <w:rPr>
                <w:b w:val="0"/>
                <w:sz w:val="15"/>
              </w:rPr>
              <w:t>Terminal Review</w:t>
            </w:r>
          </w:p>
        </w:tc>
        <w:tc>
          <w:tcPr>
            <w:tcW w:type="dxa" w:w="1757"/>
            <w:vAlign w:val="top"/>
          </w:tcPr>
          <w:p>
            <w:pPr>
              <w:spacing w:after="0" w:line="240" w:lineRule="auto"/>
            </w:pPr>
            <w:r/>
            <w:r>
              <w:rPr>
                <w:b w:val="0"/>
                <w:sz w:val="15"/>
              </w:rPr>
              <w:t>Required before terminal value.</w:t>
            </w:r>
          </w:p>
        </w:tc>
      </w:tr>
      <w:tr>
        <w:tc>
          <w:tcPr>
            <w:tcW w:type="dxa" w:w="1757"/>
            <w:vAlign w:val="top"/>
          </w:tcPr>
          <w:p>
            <w:pPr>
              <w:spacing w:after="0" w:line="240" w:lineRule="auto"/>
            </w:pPr>
            <w:r/>
            <w:r>
              <w:rPr>
                <w:b w:val="0"/>
                <w:sz w:val="15"/>
              </w:rPr>
              <w:t>TV-READY-006</w:t>
            </w:r>
          </w:p>
        </w:tc>
        <w:tc>
          <w:tcPr>
            <w:tcW w:type="dxa" w:w="1757"/>
            <w:vAlign w:val="top"/>
          </w:tcPr>
          <w:p>
            <w:pPr>
              <w:spacing w:after="0" w:line="240" w:lineRule="auto"/>
            </w:pPr>
            <w:r/>
            <w:r>
              <w:rPr>
                <w:b w:val="0"/>
                <w:sz w:val="15"/>
              </w:rPr>
              <w:t>WACC near stable WACC</w:t>
            </w:r>
          </w:p>
        </w:tc>
        <w:tc>
          <w:tcPr>
            <w:tcW w:type="dxa" w:w="1757"/>
            <w:vAlign w:val="top"/>
          </w:tcPr>
          <w:p>
            <w:pPr>
              <w:spacing w:after="0" w:line="240" w:lineRule="auto"/>
            </w:pPr>
            <w:r/>
            <w:r>
              <w:rPr>
                <w:b w:val="0"/>
                <w:sz w:val="15"/>
              </w:rPr>
              <w:t>YES</w:t>
            </w:r>
          </w:p>
        </w:tc>
        <w:tc>
          <w:tcPr>
            <w:tcW w:type="dxa" w:w="1757"/>
            <w:vAlign w:val="top"/>
          </w:tcPr>
          <w:p>
            <w:pPr>
              <w:spacing w:after="0" w:line="240" w:lineRule="auto"/>
            </w:pPr>
            <w:r/>
            <w:r>
              <w:rPr>
                <w:b w:val="0"/>
                <w:sz w:val="15"/>
              </w:rPr>
              <w:t>Medium</w:t>
            </w:r>
          </w:p>
        </w:tc>
        <w:tc>
          <w:tcPr>
            <w:tcW w:type="dxa" w:w="1757"/>
            <w:vAlign w:val="top"/>
          </w:tcPr>
          <w:p>
            <w:pPr>
              <w:spacing w:after="0" w:line="240" w:lineRule="auto"/>
            </w:pPr>
            <w:r/>
            <w:r>
              <w:rPr>
                <w:b w:val="0"/>
                <w:sz w:val="15"/>
              </w:rPr>
              <w:t>Risk Review</w:t>
            </w:r>
          </w:p>
        </w:tc>
        <w:tc>
          <w:tcPr>
            <w:tcW w:type="dxa" w:w="1757"/>
            <w:vAlign w:val="top"/>
          </w:tcPr>
          <w:p>
            <w:pPr>
              <w:spacing w:after="0" w:line="240" w:lineRule="auto"/>
            </w:pPr>
            <w:r/>
            <w:r>
              <w:rPr>
                <w:b w:val="0"/>
                <w:sz w:val="15"/>
              </w:rPr>
              <w:t>Risk not normalized.</w:t>
            </w:r>
          </w:p>
        </w:tc>
      </w:tr>
      <w:tr>
        <w:tc>
          <w:tcPr>
            <w:tcW w:type="dxa" w:w="1757"/>
            <w:vAlign w:val="top"/>
          </w:tcPr>
          <w:p>
            <w:pPr>
              <w:spacing w:after="0" w:line="240" w:lineRule="auto"/>
            </w:pPr>
            <w:r/>
            <w:r>
              <w:rPr>
                <w:b w:val="0"/>
                <w:sz w:val="15"/>
              </w:rPr>
              <w:t>TV-READY-007</w:t>
            </w:r>
          </w:p>
        </w:tc>
        <w:tc>
          <w:tcPr>
            <w:tcW w:type="dxa" w:w="1757"/>
            <w:vAlign w:val="top"/>
          </w:tcPr>
          <w:p>
            <w:pPr>
              <w:spacing w:after="0" w:line="240" w:lineRule="auto"/>
            </w:pPr>
            <w:r/>
            <w:r>
              <w:rPr>
                <w:b w:val="0"/>
                <w:sz w:val="15"/>
              </w:rPr>
              <w:t>Beta near stable beta</w:t>
            </w:r>
          </w:p>
        </w:tc>
        <w:tc>
          <w:tcPr>
            <w:tcW w:type="dxa" w:w="1757"/>
            <w:vAlign w:val="top"/>
          </w:tcPr>
          <w:p>
            <w:pPr>
              <w:spacing w:after="0" w:line="240" w:lineRule="auto"/>
            </w:pPr>
            <w:r/>
            <w:r>
              <w:rPr>
                <w:b w:val="0"/>
                <w:sz w:val="15"/>
              </w:rPr>
              <w:t>NO/Watch</w:t>
            </w:r>
          </w:p>
        </w:tc>
        <w:tc>
          <w:tcPr>
            <w:tcW w:type="dxa" w:w="1757"/>
            <w:vAlign w:val="top"/>
          </w:tcPr>
          <w:p>
            <w:pPr>
              <w:spacing w:after="0" w:line="240" w:lineRule="auto"/>
            </w:pPr>
            <w:r/>
            <w:r>
              <w:rPr>
                <w:b w:val="0"/>
                <w:sz w:val="15"/>
              </w:rPr>
              <w:t>Medium</w:t>
            </w:r>
          </w:p>
        </w:tc>
        <w:tc>
          <w:tcPr>
            <w:tcW w:type="dxa" w:w="1757"/>
            <w:vAlign w:val="top"/>
          </w:tcPr>
          <w:p>
            <w:pPr>
              <w:spacing w:after="0" w:line="240" w:lineRule="auto"/>
            </w:pPr>
            <w:r/>
            <w:r>
              <w:rPr>
                <w:b w:val="0"/>
                <w:sz w:val="15"/>
              </w:rPr>
              <w:t>Beta Review</w:t>
            </w:r>
          </w:p>
        </w:tc>
        <w:tc>
          <w:tcPr>
            <w:tcW w:type="dxa" w:w="1757"/>
            <w:vAlign w:val="top"/>
          </w:tcPr>
          <w:p>
            <w:pPr>
              <w:spacing w:after="0" w:line="240" w:lineRule="auto"/>
            </w:pPr>
            <w:r/>
            <w:r>
              <w:rPr>
                <w:b w:val="0"/>
                <w:sz w:val="15"/>
              </w:rPr>
              <w:t>Watch flag.</w:t>
            </w:r>
          </w:p>
        </w:tc>
      </w:tr>
      <w:tr>
        <w:tc>
          <w:tcPr>
            <w:tcW w:type="dxa" w:w="1757"/>
            <w:vAlign w:val="top"/>
          </w:tcPr>
          <w:p>
            <w:pPr>
              <w:spacing w:after="0" w:line="240" w:lineRule="auto"/>
            </w:pPr>
            <w:r/>
            <w:r>
              <w:rPr>
                <w:b w:val="0"/>
                <w:sz w:val="15"/>
              </w:rPr>
              <w:t>TV-READY-008</w:t>
            </w:r>
          </w:p>
        </w:tc>
        <w:tc>
          <w:tcPr>
            <w:tcW w:type="dxa" w:w="1757"/>
            <w:vAlign w:val="top"/>
          </w:tcPr>
          <w:p>
            <w:pPr>
              <w:spacing w:after="0" w:line="240" w:lineRule="auto"/>
            </w:pPr>
            <w:r/>
            <w:r>
              <w:rPr>
                <w:b w:val="0"/>
                <w:sz w:val="15"/>
              </w:rPr>
              <w:t>Terminal value not excessive % of firm value</w:t>
            </w:r>
          </w:p>
        </w:tc>
        <w:tc>
          <w:tcPr>
            <w:tcW w:type="dxa" w:w="1757"/>
            <w:vAlign w:val="top"/>
          </w:tcPr>
          <w:p>
            <w:pPr>
              <w:spacing w:after="0" w:line="240" w:lineRule="auto"/>
            </w:pPr>
            <w:r/>
            <w:r>
              <w:rPr>
                <w:b w:val="0"/>
                <w:sz w:val="15"/>
              </w:rPr>
              <w:t>YES</w:t>
            </w:r>
          </w:p>
        </w:tc>
        <w:tc>
          <w:tcPr>
            <w:tcW w:type="dxa" w:w="1757"/>
            <w:vAlign w:val="top"/>
          </w:tcPr>
          <w:p>
            <w:pPr>
              <w:spacing w:after="0" w:line="240" w:lineRule="auto"/>
            </w:pPr>
            <w:r/>
            <w:r>
              <w:rPr>
                <w:b w:val="0"/>
                <w:sz w:val="15"/>
              </w:rPr>
              <w:t>Medium/High</w:t>
            </w:r>
          </w:p>
        </w:tc>
        <w:tc>
          <w:tcPr>
            <w:tcW w:type="dxa" w:w="1757"/>
            <w:vAlign w:val="top"/>
          </w:tcPr>
          <w:p>
            <w:pPr>
              <w:spacing w:after="0" w:line="240" w:lineRule="auto"/>
            </w:pPr>
            <w:r/>
            <w:r>
              <w:rPr>
                <w:b w:val="0"/>
                <w:sz w:val="15"/>
              </w:rPr>
              <w:t>Terminal Review</w:t>
            </w:r>
          </w:p>
        </w:tc>
        <w:tc>
          <w:tcPr>
            <w:tcW w:type="dxa" w:w="1757"/>
            <w:vAlign w:val="top"/>
          </w:tcPr>
          <w:p>
            <w:pPr>
              <w:spacing w:after="0" w:line="240" w:lineRule="auto"/>
            </w:pPr>
            <w:r/>
            <w:r>
              <w:rPr>
                <w:b w:val="0"/>
                <w:sz w:val="15"/>
              </w:rPr>
              <w:t>Threshold via Settings.</w:t>
            </w:r>
          </w:p>
        </w:tc>
      </w:tr>
      <w:tr>
        <w:tc>
          <w:tcPr>
            <w:tcW w:type="dxa" w:w="1757"/>
            <w:vAlign w:val="top"/>
          </w:tcPr>
          <w:p>
            <w:pPr>
              <w:spacing w:after="0" w:line="240" w:lineRule="auto"/>
            </w:pPr>
            <w:r/>
            <w:r>
              <w:rPr>
                <w:b w:val="0"/>
                <w:sz w:val="15"/>
              </w:rPr>
              <w:t>TV-READY-009</w:t>
            </w:r>
          </w:p>
        </w:tc>
        <w:tc>
          <w:tcPr>
            <w:tcW w:type="dxa" w:w="1757"/>
            <w:vAlign w:val="top"/>
          </w:tcPr>
          <w:p>
            <w:pPr>
              <w:spacing w:after="0" w:line="240" w:lineRule="auto"/>
            </w:pPr>
            <w:r/>
            <w:r>
              <w:rPr>
                <w:b w:val="0"/>
                <w:sz w:val="15"/>
              </w:rPr>
              <w:t>No permanent working capital release</w:t>
            </w:r>
          </w:p>
        </w:tc>
        <w:tc>
          <w:tcPr>
            <w:tcW w:type="dxa" w:w="1757"/>
            <w:vAlign w:val="top"/>
          </w:tcPr>
          <w:p>
            <w:pPr>
              <w:spacing w:after="0" w:line="240" w:lineRule="auto"/>
            </w:pPr>
            <w:r/>
            <w:r>
              <w:rPr>
                <w:b w:val="0"/>
                <w:sz w:val="15"/>
              </w:rPr>
              <w:t>YES</w:t>
            </w:r>
          </w:p>
        </w:tc>
        <w:tc>
          <w:tcPr>
            <w:tcW w:type="dxa" w:w="1757"/>
            <w:vAlign w:val="top"/>
          </w:tcPr>
          <w:p>
            <w:pPr>
              <w:spacing w:after="0" w:line="240" w:lineRule="auto"/>
            </w:pPr>
            <w:r/>
            <w:r>
              <w:rPr>
                <w:b w:val="0"/>
                <w:sz w:val="15"/>
              </w:rPr>
              <w:t>High</w:t>
            </w:r>
          </w:p>
        </w:tc>
        <w:tc>
          <w:tcPr>
            <w:tcW w:type="dxa" w:w="1757"/>
            <w:vAlign w:val="top"/>
          </w:tcPr>
          <w:p>
            <w:pPr>
              <w:spacing w:after="0" w:line="240" w:lineRule="auto"/>
            </w:pPr>
            <w:r/>
            <w:r>
              <w:rPr>
                <w:b w:val="0"/>
                <w:sz w:val="15"/>
              </w:rPr>
              <w:t>FCFF Review</w:t>
            </w:r>
          </w:p>
        </w:tc>
        <w:tc>
          <w:tcPr>
            <w:tcW w:type="dxa" w:w="1757"/>
            <w:vAlign w:val="top"/>
          </w:tcPr>
          <w:p>
            <w:pPr>
              <w:spacing w:after="0" w:line="240" w:lineRule="auto"/>
            </w:pPr>
            <w:r/>
            <w:r>
              <w:rPr>
                <w:b w:val="0"/>
                <w:sz w:val="15"/>
              </w:rPr>
              <w:t>Low quality terminal FCFF.</w:t>
            </w:r>
          </w:p>
        </w:tc>
      </w:tr>
      <w:tr>
        <w:tc>
          <w:tcPr>
            <w:tcW w:type="dxa" w:w="1757"/>
            <w:vAlign w:val="top"/>
          </w:tcPr>
          <w:p>
            <w:pPr>
              <w:spacing w:after="0" w:line="240" w:lineRule="auto"/>
            </w:pPr>
            <w:r/>
            <w:r>
              <w:rPr>
                <w:b w:val="0"/>
                <w:sz w:val="15"/>
              </w:rPr>
              <w:t>TV-READY-010</w:t>
            </w:r>
          </w:p>
        </w:tc>
        <w:tc>
          <w:tcPr>
            <w:tcW w:type="dxa" w:w="1757"/>
            <w:vAlign w:val="top"/>
          </w:tcPr>
          <w:p>
            <w:pPr>
              <w:spacing w:after="0" w:line="240" w:lineRule="auto"/>
            </w:pPr>
            <w:r/>
            <w:r>
              <w:rPr>
                <w:b w:val="0"/>
                <w:sz w:val="15"/>
              </w:rPr>
              <w:t>Stable tax rate reasonable</w:t>
            </w:r>
          </w:p>
        </w:tc>
        <w:tc>
          <w:tcPr>
            <w:tcW w:type="dxa" w:w="1757"/>
            <w:vAlign w:val="top"/>
          </w:tcPr>
          <w:p>
            <w:pPr>
              <w:spacing w:after="0" w:line="240" w:lineRule="auto"/>
            </w:pPr>
            <w:r/>
            <w:r>
              <w:rPr>
                <w:b w:val="0"/>
                <w:sz w:val="15"/>
              </w:rPr>
              <w:t>YES</w:t>
            </w:r>
          </w:p>
        </w:tc>
        <w:tc>
          <w:tcPr>
            <w:tcW w:type="dxa" w:w="1757"/>
            <w:vAlign w:val="top"/>
          </w:tcPr>
          <w:p>
            <w:pPr>
              <w:spacing w:after="0" w:line="240" w:lineRule="auto"/>
            </w:pPr>
            <w:r/>
            <w:r>
              <w:rPr>
                <w:b w:val="0"/>
                <w:sz w:val="15"/>
              </w:rPr>
              <w:t>Medium</w:t>
            </w:r>
          </w:p>
        </w:tc>
        <w:tc>
          <w:tcPr>
            <w:tcW w:type="dxa" w:w="1757"/>
            <w:vAlign w:val="top"/>
          </w:tcPr>
          <w:p>
            <w:pPr>
              <w:spacing w:after="0" w:line="240" w:lineRule="auto"/>
            </w:pPr>
            <w:r/>
            <w:r>
              <w:rPr>
                <w:b w:val="0"/>
                <w:sz w:val="15"/>
              </w:rPr>
              <w:t>Tax Review</w:t>
            </w:r>
          </w:p>
        </w:tc>
        <w:tc>
          <w:tcPr>
            <w:tcW w:type="dxa" w:w="1757"/>
            <w:vAlign w:val="top"/>
          </w:tcPr>
          <w:p>
            <w:pPr>
              <w:spacing w:after="0" w:line="240" w:lineRule="auto"/>
            </w:pPr>
            <w:r/>
            <w:r>
              <w:rPr>
                <w:b w:val="0"/>
                <w:sz w:val="15"/>
              </w:rPr>
              <w:t>NOPAT issue.</w:t>
            </w:r>
          </w:p>
        </w:tc>
      </w:tr>
      <w:tr>
        <w:tc>
          <w:tcPr>
            <w:tcW w:type="dxa" w:w="1757"/>
            <w:vAlign w:val="top"/>
          </w:tcPr>
          <w:p>
            <w:pPr>
              <w:spacing w:after="0" w:line="240" w:lineRule="auto"/>
            </w:pPr>
            <w:r/>
            <w:r>
              <w:rPr>
                <w:b w:val="0"/>
                <w:sz w:val="15"/>
              </w:rPr>
              <w:t>TV-READY-011</w:t>
            </w:r>
          </w:p>
        </w:tc>
        <w:tc>
          <w:tcPr>
            <w:tcW w:type="dxa" w:w="1757"/>
            <w:vAlign w:val="top"/>
          </w:tcPr>
          <w:p>
            <w:pPr>
              <w:spacing w:after="0" w:line="240" w:lineRule="auto"/>
            </w:pPr>
            <w:r/>
            <w:r>
              <w:rPr>
                <w:b w:val="0"/>
                <w:sz w:val="15"/>
              </w:rPr>
              <w:t>ROC &lt;= 0 in stable phase</w:t>
            </w:r>
          </w:p>
        </w:tc>
        <w:tc>
          <w:tcPr>
            <w:tcW w:type="dxa" w:w="1757"/>
            <w:vAlign w:val="top"/>
          </w:tcPr>
          <w:p>
            <w:pPr>
              <w:spacing w:after="0" w:line="240" w:lineRule="auto"/>
            </w:pPr>
            <w:r/>
            <w:r>
              <w:rPr>
                <w:b w:val="0"/>
                <w:sz w:val="15"/>
              </w:rPr>
              <w:t>YES</w:t>
            </w:r>
          </w:p>
        </w:tc>
        <w:tc>
          <w:tcPr>
            <w:tcW w:type="dxa" w:w="1757"/>
            <w:vAlign w:val="top"/>
          </w:tcPr>
          <w:p>
            <w:pPr>
              <w:spacing w:after="0" w:line="240" w:lineRule="auto"/>
            </w:pPr>
            <w:r/>
            <w:r>
              <w:rPr>
                <w:b w:val="0"/>
                <w:sz w:val="15"/>
              </w:rPr>
              <w:t>High</w:t>
            </w:r>
          </w:p>
        </w:tc>
        <w:tc>
          <w:tcPr>
            <w:tcW w:type="dxa" w:w="1757"/>
            <w:vAlign w:val="top"/>
          </w:tcPr>
          <w:p>
            <w:pPr>
              <w:spacing w:after="0" w:line="240" w:lineRule="auto"/>
            </w:pPr>
            <w:r/>
            <w:r>
              <w:rPr>
                <w:b w:val="0"/>
                <w:sz w:val="15"/>
              </w:rPr>
              <w:t>Terminal Not Ready</w:t>
            </w:r>
          </w:p>
        </w:tc>
        <w:tc>
          <w:tcPr>
            <w:tcW w:type="dxa" w:w="1757"/>
            <w:vAlign w:val="top"/>
          </w:tcPr>
          <w:p>
            <w:pPr>
              <w:spacing w:after="0" w:line="240" w:lineRule="auto"/>
            </w:pPr>
            <w:r/>
            <w:r>
              <w:rPr>
                <w:b w:val="0"/>
                <w:sz w:val="15"/>
              </w:rPr>
              <w:t>Cannot use stable g / ROC.</w:t>
            </w:r>
          </w:p>
        </w:tc>
      </w:tr>
      <w:tr>
        <w:tc>
          <w:tcPr>
            <w:tcW w:type="dxa" w:w="1757"/>
            <w:vAlign w:val="top"/>
          </w:tcPr>
          <w:p>
            <w:pPr>
              <w:spacing w:after="0" w:line="240" w:lineRule="auto"/>
            </w:pPr>
            <w:r/>
            <w:r>
              <w:rPr>
                <w:b w:val="0"/>
                <w:sz w:val="15"/>
              </w:rPr>
              <w:t>TV-READY-012</w:t>
            </w:r>
          </w:p>
        </w:tc>
        <w:tc>
          <w:tcPr>
            <w:tcW w:type="dxa" w:w="1757"/>
            <w:vAlign w:val="top"/>
          </w:tcPr>
          <w:p>
            <w:pPr>
              <w:spacing w:after="0" w:line="240" w:lineRule="auto"/>
            </w:pPr>
            <w:r/>
            <w:r>
              <w:rPr>
                <w:b w:val="0"/>
                <w:sz w:val="15"/>
              </w:rPr>
              <w:t>Stable Growth / Stable ROC &gt; 100%</w:t>
            </w:r>
          </w:p>
        </w:tc>
        <w:tc>
          <w:tcPr>
            <w:tcW w:type="dxa" w:w="1757"/>
            <w:vAlign w:val="top"/>
          </w:tcPr>
          <w:p>
            <w:pPr>
              <w:spacing w:after="0" w:line="240" w:lineRule="auto"/>
            </w:pPr>
            <w:r/>
            <w:r>
              <w:rPr>
                <w:b w:val="0"/>
                <w:sz w:val="15"/>
              </w:rPr>
              <w:t>YES</w:t>
            </w:r>
          </w:p>
        </w:tc>
        <w:tc>
          <w:tcPr>
            <w:tcW w:type="dxa" w:w="1757"/>
            <w:vAlign w:val="top"/>
          </w:tcPr>
          <w:p>
            <w:pPr>
              <w:spacing w:after="0" w:line="240" w:lineRule="auto"/>
            </w:pPr>
            <w:r/>
            <w:r>
              <w:rPr>
                <w:b w:val="0"/>
                <w:sz w:val="15"/>
              </w:rPr>
              <w:t>High</w:t>
            </w:r>
          </w:p>
        </w:tc>
        <w:tc>
          <w:tcPr>
            <w:tcW w:type="dxa" w:w="1757"/>
            <w:vAlign w:val="top"/>
          </w:tcPr>
          <w:p>
            <w:pPr>
              <w:spacing w:after="0" w:line="240" w:lineRule="auto"/>
            </w:pPr>
            <w:r/>
            <w:r>
              <w:rPr>
                <w:b w:val="0"/>
                <w:sz w:val="15"/>
              </w:rPr>
              <w:t>Reinvestment Review</w:t>
            </w:r>
          </w:p>
        </w:tc>
        <w:tc>
          <w:tcPr>
            <w:tcW w:type="dxa" w:w="1757"/>
            <w:vAlign w:val="top"/>
          </w:tcPr>
          <w:p>
            <w:pPr>
              <w:spacing w:after="0" w:line="240" w:lineRule="auto"/>
            </w:pPr>
            <w:r/>
            <w:r>
              <w:rPr>
                <w:b w:val="0"/>
                <w:sz w:val="15"/>
              </w:rPr>
              <w:t>Reinvestment requirement too high.</w:t>
            </w:r>
          </w:p>
        </w:tc>
      </w:tr>
    </w:tbl>
    <w:p/>
    <w:p>
      <w:pPr>
        <w:pStyle w:val="Heading1"/>
      </w:pPr>
      <w:r>
        <w:t>16. Historical Data Engine</w:t>
      </w:r>
    </w:p>
    <w:p>
      <w:r>
        <w:t>Historical Data Engine converts manual historical inputs into trends, normalization support and base-year diagnostics. It should not override manual inputs; it should calculate support outputs and review flags. Cyclical or commodity-heavy benchmark config can recommend 10Y history and normalized base-year checks.</w:t>
      </w:r>
    </w:p>
    <w:p>
      <w:pPr>
        <w:pStyle w:val="TableTitle"/>
      </w:pPr>
      <w:r>
        <w:rPr>
          <w:b/>
        </w:rPr>
        <w:t>Table - Historical Engine Outputs</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6"/>
              </w:rPr>
              <w:t>Output</w:t>
            </w:r>
          </w:p>
        </w:tc>
        <w:tc>
          <w:tcPr>
            <w:tcW w:type="dxa" w:w="5270"/>
            <w:vAlign w:val="top"/>
            <w:shd w:fill="D9EAF7"/>
          </w:tcPr>
          <w:p>
            <w:pPr>
              <w:spacing w:after="0" w:line="240" w:lineRule="auto"/>
            </w:pPr>
            <w:r/>
            <w:r>
              <w:rPr>
                <w:b/>
                <w:sz w:val="16"/>
              </w:rPr>
              <w:t>Purpose</w:t>
            </w:r>
          </w:p>
        </w:tc>
      </w:tr>
      <w:tr>
        <w:tc>
          <w:tcPr>
            <w:tcW w:type="dxa" w:w="5270"/>
            <w:vAlign w:val="top"/>
          </w:tcPr>
          <w:p>
            <w:pPr>
              <w:spacing w:after="0" w:line="240" w:lineRule="auto"/>
            </w:pPr>
            <w:r/>
            <w:r>
              <w:rPr>
                <w:b w:val="0"/>
                <w:sz w:val="15"/>
              </w:rPr>
              <w:t>Revenue Growth History</w:t>
            </w:r>
          </w:p>
        </w:tc>
        <w:tc>
          <w:tcPr>
            <w:tcW w:type="dxa" w:w="5270"/>
            <w:vAlign w:val="top"/>
          </w:tcPr>
          <w:p>
            <w:pPr>
              <w:spacing w:after="0" w:line="240" w:lineRule="auto"/>
            </w:pPr>
            <w:r/>
            <w:r>
              <w:rPr>
                <w:b w:val="0"/>
                <w:sz w:val="15"/>
              </w:rPr>
              <w:t>Detect growth trend and volatility.</w:t>
            </w:r>
          </w:p>
        </w:tc>
      </w:tr>
      <w:tr>
        <w:tc>
          <w:tcPr>
            <w:tcW w:type="dxa" w:w="5270"/>
            <w:vAlign w:val="top"/>
          </w:tcPr>
          <w:p>
            <w:pPr>
              <w:spacing w:after="0" w:line="240" w:lineRule="auto"/>
            </w:pPr>
            <w:r/>
            <w:r>
              <w:rPr>
                <w:b w:val="0"/>
                <w:sz w:val="15"/>
              </w:rPr>
              <w:t>EBIT Margin History</w:t>
            </w:r>
          </w:p>
        </w:tc>
        <w:tc>
          <w:tcPr>
            <w:tcW w:type="dxa" w:w="5270"/>
            <w:vAlign w:val="top"/>
          </w:tcPr>
          <w:p>
            <w:pPr>
              <w:spacing w:after="0" w:line="240" w:lineRule="auto"/>
            </w:pPr>
            <w:r/>
            <w:r>
              <w:rPr>
                <w:b w:val="0"/>
                <w:sz w:val="15"/>
              </w:rPr>
              <w:t>Detect margin level, trend, peak/trough and normalization need.</w:t>
            </w:r>
          </w:p>
        </w:tc>
      </w:tr>
      <w:tr>
        <w:tc>
          <w:tcPr>
            <w:tcW w:type="dxa" w:w="5270"/>
            <w:vAlign w:val="top"/>
          </w:tcPr>
          <w:p>
            <w:pPr>
              <w:spacing w:after="0" w:line="240" w:lineRule="auto"/>
            </w:pPr>
            <w:r/>
            <w:r>
              <w:rPr>
                <w:b w:val="0"/>
                <w:sz w:val="15"/>
              </w:rPr>
              <w:t>Tax Rate History</w:t>
            </w:r>
          </w:p>
        </w:tc>
        <w:tc>
          <w:tcPr>
            <w:tcW w:type="dxa" w:w="5270"/>
            <w:vAlign w:val="top"/>
          </w:tcPr>
          <w:p>
            <w:pPr>
              <w:spacing w:after="0" w:line="240" w:lineRule="auto"/>
            </w:pPr>
            <w:r/>
            <w:r>
              <w:rPr>
                <w:b w:val="0"/>
                <w:sz w:val="15"/>
              </w:rPr>
              <w:t>Support normalized/stable tax review.</w:t>
            </w:r>
          </w:p>
        </w:tc>
      </w:tr>
      <w:tr>
        <w:tc>
          <w:tcPr>
            <w:tcW w:type="dxa" w:w="5270"/>
            <w:vAlign w:val="top"/>
          </w:tcPr>
          <w:p>
            <w:pPr>
              <w:spacing w:after="0" w:line="240" w:lineRule="auto"/>
            </w:pPr>
            <w:r/>
            <w:r>
              <w:rPr>
                <w:b w:val="0"/>
                <w:sz w:val="15"/>
              </w:rPr>
              <w:t>Reinvestment History</w:t>
            </w:r>
          </w:p>
        </w:tc>
        <w:tc>
          <w:tcPr>
            <w:tcW w:type="dxa" w:w="5270"/>
            <w:vAlign w:val="top"/>
          </w:tcPr>
          <w:p>
            <w:pPr>
              <w:spacing w:after="0" w:line="240" w:lineRule="auto"/>
            </w:pPr>
            <w:r/>
            <w:r>
              <w:rPr>
                <w:b w:val="0"/>
                <w:sz w:val="15"/>
              </w:rPr>
              <w:t>Support reinvestment method selection and FCFF quality.</w:t>
            </w:r>
          </w:p>
        </w:tc>
      </w:tr>
      <w:tr>
        <w:tc>
          <w:tcPr>
            <w:tcW w:type="dxa" w:w="5270"/>
            <w:vAlign w:val="top"/>
          </w:tcPr>
          <w:p>
            <w:pPr>
              <w:spacing w:after="0" w:line="240" w:lineRule="auto"/>
            </w:pPr>
            <w:r/>
            <w:r>
              <w:rPr>
                <w:b w:val="0"/>
                <w:sz w:val="15"/>
              </w:rPr>
              <w:t>Working Capital History</w:t>
            </w:r>
          </w:p>
        </w:tc>
        <w:tc>
          <w:tcPr>
            <w:tcW w:type="dxa" w:w="5270"/>
            <w:vAlign w:val="top"/>
          </w:tcPr>
          <w:p>
            <w:pPr>
              <w:spacing w:after="0" w:line="240" w:lineRule="auto"/>
            </w:pPr>
            <w:r/>
            <w:r>
              <w:rPr>
                <w:b w:val="0"/>
                <w:sz w:val="15"/>
              </w:rPr>
              <w:t>Support NWC normalization and working-capital-release review.</w:t>
            </w:r>
          </w:p>
        </w:tc>
      </w:tr>
      <w:tr>
        <w:tc>
          <w:tcPr>
            <w:tcW w:type="dxa" w:w="5270"/>
            <w:vAlign w:val="top"/>
          </w:tcPr>
          <w:p>
            <w:pPr>
              <w:spacing w:after="0" w:line="240" w:lineRule="auto"/>
            </w:pPr>
            <w:r/>
            <w:r>
              <w:rPr>
                <w:b w:val="0"/>
                <w:sz w:val="15"/>
              </w:rPr>
              <w:t>Base Year Quality</w:t>
            </w:r>
          </w:p>
        </w:tc>
        <w:tc>
          <w:tcPr>
            <w:tcW w:type="dxa" w:w="5270"/>
            <w:vAlign w:val="top"/>
          </w:tcPr>
          <w:p>
            <w:pPr>
              <w:spacing w:after="0" w:line="240" w:lineRule="auto"/>
            </w:pPr>
            <w:r/>
            <w:r>
              <w:rPr>
                <w:b w:val="0"/>
                <w:sz w:val="15"/>
              </w:rPr>
              <w:t>Classify whether LTM/latest year is normal, peak, trough or review.</w:t>
            </w:r>
          </w:p>
        </w:tc>
      </w:tr>
    </w:tbl>
    <w:p/>
    <w:p>
      <w:pPr>
        <w:pStyle w:val="Heading1"/>
      </w:pPr>
      <w:r>
        <w:t>17. Reinvestment &amp; FCFF Engine</w:t>
      </w:r>
    </w:p>
    <w:p>
      <w:r>
        <w:t>Reinvestment is operating capital put back into the business. It is central to FCFF and terminal value. FCFF = NOPAT - Reinvestment. NOPAT = EBIT x (1 - Tax Rate). Growth must be consistent with reinvestment and ROC.</w:t>
      </w:r>
    </w:p>
    <w:p>
      <w:pPr>
        <w:pStyle w:val="TableTitle"/>
      </w:pPr>
      <w:r>
        <w:rPr>
          <w:b/>
        </w:rPr>
        <w:t>Table - Reinvestment Methods</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513"/>
            <w:vAlign w:val="top"/>
            <w:shd w:fill="D9EAF7"/>
          </w:tcPr>
          <w:p>
            <w:pPr>
              <w:spacing w:after="0" w:line="240" w:lineRule="auto"/>
            </w:pPr>
            <w:r/>
            <w:r>
              <w:rPr>
                <w:b/>
                <w:sz w:val="16"/>
              </w:rPr>
              <w:t>Method</w:t>
            </w:r>
          </w:p>
        </w:tc>
        <w:tc>
          <w:tcPr>
            <w:tcW w:type="dxa" w:w="3513"/>
            <w:vAlign w:val="top"/>
            <w:shd w:fill="D9EAF7"/>
          </w:tcPr>
          <w:p>
            <w:pPr>
              <w:spacing w:after="0" w:line="240" w:lineRule="auto"/>
            </w:pPr>
            <w:r/>
            <w:r>
              <w:rPr>
                <w:b/>
                <w:sz w:val="16"/>
              </w:rPr>
              <w:t>Formula / logic</w:t>
            </w:r>
          </w:p>
        </w:tc>
        <w:tc>
          <w:tcPr>
            <w:tcW w:type="dxa" w:w="3513"/>
            <w:vAlign w:val="top"/>
            <w:shd w:fill="D9EAF7"/>
          </w:tcPr>
          <w:p>
            <w:pPr>
              <w:spacing w:after="0" w:line="240" w:lineRule="auto"/>
            </w:pPr>
            <w:r/>
            <w:r>
              <w:rPr>
                <w:b/>
                <w:sz w:val="16"/>
              </w:rPr>
              <w:t>Use case</w:t>
            </w:r>
          </w:p>
        </w:tc>
      </w:tr>
      <w:tr>
        <w:tc>
          <w:tcPr>
            <w:tcW w:type="dxa" w:w="3513"/>
            <w:vAlign w:val="top"/>
          </w:tcPr>
          <w:p>
            <w:pPr>
              <w:spacing w:after="0" w:line="240" w:lineRule="auto"/>
            </w:pPr>
            <w:r/>
            <w:r>
              <w:rPr>
                <w:b w:val="0"/>
                <w:sz w:val="15"/>
              </w:rPr>
              <w:t>Direct Method</w:t>
            </w:r>
          </w:p>
        </w:tc>
        <w:tc>
          <w:tcPr>
            <w:tcW w:type="dxa" w:w="3513"/>
            <w:vAlign w:val="top"/>
          </w:tcPr>
          <w:p>
            <w:pPr>
              <w:spacing w:after="0" w:line="240" w:lineRule="auto"/>
            </w:pPr>
            <w:r/>
            <w:r>
              <w:rPr>
                <w:b w:val="0"/>
                <w:sz w:val="15"/>
              </w:rPr>
              <w:t>CapEx - D&amp;A + Change in Non-Cash Working Capital</w:t>
            </w:r>
          </w:p>
        </w:tc>
        <w:tc>
          <w:tcPr>
            <w:tcW w:type="dxa" w:w="3513"/>
            <w:vAlign w:val="top"/>
          </w:tcPr>
          <w:p>
            <w:pPr>
              <w:spacing w:after="0" w:line="240" w:lineRule="auto"/>
            </w:pPr>
            <w:r/>
            <w:r>
              <w:rPr>
                <w:b w:val="0"/>
                <w:sz w:val="15"/>
              </w:rPr>
              <w:t>Use where company-level data is reliable.</w:t>
            </w:r>
          </w:p>
        </w:tc>
      </w:tr>
      <w:tr>
        <w:tc>
          <w:tcPr>
            <w:tcW w:type="dxa" w:w="3513"/>
            <w:vAlign w:val="top"/>
          </w:tcPr>
          <w:p>
            <w:pPr>
              <w:spacing w:after="0" w:line="240" w:lineRule="auto"/>
            </w:pPr>
            <w:r/>
            <w:r>
              <w:rPr>
                <w:b w:val="0"/>
                <w:sz w:val="15"/>
              </w:rPr>
              <w:t>Sales-to-Capital Method</w:t>
            </w:r>
          </w:p>
        </w:tc>
        <w:tc>
          <w:tcPr>
            <w:tcW w:type="dxa" w:w="3513"/>
            <w:vAlign w:val="top"/>
          </w:tcPr>
          <w:p>
            <w:pPr>
              <w:spacing w:after="0" w:line="240" w:lineRule="auto"/>
            </w:pPr>
            <w:r/>
            <w:r>
              <w:rPr>
                <w:b w:val="0"/>
                <w:sz w:val="15"/>
              </w:rPr>
              <w:t>Change in Revenue / Sales-to-Capital Ratio</w:t>
            </w:r>
          </w:p>
        </w:tc>
        <w:tc>
          <w:tcPr>
            <w:tcW w:type="dxa" w:w="3513"/>
            <w:vAlign w:val="top"/>
          </w:tcPr>
          <w:p>
            <w:pPr>
              <w:spacing w:after="0" w:line="240" w:lineRule="auto"/>
            </w:pPr>
            <w:r/>
            <w:r>
              <w:rPr>
                <w:b w:val="0"/>
                <w:sz w:val="15"/>
              </w:rPr>
              <w:t>Use where direct inputs are weak or forecast is revenue-led. Benchmark supports the ratio.</w:t>
            </w:r>
          </w:p>
        </w:tc>
      </w:tr>
      <w:tr>
        <w:tc>
          <w:tcPr>
            <w:tcW w:type="dxa" w:w="3513"/>
            <w:vAlign w:val="top"/>
          </w:tcPr>
          <w:p>
            <w:pPr>
              <w:spacing w:after="0" w:line="240" w:lineRule="auto"/>
            </w:pPr>
            <w:r/>
            <w:r>
              <w:rPr>
                <w:b w:val="0"/>
                <w:sz w:val="15"/>
              </w:rPr>
              <w:t>Stable Method</w:t>
            </w:r>
          </w:p>
        </w:tc>
        <w:tc>
          <w:tcPr>
            <w:tcW w:type="dxa" w:w="3513"/>
            <w:vAlign w:val="top"/>
          </w:tcPr>
          <w:p>
            <w:pPr>
              <w:spacing w:after="0" w:line="240" w:lineRule="auto"/>
            </w:pPr>
            <w:r/>
            <w:r>
              <w:rPr>
                <w:b w:val="0"/>
                <w:sz w:val="15"/>
              </w:rPr>
              <w:t>Terminal NOPAT x Stable Growth / Stable ROC or Stable Reinvestment Rate = Stable Growth / Stable ROC</w:t>
            </w:r>
          </w:p>
        </w:tc>
        <w:tc>
          <w:tcPr>
            <w:tcW w:type="dxa" w:w="3513"/>
            <w:vAlign w:val="top"/>
          </w:tcPr>
          <w:p>
            <w:pPr>
              <w:spacing w:after="0" w:line="240" w:lineRule="auto"/>
            </w:pPr>
            <w:r/>
            <w:r>
              <w:rPr>
                <w:b w:val="0"/>
                <w:sz w:val="15"/>
              </w:rPr>
              <w:t>Use in terminal/stable state only when stable ROC is positive and reasonable.</w:t>
            </w:r>
          </w:p>
        </w:tc>
      </w:tr>
    </w:tbl>
    <w:p/>
    <w:p>
      <w:pPr>
        <w:pStyle w:val="ListBullet"/>
      </w:pPr>
      <w:r>
        <w:t>Growth = Reinvestment Rate x ROC.</w:t>
      </w:r>
    </w:p>
    <w:p>
      <w:pPr>
        <w:pStyle w:val="ListBullet"/>
      </w:pPr>
      <w:r>
        <w:t>Reinvestment Rate = Growth / ROC.</w:t>
      </w:r>
    </w:p>
    <w:p>
      <w:pPr>
        <w:pStyle w:val="ListBullet"/>
      </w:pPr>
      <w:r>
        <w:t>Growth creates value only when ROC &gt; WACC.</w:t>
      </w:r>
    </w:p>
    <w:p>
      <w:pPr>
        <w:pStyle w:val="ListBullet"/>
      </w:pPr>
      <w:r>
        <w:t>Terminal FCFF must include stable reinvestment.</w:t>
      </w:r>
    </w:p>
    <w:p>
      <w:pPr>
        <w:pStyle w:val="Heading1"/>
      </w:pPr>
      <w:r>
        <w:t>18. Risk / WACC System</w:t>
      </w:r>
    </w:p>
    <w:p>
      <w:r>
        <w:t>Risk / WACC System calculates current WACC, stable WACC and WACC by forecast year where needed. Cost of Equity = Riskfree Rate + Selected Beta x Weighted ERP. Riskfree Rate is driven by Valuation Currency. Weighted ERP is driven by revenue exposure. Selected beta is supported by Beta Engine.</w:t>
      </w:r>
    </w:p>
    <w:p>
      <w:pPr>
        <w:pStyle w:val="TableTitle"/>
      </w:pPr>
      <w:r>
        <w:rPr>
          <w:b/>
        </w:rPr>
        <w:t>Table - WACC Components</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513"/>
            <w:vAlign w:val="top"/>
            <w:shd w:fill="D9EAF7"/>
          </w:tcPr>
          <w:p>
            <w:pPr>
              <w:spacing w:after="0" w:line="240" w:lineRule="auto"/>
            </w:pPr>
            <w:r/>
            <w:r>
              <w:rPr>
                <w:b/>
                <w:sz w:val="16"/>
              </w:rPr>
              <w:t>Component</w:t>
            </w:r>
          </w:p>
        </w:tc>
        <w:tc>
          <w:tcPr>
            <w:tcW w:type="dxa" w:w="3513"/>
            <w:vAlign w:val="top"/>
            <w:shd w:fill="D9EAF7"/>
          </w:tcPr>
          <w:p>
            <w:pPr>
              <w:spacing w:after="0" w:line="240" w:lineRule="auto"/>
            </w:pPr>
            <w:r/>
            <w:r>
              <w:rPr>
                <w:b/>
                <w:sz w:val="16"/>
              </w:rPr>
              <w:t>Primary source</w:t>
            </w:r>
          </w:p>
        </w:tc>
        <w:tc>
          <w:tcPr>
            <w:tcW w:type="dxa" w:w="3513"/>
            <w:vAlign w:val="top"/>
            <w:shd w:fill="D9EAF7"/>
          </w:tcPr>
          <w:p>
            <w:pPr>
              <w:spacing w:after="0" w:line="240" w:lineRule="auto"/>
            </w:pPr>
            <w:r/>
            <w:r>
              <w:rPr>
                <w:b/>
                <w:sz w:val="16"/>
              </w:rPr>
              <w:t>Notes</w:t>
            </w:r>
          </w:p>
        </w:tc>
      </w:tr>
      <w:tr>
        <w:tc>
          <w:tcPr>
            <w:tcW w:type="dxa" w:w="3513"/>
            <w:vAlign w:val="top"/>
          </w:tcPr>
          <w:p>
            <w:pPr>
              <w:spacing w:after="0" w:line="240" w:lineRule="auto"/>
            </w:pPr>
            <w:r/>
            <w:r>
              <w:rPr>
                <w:b w:val="0"/>
                <w:sz w:val="15"/>
              </w:rPr>
              <w:t>Riskfree Rate</w:t>
            </w:r>
          </w:p>
        </w:tc>
        <w:tc>
          <w:tcPr>
            <w:tcW w:type="dxa" w:w="3513"/>
            <w:vAlign w:val="top"/>
          </w:tcPr>
          <w:p>
            <w:pPr>
              <w:spacing w:after="0" w:line="240" w:lineRule="auto"/>
            </w:pPr>
            <w:r/>
            <w:r>
              <w:rPr>
                <w:b w:val="0"/>
                <w:sz w:val="15"/>
              </w:rPr>
              <w:t>Riskfree Rates, selected by Valuation Currency</w:t>
            </w:r>
          </w:p>
        </w:tc>
        <w:tc>
          <w:tcPr>
            <w:tcW w:type="dxa" w:w="3513"/>
            <w:vAlign w:val="top"/>
          </w:tcPr>
          <w:p>
            <w:pPr>
              <w:spacing w:after="0" w:line="240" w:lineRule="auto"/>
            </w:pPr>
            <w:r/>
            <w:r>
              <w:rPr>
                <w:b w:val="0"/>
                <w:sz w:val="15"/>
              </w:rPr>
              <w:t>Not driven by listing country.</w:t>
            </w:r>
          </w:p>
        </w:tc>
      </w:tr>
      <w:tr>
        <w:tc>
          <w:tcPr>
            <w:tcW w:type="dxa" w:w="3513"/>
            <w:vAlign w:val="top"/>
          </w:tcPr>
          <w:p>
            <w:pPr>
              <w:spacing w:after="0" w:line="240" w:lineRule="auto"/>
            </w:pPr>
            <w:r/>
            <w:r>
              <w:rPr>
                <w:b w:val="0"/>
                <w:sz w:val="15"/>
              </w:rPr>
              <w:t>Weighted ERP</w:t>
            </w:r>
          </w:p>
        </w:tc>
        <w:tc>
          <w:tcPr>
            <w:tcW w:type="dxa" w:w="3513"/>
            <w:vAlign w:val="top"/>
          </w:tcPr>
          <w:p>
            <w:pPr>
              <w:spacing w:after="0" w:line="240" w:lineRule="auto"/>
            </w:pPr>
            <w:r/>
            <w:r>
              <w:rPr>
                <w:b w:val="0"/>
                <w:sz w:val="15"/>
              </w:rPr>
              <w:t>Country Risk / ERP and revenue exposure</w:t>
            </w:r>
          </w:p>
        </w:tc>
        <w:tc>
          <w:tcPr>
            <w:tcW w:type="dxa" w:w="3513"/>
            <w:vAlign w:val="top"/>
          </w:tcPr>
          <w:p>
            <w:pPr>
              <w:spacing w:after="0" w:line="240" w:lineRule="auto"/>
            </w:pPr>
            <w:r/>
            <w:r>
              <w:rPr>
                <w:b w:val="0"/>
                <w:sz w:val="15"/>
              </w:rPr>
              <w:t>Revenue-weighted ERP logic.</w:t>
            </w:r>
          </w:p>
        </w:tc>
      </w:tr>
      <w:tr>
        <w:tc>
          <w:tcPr>
            <w:tcW w:type="dxa" w:w="3513"/>
            <w:vAlign w:val="top"/>
          </w:tcPr>
          <w:p>
            <w:pPr>
              <w:spacing w:after="0" w:line="240" w:lineRule="auto"/>
            </w:pPr>
            <w:r/>
            <w:r>
              <w:rPr>
                <w:b w:val="0"/>
                <w:sz w:val="15"/>
              </w:rPr>
              <w:t>Selected Current Beta</w:t>
            </w:r>
          </w:p>
        </w:tc>
        <w:tc>
          <w:tcPr>
            <w:tcW w:type="dxa" w:w="3513"/>
            <w:vAlign w:val="top"/>
          </w:tcPr>
          <w:p>
            <w:pPr>
              <w:spacing w:after="0" w:line="240" w:lineRule="auto"/>
            </w:pPr>
            <w:r/>
            <w:r>
              <w:rPr>
                <w:b w:val="0"/>
                <w:sz w:val="15"/>
              </w:rPr>
              <w:t>Beta Engine</w:t>
            </w:r>
          </w:p>
        </w:tc>
        <w:tc>
          <w:tcPr>
            <w:tcW w:type="dxa" w:w="3513"/>
            <w:vAlign w:val="top"/>
          </w:tcPr>
          <w:p>
            <w:pPr>
              <w:spacing w:after="0" w:line="240" w:lineRule="auto"/>
            </w:pPr>
            <w:r/>
            <w:r>
              <w:rPr>
                <w:b w:val="0"/>
                <w:sz w:val="15"/>
              </w:rPr>
              <w:t>Regression/User Beta, bottom-up beta or manual override with note.</w:t>
            </w:r>
          </w:p>
        </w:tc>
      </w:tr>
      <w:tr>
        <w:tc>
          <w:tcPr>
            <w:tcW w:type="dxa" w:w="3513"/>
            <w:vAlign w:val="top"/>
          </w:tcPr>
          <w:p>
            <w:pPr>
              <w:spacing w:after="0" w:line="240" w:lineRule="auto"/>
            </w:pPr>
            <w:r/>
            <w:r>
              <w:rPr>
                <w:b w:val="0"/>
                <w:sz w:val="15"/>
              </w:rPr>
              <w:t>Selected Stable Beta</w:t>
            </w:r>
          </w:p>
        </w:tc>
        <w:tc>
          <w:tcPr>
            <w:tcW w:type="dxa" w:w="3513"/>
            <w:vAlign w:val="top"/>
          </w:tcPr>
          <w:p>
            <w:pPr>
              <w:spacing w:after="0" w:line="240" w:lineRule="auto"/>
            </w:pPr>
            <w:r/>
            <w:r>
              <w:rPr>
                <w:b w:val="0"/>
                <w:sz w:val="15"/>
              </w:rPr>
              <w:t>Beta Engine</w:t>
            </w:r>
          </w:p>
        </w:tc>
        <w:tc>
          <w:tcPr>
            <w:tcW w:type="dxa" w:w="3513"/>
            <w:vAlign w:val="top"/>
          </w:tcPr>
          <w:p>
            <w:pPr>
              <w:spacing w:after="0" w:line="240" w:lineRule="auto"/>
            </w:pPr>
            <w:r/>
            <w:r>
              <w:rPr>
                <w:b w:val="0"/>
                <w:sz w:val="15"/>
              </w:rPr>
              <w:t>Normally bottom-up / benchmark-supported stable beta.</w:t>
            </w:r>
          </w:p>
        </w:tc>
      </w:tr>
      <w:tr>
        <w:tc>
          <w:tcPr>
            <w:tcW w:type="dxa" w:w="3513"/>
            <w:vAlign w:val="top"/>
          </w:tcPr>
          <w:p>
            <w:pPr>
              <w:spacing w:after="0" w:line="240" w:lineRule="auto"/>
            </w:pPr>
            <w:r/>
            <w:r>
              <w:rPr>
                <w:b w:val="0"/>
                <w:sz w:val="15"/>
              </w:rPr>
              <w:t>Cost of Debt</w:t>
            </w:r>
          </w:p>
        </w:tc>
        <w:tc>
          <w:tcPr>
            <w:tcW w:type="dxa" w:w="3513"/>
            <w:vAlign w:val="top"/>
          </w:tcPr>
          <w:p>
            <w:pPr>
              <w:spacing w:after="0" w:line="240" w:lineRule="auto"/>
            </w:pPr>
            <w:r/>
            <w:r>
              <w:rPr>
                <w:b w:val="0"/>
                <w:sz w:val="15"/>
              </w:rPr>
              <w:t>Actual rating, synthetic rating, default spread, historical cost or manual override</w:t>
            </w:r>
          </w:p>
        </w:tc>
        <w:tc>
          <w:tcPr>
            <w:tcW w:type="dxa" w:w="3513"/>
            <w:vAlign w:val="top"/>
          </w:tcPr>
          <w:p>
            <w:pPr>
              <w:spacing w:after="0" w:line="240" w:lineRule="auto"/>
            </w:pPr>
            <w:r/>
            <w:r>
              <w:rPr>
                <w:b w:val="0"/>
                <w:sz w:val="15"/>
              </w:rPr>
              <w:t>Manual override needs note.</w:t>
            </w:r>
          </w:p>
        </w:tc>
      </w:tr>
      <w:tr>
        <w:tc>
          <w:tcPr>
            <w:tcW w:type="dxa" w:w="3513"/>
            <w:vAlign w:val="top"/>
          </w:tcPr>
          <w:p>
            <w:pPr>
              <w:spacing w:after="0" w:line="240" w:lineRule="auto"/>
            </w:pPr>
            <w:r/>
            <w:r>
              <w:rPr>
                <w:b w:val="0"/>
                <w:sz w:val="15"/>
              </w:rPr>
              <w:t>Tax Rate</w:t>
            </w:r>
          </w:p>
        </w:tc>
        <w:tc>
          <w:tcPr>
            <w:tcW w:type="dxa" w:w="3513"/>
            <w:vAlign w:val="top"/>
          </w:tcPr>
          <w:p>
            <w:pPr>
              <w:spacing w:after="0" w:line="240" w:lineRule="auto"/>
            </w:pPr>
            <w:r/>
            <w:r>
              <w:rPr>
                <w:b w:val="0"/>
                <w:sz w:val="15"/>
              </w:rPr>
              <w:t>Company tax and normalized/stable tax support</w:t>
            </w:r>
          </w:p>
        </w:tc>
        <w:tc>
          <w:tcPr>
            <w:tcW w:type="dxa" w:w="3513"/>
            <w:vAlign w:val="top"/>
          </w:tcPr>
          <w:p>
            <w:pPr>
              <w:spacing w:after="0" w:line="240" w:lineRule="auto"/>
            </w:pPr>
            <w:r/>
            <w:r>
              <w:rPr>
                <w:b w:val="0"/>
                <w:sz w:val="15"/>
              </w:rPr>
              <w:t>Use appropriate tax for after-tax cost of debt and NOPAT.</w:t>
            </w:r>
          </w:p>
        </w:tc>
      </w:tr>
      <w:tr>
        <w:tc>
          <w:tcPr>
            <w:tcW w:type="dxa" w:w="3513"/>
            <w:vAlign w:val="top"/>
          </w:tcPr>
          <w:p>
            <w:pPr>
              <w:spacing w:after="0" w:line="240" w:lineRule="auto"/>
            </w:pPr>
            <w:r/>
            <w:r>
              <w:rPr>
                <w:b w:val="0"/>
                <w:sz w:val="15"/>
              </w:rPr>
              <w:t>Weights</w:t>
            </w:r>
          </w:p>
        </w:tc>
        <w:tc>
          <w:tcPr>
            <w:tcW w:type="dxa" w:w="3513"/>
            <w:vAlign w:val="top"/>
          </w:tcPr>
          <w:p>
            <w:pPr>
              <w:spacing w:after="0" w:line="240" w:lineRule="auto"/>
            </w:pPr>
            <w:r/>
            <w:r>
              <w:rPr>
                <w:b w:val="0"/>
                <w:sz w:val="15"/>
              </w:rPr>
              <w:t>Market value weights</w:t>
            </w:r>
          </w:p>
        </w:tc>
        <w:tc>
          <w:tcPr>
            <w:tcW w:type="dxa" w:w="3513"/>
            <w:vAlign w:val="top"/>
          </w:tcPr>
          <w:p>
            <w:pPr>
              <w:spacing w:after="0" w:line="240" w:lineRule="auto"/>
            </w:pPr>
            <w:r/>
            <w:r>
              <w:rPr>
                <w:b w:val="0"/>
                <w:sz w:val="15"/>
              </w:rPr>
              <w:t>Equity weight normally based on market cap; debt includes gross debt, lease debt and debt-like claims where relevant.</w:t>
            </w:r>
          </w:p>
        </w:tc>
      </w:tr>
    </w:tbl>
    <w:p/>
    <w:p>
      <w:pPr>
        <w:pStyle w:val="Heading2"/>
      </w:pPr>
      <w:r>
        <w:t>18.1 Beta Engine</w:t>
      </w:r>
    </w:p>
    <w:p>
      <w:r>
        <w:t>Beta Engine is a permanent system/reference sheet. It prepares Regression/User Beta, Damodaran bottom-up beta, Selected Current Beta, Selected Stable Beta and Beta Review support. It reads the selected Damodaran Industrial Benchmark directly. ISM-sector is not an input to Beta Engine.</w:t>
      </w:r>
    </w:p>
    <w:p>
      <w:pPr>
        <w:pStyle w:val="TableTitle"/>
      </w:pPr>
      <w:r>
        <w:rPr>
          <w:b/>
        </w:rPr>
        <w:t>Table - tblBetaSourceMethod</w:t>
      </w:r>
    </w:p>
    <w:p>
      <w:pPr>
        <w:pStyle w:val="TablePurpose"/>
      </w:pPr>
      <w:r>
        <w:t>Company-level beta source/method table and selected beta support outputs.</w:t>
      </w:r>
    </w:p>
    <w:tbl>
      <w:tblPr>
        <w:tblStyle w:val="TableGrid"/>
        <w:tblW w:type="auto" w:w="0"/>
        <w:jc w:val="center"/>
        <w:tblLayout w:type="autofit"/>
        <w:tblLook w:firstColumn="1" w:firstRow="1" w:lastColumn="0" w:lastRow="0" w:noHBand="0" w:noVBand="1" w:val="04A0"/>
      </w:tblPr>
      <w:tblGrid>
        <w:gridCol w:w="811"/>
        <w:gridCol w:w="811"/>
        <w:gridCol w:w="811"/>
        <w:gridCol w:w="811"/>
        <w:gridCol w:w="811"/>
        <w:gridCol w:w="811"/>
        <w:gridCol w:w="811"/>
        <w:gridCol w:w="811"/>
        <w:gridCol w:w="811"/>
        <w:gridCol w:w="811"/>
        <w:gridCol w:w="811"/>
        <w:gridCol w:w="811"/>
        <w:gridCol w:w="811"/>
      </w:tblGrid>
      <w:tr>
        <w:tc>
          <w:tcPr>
            <w:tcW w:type="dxa" w:w="811"/>
            <w:vAlign w:val="top"/>
            <w:shd w:fill="D9EAF7"/>
          </w:tcPr>
          <w:p>
            <w:pPr>
              <w:spacing w:after="0" w:line="240" w:lineRule="auto"/>
            </w:pPr>
            <w:r/>
            <w:r>
              <w:rPr>
                <w:b/>
                <w:sz w:val="16"/>
              </w:rPr>
              <w:t>Full Ticker</w:t>
            </w:r>
          </w:p>
        </w:tc>
        <w:tc>
          <w:tcPr>
            <w:tcW w:type="dxa" w:w="811"/>
            <w:vAlign w:val="top"/>
            <w:shd w:fill="D9EAF7"/>
          </w:tcPr>
          <w:p>
            <w:pPr>
              <w:spacing w:after="0" w:line="240" w:lineRule="auto"/>
            </w:pPr>
            <w:r/>
            <w:r>
              <w:rPr>
                <w:b/>
                <w:sz w:val="16"/>
              </w:rPr>
              <w:t>Clean Ticker</w:t>
            </w:r>
          </w:p>
        </w:tc>
        <w:tc>
          <w:tcPr>
            <w:tcW w:type="dxa" w:w="811"/>
            <w:vAlign w:val="top"/>
            <w:shd w:fill="D9EAF7"/>
          </w:tcPr>
          <w:p>
            <w:pPr>
              <w:spacing w:after="0" w:line="240" w:lineRule="auto"/>
            </w:pPr>
            <w:r/>
            <w:r>
              <w:rPr>
                <w:b/>
                <w:sz w:val="16"/>
              </w:rPr>
              <w:t>Damodaran Industrial Benchmark</w:t>
            </w:r>
          </w:p>
        </w:tc>
        <w:tc>
          <w:tcPr>
            <w:tcW w:type="dxa" w:w="811"/>
            <w:vAlign w:val="top"/>
            <w:shd w:fill="D9EAF7"/>
          </w:tcPr>
          <w:p>
            <w:pPr>
              <w:spacing w:after="0" w:line="240" w:lineRule="auto"/>
            </w:pPr>
            <w:r/>
            <w:r>
              <w:rPr>
                <w:b/>
                <w:sz w:val="16"/>
              </w:rPr>
              <w:t>Regression/User Beta</w:t>
            </w:r>
          </w:p>
        </w:tc>
        <w:tc>
          <w:tcPr>
            <w:tcW w:type="dxa" w:w="811"/>
            <w:vAlign w:val="top"/>
            <w:shd w:fill="D9EAF7"/>
          </w:tcPr>
          <w:p>
            <w:pPr>
              <w:spacing w:after="0" w:line="240" w:lineRule="auto"/>
            </w:pPr>
            <w:r/>
            <w:r>
              <w:rPr>
                <w:b/>
                <w:sz w:val="16"/>
              </w:rPr>
              <w:t>Damodaran Unlevered Beta</w:t>
            </w:r>
          </w:p>
        </w:tc>
        <w:tc>
          <w:tcPr>
            <w:tcW w:type="dxa" w:w="811"/>
            <w:vAlign w:val="top"/>
            <w:shd w:fill="D9EAF7"/>
          </w:tcPr>
          <w:p>
            <w:pPr>
              <w:spacing w:after="0" w:line="240" w:lineRule="auto"/>
            </w:pPr>
            <w:r/>
            <w:r>
              <w:rPr>
                <w:b/>
                <w:sz w:val="16"/>
              </w:rPr>
              <w:t>Bottom-up Levered Beta</w:t>
            </w:r>
          </w:p>
        </w:tc>
        <w:tc>
          <w:tcPr>
            <w:tcW w:type="dxa" w:w="811"/>
            <w:vAlign w:val="top"/>
            <w:shd w:fill="D9EAF7"/>
          </w:tcPr>
          <w:p>
            <w:pPr>
              <w:spacing w:after="0" w:line="240" w:lineRule="auto"/>
            </w:pPr>
            <w:r/>
            <w:r>
              <w:rPr>
                <w:b/>
                <w:sz w:val="16"/>
              </w:rPr>
              <w:t>Manual Current Beta Override</w:t>
            </w:r>
          </w:p>
        </w:tc>
        <w:tc>
          <w:tcPr>
            <w:tcW w:type="dxa" w:w="811"/>
            <w:vAlign w:val="top"/>
            <w:shd w:fill="D9EAF7"/>
          </w:tcPr>
          <w:p>
            <w:pPr>
              <w:spacing w:after="0" w:line="240" w:lineRule="auto"/>
            </w:pPr>
            <w:r/>
            <w:r>
              <w:rPr>
                <w:b/>
                <w:sz w:val="16"/>
              </w:rPr>
              <w:t>Manual Stable Beta Override</w:t>
            </w:r>
          </w:p>
        </w:tc>
        <w:tc>
          <w:tcPr>
            <w:tcW w:type="dxa" w:w="811"/>
            <w:vAlign w:val="top"/>
            <w:shd w:fill="D9EAF7"/>
          </w:tcPr>
          <w:p>
            <w:pPr>
              <w:spacing w:after="0" w:line="240" w:lineRule="auto"/>
            </w:pPr>
            <w:r/>
            <w:r>
              <w:rPr>
                <w:b/>
                <w:sz w:val="16"/>
              </w:rPr>
              <w:t>Selected Current Beta</w:t>
            </w:r>
          </w:p>
        </w:tc>
        <w:tc>
          <w:tcPr>
            <w:tcW w:type="dxa" w:w="811"/>
            <w:vAlign w:val="top"/>
            <w:shd w:fill="D9EAF7"/>
          </w:tcPr>
          <w:p>
            <w:pPr>
              <w:spacing w:after="0" w:line="240" w:lineRule="auto"/>
            </w:pPr>
            <w:r/>
            <w:r>
              <w:rPr>
                <w:b/>
                <w:sz w:val="16"/>
              </w:rPr>
              <w:t>Selected Stable Beta</w:t>
            </w:r>
          </w:p>
        </w:tc>
        <w:tc>
          <w:tcPr>
            <w:tcW w:type="dxa" w:w="811"/>
            <w:vAlign w:val="top"/>
            <w:shd w:fill="D9EAF7"/>
          </w:tcPr>
          <w:p>
            <w:pPr>
              <w:spacing w:after="0" w:line="240" w:lineRule="auto"/>
            </w:pPr>
            <w:r/>
            <w:r>
              <w:rPr>
                <w:b/>
                <w:sz w:val="16"/>
              </w:rPr>
              <w:t>Beta Source</w:t>
            </w:r>
          </w:p>
        </w:tc>
        <w:tc>
          <w:tcPr>
            <w:tcW w:type="dxa" w:w="811"/>
            <w:vAlign w:val="top"/>
            <w:shd w:fill="D9EAF7"/>
          </w:tcPr>
          <w:p>
            <w:pPr>
              <w:spacing w:after="0" w:line="240" w:lineRule="auto"/>
            </w:pPr>
            <w:r/>
            <w:r>
              <w:rPr>
                <w:b/>
                <w:sz w:val="16"/>
              </w:rPr>
              <w:t>Beta Quality</w:t>
            </w:r>
          </w:p>
        </w:tc>
        <w:tc>
          <w:tcPr>
            <w:tcW w:type="dxa" w:w="811"/>
            <w:vAlign w:val="top"/>
            <w:shd w:fill="D9EAF7"/>
          </w:tcPr>
          <w:p>
            <w:pPr>
              <w:spacing w:after="0" w:line="240" w:lineRule="auto"/>
            </w:pPr>
            <w:r/>
            <w:r>
              <w:rPr>
                <w:b/>
                <w:sz w:val="16"/>
              </w:rPr>
              <w:t>Beta Review Flag</w:t>
            </w:r>
          </w:p>
        </w:tc>
      </w:tr>
      <w:tr>
        <w:tc>
          <w:tcPr>
            <w:tcW w:type="dxa" w:w="811"/>
            <w:vAlign w:val="top"/>
          </w:tcPr>
          <w:p>
            <w:pPr>
              <w:spacing w:after="0" w:line="240" w:lineRule="auto"/>
            </w:pPr>
            <w:r/>
            <w:r>
              <w:rPr>
                <w:b w:val="0"/>
                <w:sz w:val="15"/>
              </w:rPr>
              <w:t>Company row</w:t>
            </w:r>
          </w:p>
        </w:tc>
        <w:tc>
          <w:tcPr>
            <w:tcW w:type="dxa" w:w="811"/>
            <w:vAlign w:val="top"/>
          </w:tcPr>
          <w:p>
            <w:pPr>
              <w:spacing w:after="0" w:line="240" w:lineRule="auto"/>
            </w:pPr>
            <w:r/>
            <w:r>
              <w:rPr>
                <w:b w:val="0"/>
                <w:sz w:val="15"/>
              </w:rPr>
              <w:t>Parsed ticker</w:t>
            </w:r>
          </w:p>
        </w:tc>
        <w:tc>
          <w:tcPr>
            <w:tcW w:type="dxa" w:w="811"/>
            <w:vAlign w:val="top"/>
          </w:tcPr>
          <w:p>
            <w:pPr>
              <w:spacing w:after="0" w:line="240" w:lineRule="auto"/>
            </w:pPr>
            <w:r/>
            <w:r>
              <w:rPr>
                <w:b w:val="0"/>
                <w:sz w:val="15"/>
              </w:rPr>
              <w:t>Selected benchmark</w:t>
            </w:r>
          </w:p>
        </w:tc>
        <w:tc>
          <w:tcPr>
            <w:tcW w:type="dxa" w:w="811"/>
            <w:vAlign w:val="top"/>
          </w:tcPr>
          <w:p>
            <w:pPr>
              <w:spacing w:after="0" w:line="240" w:lineRule="auto"/>
            </w:pPr>
            <w:r/>
            <w:r>
              <w:rPr>
                <w:b w:val="0"/>
                <w:sz w:val="15"/>
              </w:rPr>
              <w:t>Manual/regression input</w:t>
            </w:r>
          </w:p>
        </w:tc>
        <w:tc>
          <w:tcPr>
            <w:tcW w:type="dxa" w:w="811"/>
            <w:vAlign w:val="top"/>
          </w:tcPr>
          <w:p>
            <w:pPr>
              <w:spacing w:after="0" w:line="240" w:lineRule="auto"/>
            </w:pPr>
            <w:r/>
            <w:r>
              <w:rPr>
                <w:b w:val="0"/>
                <w:sz w:val="15"/>
              </w:rPr>
              <w:t>Lookup from Damodaran Data</w:t>
            </w:r>
          </w:p>
        </w:tc>
        <w:tc>
          <w:tcPr>
            <w:tcW w:type="dxa" w:w="811"/>
            <w:vAlign w:val="top"/>
          </w:tcPr>
          <w:p>
            <w:pPr>
              <w:spacing w:after="0" w:line="240" w:lineRule="auto"/>
            </w:pPr>
            <w:r/>
            <w:r>
              <w:rPr>
                <w:b w:val="0"/>
                <w:sz w:val="15"/>
              </w:rPr>
              <w:t>Formula-supported</w:t>
            </w:r>
          </w:p>
        </w:tc>
        <w:tc>
          <w:tcPr>
            <w:tcW w:type="dxa" w:w="811"/>
            <w:vAlign w:val="top"/>
          </w:tcPr>
          <w:p>
            <w:pPr>
              <w:spacing w:after="0" w:line="240" w:lineRule="auto"/>
            </w:pPr>
            <w:r/>
            <w:r>
              <w:rPr>
                <w:b w:val="0"/>
                <w:sz w:val="15"/>
              </w:rPr>
              <w:t>Optional visible override</w:t>
            </w:r>
          </w:p>
        </w:tc>
        <w:tc>
          <w:tcPr>
            <w:tcW w:type="dxa" w:w="811"/>
            <w:vAlign w:val="top"/>
          </w:tcPr>
          <w:p>
            <w:pPr>
              <w:spacing w:after="0" w:line="240" w:lineRule="auto"/>
            </w:pPr>
            <w:r/>
            <w:r>
              <w:rPr>
                <w:b w:val="0"/>
                <w:sz w:val="15"/>
              </w:rPr>
              <w:t>Optional visible override</w:t>
            </w:r>
          </w:p>
        </w:tc>
        <w:tc>
          <w:tcPr>
            <w:tcW w:type="dxa" w:w="811"/>
            <w:vAlign w:val="top"/>
          </w:tcPr>
          <w:p>
            <w:pPr>
              <w:spacing w:after="0" w:line="240" w:lineRule="auto"/>
            </w:pPr>
            <w:r/>
            <w:r>
              <w:rPr>
                <w:b w:val="0"/>
                <w:sz w:val="15"/>
              </w:rPr>
              <w:t>Selected by rules</w:t>
            </w:r>
          </w:p>
        </w:tc>
        <w:tc>
          <w:tcPr>
            <w:tcW w:type="dxa" w:w="811"/>
            <w:vAlign w:val="top"/>
          </w:tcPr>
          <w:p>
            <w:pPr>
              <w:spacing w:after="0" w:line="240" w:lineRule="auto"/>
            </w:pPr>
            <w:r/>
            <w:r>
              <w:rPr>
                <w:b w:val="0"/>
                <w:sz w:val="15"/>
              </w:rPr>
              <w:t>Selected by rules</w:t>
            </w:r>
          </w:p>
        </w:tc>
        <w:tc>
          <w:tcPr>
            <w:tcW w:type="dxa" w:w="811"/>
            <w:vAlign w:val="top"/>
          </w:tcPr>
          <w:p>
            <w:pPr>
              <w:spacing w:after="0" w:line="240" w:lineRule="auto"/>
            </w:pPr>
            <w:r/>
            <w:r>
              <w:rPr>
                <w:b w:val="0"/>
                <w:sz w:val="15"/>
              </w:rPr>
              <w:t>Regression / Bottom-up / Manual</w:t>
            </w:r>
          </w:p>
        </w:tc>
        <w:tc>
          <w:tcPr>
            <w:tcW w:type="dxa" w:w="811"/>
            <w:vAlign w:val="top"/>
          </w:tcPr>
          <w:p>
            <w:pPr>
              <w:spacing w:after="0" w:line="240" w:lineRule="auto"/>
            </w:pPr>
            <w:r/>
            <w:r>
              <w:rPr>
                <w:b w:val="0"/>
                <w:sz w:val="15"/>
              </w:rPr>
              <w:t>Strong / Acceptable / Review</w:t>
            </w:r>
          </w:p>
        </w:tc>
        <w:tc>
          <w:tcPr>
            <w:tcW w:type="dxa" w:w="811"/>
            <w:vAlign w:val="top"/>
          </w:tcPr>
          <w:p>
            <w:pPr>
              <w:spacing w:after="0" w:line="240" w:lineRule="auto"/>
            </w:pPr>
            <w:r/>
            <w:r>
              <w:rPr>
                <w:b w:val="0"/>
                <w:sz w:val="15"/>
              </w:rPr>
              <w:t>OK / Watch / Review Required</w:t>
            </w:r>
          </w:p>
        </w:tc>
      </w:tr>
    </w:tbl>
    <w:p/>
    <w:p>
      <w:pPr>
        <w:pStyle w:val="TableTitle"/>
      </w:pPr>
      <w:r>
        <w:rPr>
          <w:b/>
        </w:rPr>
        <w:t>Table - tblDamodaranIndustryBetaLookup</w:t>
      </w:r>
    </w:p>
    <w:tbl>
      <w:tblPr>
        <w:tblStyle w:val="TableGrid"/>
        <w:tblW w:type="auto" w:w="0"/>
        <w:jc w:val="center"/>
        <w:tblLayout w:type="autofit"/>
        <w:tblLook w:firstColumn="1" w:firstRow="1" w:lastColumn="0" w:lastRow="0" w:noHBand="0" w:noVBand="1" w:val="04A0"/>
      </w:tblPr>
      <w:tblGrid>
        <w:gridCol w:w="1054"/>
        <w:gridCol w:w="1054"/>
        <w:gridCol w:w="1054"/>
        <w:gridCol w:w="1054"/>
        <w:gridCol w:w="1054"/>
        <w:gridCol w:w="1054"/>
        <w:gridCol w:w="1054"/>
        <w:gridCol w:w="1054"/>
        <w:gridCol w:w="1054"/>
        <w:gridCol w:w="1054"/>
      </w:tblGrid>
      <w:tr>
        <w:tc>
          <w:tcPr>
            <w:tcW w:type="dxa" w:w="1054"/>
            <w:vAlign w:val="top"/>
            <w:shd w:fill="D9EAF7"/>
          </w:tcPr>
          <w:p>
            <w:pPr>
              <w:spacing w:after="0" w:line="240" w:lineRule="auto"/>
            </w:pPr>
            <w:r/>
            <w:r>
              <w:rPr>
                <w:b/>
                <w:sz w:val="16"/>
              </w:rPr>
              <w:t>Region</w:t>
            </w:r>
          </w:p>
        </w:tc>
        <w:tc>
          <w:tcPr>
            <w:tcW w:type="dxa" w:w="1054"/>
            <w:vAlign w:val="top"/>
            <w:shd w:fill="D9EAF7"/>
          </w:tcPr>
          <w:p>
            <w:pPr>
              <w:spacing w:after="0" w:line="240" w:lineRule="auto"/>
            </w:pPr>
            <w:r/>
            <w:r>
              <w:rPr>
                <w:b/>
                <w:sz w:val="16"/>
              </w:rPr>
              <w:t>Damodaran Industrial Benchmark</w:t>
            </w:r>
          </w:p>
        </w:tc>
        <w:tc>
          <w:tcPr>
            <w:tcW w:type="dxa" w:w="1054"/>
            <w:vAlign w:val="top"/>
            <w:shd w:fill="D9EAF7"/>
          </w:tcPr>
          <w:p>
            <w:pPr>
              <w:spacing w:after="0" w:line="240" w:lineRule="auto"/>
            </w:pPr>
            <w:r/>
            <w:r>
              <w:rPr>
                <w:b/>
                <w:sz w:val="16"/>
              </w:rPr>
              <w:t>Number of Firms</w:t>
            </w:r>
          </w:p>
        </w:tc>
        <w:tc>
          <w:tcPr>
            <w:tcW w:type="dxa" w:w="1054"/>
            <w:vAlign w:val="top"/>
            <w:shd w:fill="D9EAF7"/>
          </w:tcPr>
          <w:p>
            <w:pPr>
              <w:spacing w:after="0" w:line="240" w:lineRule="auto"/>
            </w:pPr>
            <w:r/>
            <w:r>
              <w:rPr>
                <w:b/>
                <w:sz w:val="16"/>
              </w:rPr>
              <w:t>Levered Beta</w:t>
            </w:r>
          </w:p>
        </w:tc>
        <w:tc>
          <w:tcPr>
            <w:tcW w:type="dxa" w:w="1054"/>
            <w:vAlign w:val="top"/>
            <w:shd w:fill="D9EAF7"/>
          </w:tcPr>
          <w:p>
            <w:pPr>
              <w:spacing w:after="0" w:line="240" w:lineRule="auto"/>
            </w:pPr>
            <w:r/>
            <w:r>
              <w:rPr>
                <w:b/>
                <w:sz w:val="16"/>
              </w:rPr>
              <w:t>Unlevered Beta</w:t>
            </w:r>
          </w:p>
        </w:tc>
        <w:tc>
          <w:tcPr>
            <w:tcW w:type="dxa" w:w="1054"/>
            <w:vAlign w:val="top"/>
            <w:shd w:fill="D9EAF7"/>
          </w:tcPr>
          <w:p>
            <w:pPr>
              <w:spacing w:after="0" w:line="240" w:lineRule="auto"/>
            </w:pPr>
            <w:r/>
            <w:r>
              <w:rPr>
                <w:b/>
                <w:sz w:val="16"/>
              </w:rPr>
              <w:t>Cash / Firm Value</w:t>
            </w:r>
          </w:p>
        </w:tc>
        <w:tc>
          <w:tcPr>
            <w:tcW w:type="dxa" w:w="1054"/>
            <w:vAlign w:val="top"/>
            <w:shd w:fill="D9EAF7"/>
          </w:tcPr>
          <w:p>
            <w:pPr>
              <w:spacing w:after="0" w:line="240" w:lineRule="auto"/>
            </w:pPr>
            <w:r/>
            <w:r>
              <w:rPr>
                <w:b/>
                <w:sz w:val="16"/>
              </w:rPr>
              <w:t>Cash-adjusted Unlevered Beta</w:t>
            </w:r>
          </w:p>
        </w:tc>
        <w:tc>
          <w:tcPr>
            <w:tcW w:type="dxa" w:w="1054"/>
            <w:vAlign w:val="top"/>
            <w:shd w:fill="D9EAF7"/>
          </w:tcPr>
          <w:p>
            <w:pPr>
              <w:spacing w:after="0" w:line="240" w:lineRule="auto"/>
            </w:pPr>
            <w:r/>
            <w:r>
              <w:rPr>
                <w:b/>
                <w:sz w:val="16"/>
              </w:rPr>
              <w:t>D/E Ratio</w:t>
            </w:r>
          </w:p>
        </w:tc>
        <w:tc>
          <w:tcPr>
            <w:tcW w:type="dxa" w:w="1054"/>
            <w:vAlign w:val="top"/>
            <w:shd w:fill="D9EAF7"/>
          </w:tcPr>
          <w:p>
            <w:pPr>
              <w:spacing w:after="0" w:line="240" w:lineRule="auto"/>
            </w:pPr>
            <w:r/>
            <w:r>
              <w:rPr>
                <w:b/>
                <w:sz w:val="16"/>
              </w:rPr>
              <w:t>Effective Tax Rate</w:t>
            </w:r>
          </w:p>
        </w:tc>
        <w:tc>
          <w:tcPr>
            <w:tcW w:type="dxa" w:w="1054"/>
            <w:vAlign w:val="top"/>
            <w:shd w:fill="D9EAF7"/>
          </w:tcPr>
          <w:p>
            <w:pPr>
              <w:spacing w:after="0" w:line="240" w:lineRule="auto"/>
            </w:pPr>
            <w:r/>
            <w:r>
              <w:rPr>
                <w:b/>
                <w:sz w:val="16"/>
              </w:rPr>
              <w:t>Status</w:t>
            </w:r>
          </w:p>
        </w:tc>
      </w:tr>
      <w:tr>
        <w:tc>
          <w:tcPr>
            <w:tcW w:type="dxa" w:w="1054"/>
            <w:vAlign w:val="top"/>
          </w:tcPr>
          <w:p>
            <w:pPr>
              <w:spacing w:after="0" w:line="240" w:lineRule="auto"/>
            </w:pPr>
            <w:r/>
            <w:r>
              <w:rPr>
                <w:b w:val="0"/>
                <w:sz w:val="15"/>
              </w:rPr>
              <w:t>Global</w:t>
            </w:r>
          </w:p>
        </w:tc>
        <w:tc>
          <w:tcPr>
            <w:tcW w:type="dxa" w:w="1054"/>
            <w:vAlign w:val="top"/>
          </w:tcPr>
          <w:p>
            <w:pPr>
              <w:spacing w:after="0" w:line="240" w:lineRule="auto"/>
            </w:pPr>
            <w:r/>
            <w:r>
              <w:rPr>
                <w:b w:val="0"/>
                <w:sz w:val="15"/>
              </w:rPr>
              <w:t>Software (System &amp; Application)</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Calculated/imported</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OK / Manual Required</w:t>
            </w:r>
          </w:p>
        </w:tc>
      </w:tr>
      <w:tr>
        <w:tc>
          <w:tcPr>
            <w:tcW w:type="dxa" w:w="1054"/>
            <w:vAlign w:val="top"/>
          </w:tcPr>
          <w:p>
            <w:pPr>
              <w:spacing w:after="0" w:line="240" w:lineRule="auto"/>
            </w:pPr>
            <w:r/>
            <w:r>
              <w:rPr>
                <w:b w:val="0"/>
                <w:sz w:val="15"/>
              </w:rPr>
              <w:t>Global</w:t>
            </w:r>
          </w:p>
        </w:tc>
        <w:tc>
          <w:tcPr>
            <w:tcW w:type="dxa" w:w="1054"/>
            <w:vAlign w:val="top"/>
          </w:tcPr>
          <w:p>
            <w:pPr>
              <w:spacing w:after="0" w:line="240" w:lineRule="auto"/>
            </w:pPr>
            <w:r/>
            <w:r>
              <w:rPr>
                <w:b w:val="0"/>
                <w:sz w:val="15"/>
              </w:rPr>
              <w:t>Machinery</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Calculated/imported</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OK / Manual Required</w:t>
            </w:r>
          </w:p>
        </w:tc>
      </w:tr>
      <w:tr>
        <w:tc>
          <w:tcPr>
            <w:tcW w:type="dxa" w:w="1054"/>
            <w:vAlign w:val="top"/>
          </w:tcPr>
          <w:p>
            <w:pPr>
              <w:spacing w:after="0" w:line="240" w:lineRule="auto"/>
            </w:pPr>
            <w:r/>
            <w:r>
              <w:rPr>
                <w:b w:val="0"/>
                <w:sz w:val="15"/>
              </w:rPr>
              <w:t>Global</w:t>
            </w:r>
          </w:p>
        </w:tc>
        <w:tc>
          <w:tcPr>
            <w:tcW w:type="dxa" w:w="1054"/>
            <w:vAlign w:val="top"/>
          </w:tcPr>
          <w:p>
            <w:pPr>
              <w:spacing w:after="0" w:line="240" w:lineRule="auto"/>
            </w:pPr>
            <w:r/>
            <w:r>
              <w:rPr>
                <w:b w:val="0"/>
                <w:sz w:val="15"/>
              </w:rPr>
              <w:t>Restaurant/Dining</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Calculated/imported</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Imported numeric value</w:t>
            </w:r>
          </w:p>
        </w:tc>
        <w:tc>
          <w:tcPr>
            <w:tcW w:type="dxa" w:w="1054"/>
            <w:vAlign w:val="top"/>
          </w:tcPr>
          <w:p>
            <w:pPr>
              <w:spacing w:after="0" w:line="240" w:lineRule="auto"/>
            </w:pPr>
            <w:r/>
            <w:r>
              <w:rPr>
                <w:b w:val="0"/>
                <w:sz w:val="15"/>
              </w:rPr>
              <w:t>OK / Manual Required</w:t>
            </w:r>
          </w:p>
        </w:tc>
      </w:tr>
    </w:tbl>
    <w:p/>
    <w:p>
      <w:pPr>
        <w:pStyle w:val="TableTitle"/>
      </w:pPr>
      <w:r>
        <w:rPr>
          <w:b/>
        </w:rPr>
        <w:t>Table - tblSelectedBetaLogic</w:t>
      </w:r>
    </w:p>
    <w:tbl>
      <w:tblPr>
        <w:tblStyle w:val="TableGrid"/>
        <w:tblW w:type="auto" w:w="0"/>
        <w:jc w:val="center"/>
        <w:tblLayout w:type="autofit"/>
        <w:tblLook w:firstColumn="1" w:firstRow="1" w:lastColumn="0" w:lastRow="0" w:noHBand="0" w:noVBand="1" w:val="04A0"/>
      </w:tblPr>
      <w:tblGrid>
        <w:gridCol w:w="1757"/>
        <w:gridCol w:w="1757"/>
        <w:gridCol w:w="1757"/>
        <w:gridCol w:w="1757"/>
        <w:gridCol w:w="1757"/>
        <w:gridCol w:w="1757"/>
      </w:tblGrid>
      <w:tr>
        <w:tc>
          <w:tcPr>
            <w:tcW w:type="dxa" w:w="1757"/>
            <w:vAlign w:val="top"/>
            <w:shd w:fill="D9EAF7"/>
          </w:tcPr>
          <w:p>
            <w:pPr>
              <w:spacing w:after="0" w:line="240" w:lineRule="auto"/>
            </w:pPr>
            <w:r/>
            <w:r>
              <w:rPr>
                <w:b/>
                <w:sz w:val="16"/>
              </w:rPr>
              <w:t>Rule ID</w:t>
            </w:r>
          </w:p>
        </w:tc>
        <w:tc>
          <w:tcPr>
            <w:tcW w:type="dxa" w:w="1757"/>
            <w:vAlign w:val="top"/>
            <w:shd w:fill="D9EAF7"/>
          </w:tcPr>
          <w:p>
            <w:pPr>
              <w:spacing w:after="0" w:line="240" w:lineRule="auto"/>
            </w:pPr>
            <w:r/>
            <w:r>
              <w:rPr>
                <w:b/>
                <w:sz w:val="16"/>
              </w:rPr>
              <w:t>Rule</w:t>
            </w:r>
          </w:p>
        </w:tc>
        <w:tc>
          <w:tcPr>
            <w:tcW w:type="dxa" w:w="1757"/>
            <w:vAlign w:val="top"/>
            <w:shd w:fill="D9EAF7"/>
          </w:tcPr>
          <w:p>
            <w:pPr>
              <w:spacing w:after="0" w:line="240" w:lineRule="auto"/>
            </w:pPr>
            <w:r/>
            <w:r>
              <w:rPr>
                <w:b/>
                <w:sz w:val="16"/>
              </w:rPr>
              <w:t>Default Behavior</w:t>
            </w:r>
          </w:p>
        </w:tc>
        <w:tc>
          <w:tcPr>
            <w:tcW w:type="dxa" w:w="1757"/>
            <w:vAlign w:val="top"/>
            <w:shd w:fill="D9EAF7"/>
          </w:tcPr>
          <w:p>
            <w:pPr>
              <w:spacing w:after="0" w:line="240" w:lineRule="auto"/>
            </w:pPr>
            <w:r/>
            <w:r>
              <w:rPr>
                <w:b/>
                <w:sz w:val="16"/>
              </w:rPr>
              <w:t>Review Condition</w:t>
            </w:r>
          </w:p>
        </w:tc>
        <w:tc>
          <w:tcPr>
            <w:tcW w:type="dxa" w:w="1757"/>
            <w:vAlign w:val="top"/>
            <w:shd w:fill="D9EAF7"/>
          </w:tcPr>
          <w:p>
            <w:pPr>
              <w:spacing w:after="0" w:line="240" w:lineRule="auto"/>
            </w:pPr>
            <w:r/>
            <w:r>
              <w:rPr>
                <w:b/>
                <w:sz w:val="16"/>
              </w:rPr>
              <w:t>Status</w:t>
            </w:r>
          </w:p>
        </w:tc>
        <w:tc>
          <w:tcPr>
            <w:tcW w:type="dxa" w:w="1757"/>
            <w:vAlign w:val="top"/>
            <w:shd w:fill="D9EAF7"/>
          </w:tcPr>
          <w:p>
            <w:pPr>
              <w:spacing w:after="0" w:line="240" w:lineRule="auto"/>
            </w:pPr>
            <w:r/>
            <w:r>
              <w:rPr>
                <w:b/>
                <w:sz w:val="16"/>
              </w:rPr>
              <w:t>Notes</w:t>
            </w:r>
          </w:p>
        </w:tc>
      </w:tr>
      <w:tr>
        <w:tc>
          <w:tcPr>
            <w:tcW w:type="dxa" w:w="1757"/>
            <w:vAlign w:val="top"/>
          </w:tcPr>
          <w:p>
            <w:pPr>
              <w:spacing w:after="0" w:line="240" w:lineRule="auto"/>
            </w:pPr>
            <w:r/>
            <w:r>
              <w:rPr>
                <w:b w:val="0"/>
                <w:sz w:val="15"/>
              </w:rPr>
              <w:t>BETA-SEL-001</w:t>
            </w:r>
          </w:p>
        </w:tc>
        <w:tc>
          <w:tcPr>
            <w:tcW w:type="dxa" w:w="1757"/>
            <w:vAlign w:val="top"/>
          </w:tcPr>
          <w:p>
            <w:pPr>
              <w:spacing w:after="0" w:line="240" w:lineRule="auto"/>
            </w:pPr>
            <w:r/>
            <w:r>
              <w:rPr>
                <w:b w:val="0"/>
                <w:sz w:val="15"/>
              </w:rPr>
              <w:t>Manual Current Beta Override</w:t>
            </w:r>
          </w:p>
        </w:tc>
        <w:tc>
          <w:tcPr>
            <w:tcW w:type="dxa" w:w="1757"/>
            <w:vAlign w:val="top"/>
          </w:tcPr>
          <w:p>
            <w:pPr>
              <w:spacing w:after="0" w:line="240" w:lineRule="auto"/>
            </w:pPr>
            <w:r/>
            <w:r>
              <w:rPr>
                <w:b w:val="0"/>
                <w:sz w:val="15"/>
              </w:rPr>
              <w:t>If filled, Selected Current Beta uses it.</w:t>
            </w:r>
          </w:p>
        </w:tc>
        <w:tc>
          <w:tcPr>
            <w:tcW w:type="dxa" w:w="1757"/>
            <w:vAlign w:val="top"/>
          </w:tcPr>
          <w:p>
            <w:pPr>
              <w:spacing w:after="0" w:line="240" w:lineRule="auto"/>
            </w:pPr>
            <w:r/>
            <w:r>
              <w:rPr>
                <w:b w:val="0"/>
                <w:sz w:val="15"/>
              </w:rPr>
              <w:t>Override requires visible note/review.</w:t>
            </w:r>
          </w:p>
        </w:tc>
        <w:tc>
          <w:tcPr>
            <w:tcW w:type="dxa" w:w="1757"/>
            <w:vAlign w:val="top"/>
          </w:tcPr>
          <w:p>
            <w:pPr>
              <w:spacing w:after="0" w:line="240" w:lineRule="auto"/>
            </w:pPr>
            <w:r/>
            <w:r>
              <w:rPr>
                <w:b w:val="0"/>
                <w:sz w:val="15"/>
              </w:rPr>
              <w:t>Active</w:t>
            </w:r>
          </w:p>
        </w:tc>
        <w:tc>
          <w:tcPr>
            <w:tcW w:type="dxa" w:w="1757"/>
            <w:vAlign w:val="top"/>
          </w:tcPr>
          <w:p>
            <w:pPr>
              <w:spacing w:after="0" w:line="240" w:lineRule="auto"/>
            </w:pPr>
            <w:r/>
            <w:r>
              <w:rPr>
                <w:b w:val="0"/>
                <w:sz w:val="15"/>
              </w:rPr>
              <w:t>Manual overrides must not be hidden plugs.</w:t>
            </w:r>
          </w:p>
        </w:tc>
      </w:tr>
      <w:tr>
        <w:tc>
          <w:tcPr>
            <w:tcW w:type="dxa" w:w="1757"/>
            <w:vAlign w:val="top"/>
          </w:tcPr>
          <w:p>
            <w:pPr>
              <w:spacing w:after="0" w:line="240" w:lineRule="auto"/>
            </w:pPr>
            <w:r/>
            <w:r>
              <w:rPr>
                <w:b w:val="0"/>
                <w:sz w:val="15"/>
              </w:rPr>
              <w:t>BETA-SEL-002</w:t>
            </w:r>
          </w:p>
        </w:tc>
        <w:tc>
          <w:tcPr>
            <w:tcW w:type="dxa" w:w="1757"/>
            <w:vAlign w:val="top"/>
          </w:tcPr>
          <w:p>
            <w:pPr>
              <w:spacing w:after="0" w:line="240" w:lineRule="auto"/>
            </w:pPr>
            <w:r/>
            <w:r>
              <w:rPr>
                <w:b w:val="0"/>
                <w:sz w:val="15"/>
              </w:rPr>
              <w:t>Regression/User Beta for Current Beta</w:t>
            </w:r>
          </w:p>
        </w:tc>
        <w:tc>
          <w:tcPr>
            <w:tcW w:type="dxa" w:w="1757"/>
            <w:vAlign w:val="top"/>
          </w:tcPr>
          <w:p>
            <w:pPr>
              <w:spacing w:after="0" w:line="240" w:lineRule="auto"/>
            </w:pPr>
            <w:r/>
            <w:r>
              <w:rPr>
                <w:b w:val="0"/>
                <w:sz w:val="15"/>
              </w:rPr>
              <w:t>If no manual current override and regression/user beta acceptable, use it.</w:t>
            </w:r>
          </w:p>
        </w:tc>
        <w:tc>
          <w:tcPr>
            <w:tcW w:type="dxa" w:w="1757"/>
            <w:vAlign w:val="top"/>
          </w:tcPr>
          <w:p>
            <w:pPr>
              <w:spacing w:after="0" w:line="240" w:lineRule="auto"/>
            </w:pPr>
            <w:r/>
            <w:r>
              <w:rPr>
                <w:b w:val="0"/>
                <w:sz w:val="15"/>
              </w:rPr>
              <w:t>Weak/missing regression beta flagged.</w:t>
            </w:r>
          </w:p>
        </w:tc>
        <w:tc>
          <w:tcPr>
            <w:tcW w:type="dxa" w:w="1757"/>
            <w:vAlign w:val="top"/>
          </w:tcPr>
          <w:p>
            <w:pPr>
              <w:spacing w:after="0" w:line="240" w:lineRule="auto"/>
            </w:pPr>
            <w:r/>
            <w:r>
              <w:rPr>
                <w:b w:val="0"/>
                <w:sz w:val="15"/>
              </w:rPr>
              <w:t>Active</w:t>
            </w:r>
          </w:p>
        </w:tc>
        <w:tc>
          <w:tcPr>
            <w:tcW w:type="dxa" w:w="1757"/>
            <w:vAlign w:val="top"/>
          </w:tcPr>
          <w:p>
            <w:pPr>
              <w:spacing w:after="0" w:line="240" w:lineRule="auto"/>
            </w:pPr>
            <w:r/>
            <w:r>
              <w:rPr>
                <w:b w:val="0"/>
                <w:sz w:val="15"/>
              </w:rPr>
              <w:t>Current market beta may be relevant for current WACC.</w:t>
            </w:r>
          </w:p>
        </w:tc>
      </w:tr>
      <w:tr>
        <w:tc>
          <w:tcPr>
            <w:tcW w:type="dxa" w:w="1757"/>
            <w:vAlign w:val="top"/>
          </w:tcPr>
          <w:p>
            <w:pPr>
              <w:spacing w:after="0" w:line="240" w:lineRule="auto"/>
            </w:pPr>
            <w:r/>
            <w:r>
              <w:rPr>
                <w:b w:val="0"/>
                <w:sz w:val="15"/>
              </w:rPr>
              <w:t>BETA-SEL-003</w:t>
            </w:r>
          </w:p>
        </w:tc>
        <w:tc>
          <w:tcPr>
            <w:tcW w:type="dxa" w:w="1757"/>
            <w:vAlign w:val="top"/>
          </w:tcPr>
          <w:p>
            <w:pPr>
              <w:spacing w:after="0" w:line="240" w:lineRule="auto"/>
            </w:pPr>
            <w:r/>
            <w:r>
              <w:rPr>
                <w:b w:val="0"/>
                <w:sz w:val="15"/>
              </w:rPr>
              <w:t>Bottom-up beta fallback/current support</w:t>
            </w:r>
          </w:p>
        </w:tc>
        <w:tc>
          <w:tcPr>
            <w:tcW w:type="dxa" w:w="1757"/>
            <w:vAlign w:val="top"/>
          </w:tcPr>
          <w:p>
            <w:pPr>
              <w:spacing w:after="0" w:line="240" w:lineRule="auto"/>
            </w:pPr>
            <w:r/>
            <w:r>
              <w:rPr>
                <w:b w:val="0"/>
                <w:sz w:val="15"/>
              </w:rPr>
              <w:t>If regression beta missing/weak, bottom-up beta can support current beta.</w:t>
            </w:r>
          </w:p>
        </w:tc>
        <w:tc>
          <w:tcPr>
            <w:tcW w:type="dxa" w:w="1757"/>
            <w:vAlign w:val="top"/>
          </w:tcPr>
          <w:p>
            <w:pPr>
              <w:spacing w:after="0" w:line="240" w:lineRule="auto"/>
            </w:pPr>
            <w:r/>
            <w:r>
              <w:rPr>
                <w:b w:val="0"/>
                <w:sz w:val="15"/>
              </w:rPr>
              <w:t>Large gap vs regression beta triggers review.</w:t>
            </w:r>
          </w:p>
        </w:tc>
        <w:tc>
          <w:tcPr>
            <w:tcW w:type="dxa" w:w="1757"/>
            <w:vAlign w:val="top"/>
          </w:tcPr>
          <w:p>
            <w:pPr>
              <w:spacing w:after="0" w:line="240" w:lineRule="auto"/>
            </w:pPr>
            <w:r/>
            <w:r>
              <w:rPr>
                <w:b w:val="0"/>
                <w:sz w:val="15"/>
              </w:rPr>
              <w:t>Active</w:t>
            </w:r>
          </w:p>
        </w:tc>
        <w:tc>
          <w:tcPr>
            <w:tcW w:type="dxa" w:w="1757"/>
            <w:vAlign w:val="top"/>
          </w:tcPr>
          <w:p>
            <w:pPr>
              <w:spacing w:after="0" w:line="240" w:lineRule="auto"/>
            </w:pPr>
            <w:r/>
            <w:r>
              <w:rPr>
                <w:b w:val="0"/>
                <w:sz w:val="15"/>
              </w:rPr>
              <w:t>Do not assume bottom-up beta is automatically superior.</w:t>
            </w:r>
          </w:p>
        </w:tc>
      </w:tr>
      <w:tr>
        <w:tc>
          <w:tcPr>
            <w:tcW w:type="dxa" w:w="1757"/>
            <w:vAlign w:val="top"/>
          </w:tcPr>
          <w:p>
            <w:pPr>
              <w:spacing w:after="0" w:line="240" w:lineRule="auto"/>
            </w:pPr>
            <w:r/>
            <w:r>
              <w:rPr>
                <w:b w:val="0"/>
                <w:sz w:val="15"/>
              </w:rPr>
              <w:t>BETA-SEL-004</w:t>
            </w:r>
          </w:p>
        </w:tc>
        <w:tc>
          <w:tcPr>
            <w:tcW w:type="dxa" w:w="1757"/>
            <w:vAlign w:val="top"/>
          </w:tcPr>
          <w:p>
            <w:pPr>
              <w:spacing w:after="0" w:line="240" w:lineRule="auto"/>
            </w:pPr>
            <w:r/>
            <w:r>
              <w:rPr>
                <w:b w:val="0"/>
                <w:sz w:val="15"/>
              </w:rPr>
              <w:t>Manual Stable Beta Override</w:t>
            </w:r>
          </w:p>
        </w:tc>
        <w:tc>
          <w:tcPr>
            <w:tcW w:type="dxa" w:w="1757"/>
            <w:vAlign w:val="top"/>
          </w:tcPr>
          <w:p>
            <w:pPr>
              <w:spacing w:after="0" w:line="240" w:lineRule="auto"/>
            </w:pPr>
            <w:r/>
            <w:r>
              <w:rPr>
                <w:b w:val="0"/>
                <w:sz w:val="15"/>
              </w:rPr>
              <w:t>If filled, Selected Stable Beta uses it.</w:t>
            </w:r>
          </w:p>
        </w:tc>
        <w:tc>
          <w:tcPr>
            <w:tcW w:type="dxa" w:w="1757"/>
            <w:vAlign w:val="top"/>
          </w:tcPr>
          <w:p>
            <w:pPr>
              <w:spacing w:after="0" w:line="240" w:lineRule="auto"/>
            </w:pPr>
            <w:r/>
            <w:r>
              <w:rPr>
                <w:b w:val="0"/>
                <w:sz w:val="15"/>
              </w:rPr>
              <w:t>Override requires visible note/review.</w:t>
            </w:r>
          </w:p>
        </w:tc>
        <w:tc>
          <w:tcPr>
            <w:tcW w:type="dxa" w:w="1757"/>
            <w:vAlign w:val="top"/>
          </w:tcPr>
          <w:p>
            <w:pPr>
              <w:spacing w:after="0" w:line="240" w:lineRule="auto"/>
            </w:pPr>
            <w:r/>
            <w:r>
              <w:rPr>
                <w:b w:val="0"/>
                <w:sz w:val="15"/>
              </w:rPr>
              <w:t>Active</w:t>
            </w:r>
          </w:p>
        </w:tc>
        <w:tc>
          <w:tcPr>
            <w:tcW w:type="dxa" w:w="1757"/>
            <w:vAlign w:val="top"/>
          </w:tcPr>
          <w:p>
            <w:pPr>
              <w:spacing w:after="0" w:line="240" w:lineRule="auto"/>
            </w:pPr>
            <w:r/>
            <w:r>
              <w:rPr>
                <w:b w:val="0"/>
                <w:sz w:val="15"/>
              </w:rPr>
              <w:t>Stable beta is separate from current beta.</w:t>
            </w:r>
          </w:p>
        </w:tc>
      </w:tr>
      <w:tr>
        <w:tc>
          <w:tcPr>
            <w:tcW w:type="dxa" w:w="1757"/>
            <w:vAlign w:val="top"/>
          </w:tcPr>
          <w:p>
            <w:pPr>
              <w:spacing w:after="0" w:line="240" w:lineRule="auto"/>
            </w:pPr>
            <w:r/>
            <w:r>
              <w:rPr>
                <w:b w:val="0"/>
                <w:sz w:val="15"/>
              </w:rPr>
              <w:t>BETA-SEL-005</w:t>
            </w:r>
          </w:p>
        </w:tc>
        <w:tc>
          <w:tcPr>
            <w:tcW w:type="dxa" w:w="1757"/>
            <w:vAlign w:val="top"/>
          </w:tcPr>
          <w:p>
            <w:pPr>
              <w:spacing w:after="0" w:line="240" w:lineRule="auto"/>
            </w:pPr>
            <w:r/>
            <w:r>
              <w:rPr>
                <w:b w:val="0"/>
                <w:sz w:val="15"/>
              </w:rPr>
              <w:t>Bottom-up Beta for Stable Beta</w:t>
            </w:r>
          </w:p>
        </w:tc>
        <w:tc>
          <w:tcPr>
            <w:tcW w:type="dxa" w:w="1757"/>
            <w:vAlign w:val="top"/>
          </w:tcPr>
          <w:p>
            <w:pPr>
              <w:spacing w:after="0" w:line="240" w:lineRule="auto"/>
            </w:pPr>
            <w:r/>
            <w:r>
              <w:rPr>
                <w:b w:val="0"/>
                <w:sz w:val="15"/>
              </w:rPr>
              <w:t>If no stable override, use bottom-up beta where available.</w:t>
            </w:r>
          </w:p>
        </w:tc>
        <w:tc>
          <w:tcPr>
            <w:tcW w:type="dxa" w:w="1757"/>
            <w:vAlign w:val="top"/>
          </w:tcPr>
          <w:p>
            <w:pPr>
              <w:spacing w:after="0" w:line="240" w:lineRule="auto"/>
            </w:pPr>
            <w:r/>
            <w:r>
              <w:rPr>
                <w:b w:val="0"/>
                <w:sz w:val="15"/>
              </w:rPr>
              <w:t>Missing stable beta triggers review.</w:t>
            </w:r>
          </w:p>
        </w:tc>
        <w:tc>
          <w:tcPr>
            <w:tcW w:type="dxa" w:w="1757"/>
            <w:vAlign w:val="top"/>
          </w:tcPr>
          <w:p>
            <w:pPr>
              <w:spacing w:after="0" w:line="240" w:lineRule="auto"/>
            </w:pPr>
            <w:r/>
            <w:r>
              <w:rPr>
                <w:b w:val="0"/>
                <w:sz w:val="15"/>
              </w:rPr>
              <w:t>Active</w:t>
            </w:r>
          </w:p>
        </w:tc>
        <w:tc>
          <w:tcPr>
            <w:tcW w:type="dxa" w:w="1757"/>
            <w:vAlign w:val="top"/>
          </w:tcPr>
          <w:p>
            <w:pPr>
              <w:spacing w:after="0" w:line="240" w:lineRule="auto"/>
            </w:pPr>
            <w:r/>
            <w:r>
              <w:rPr>
                <w:b w:val="0"/>
                <w:sz w:val="15"/>
              </w:rPr>
              <w:t>Stable beta normally benchmark-driven.</w:t>
            </w:r>
          </w:p>
        </w:tc>
      </w:tr>
      <w:tr>
        <w:tc>
          <w:tcPr>
            <w:tcW w:type="dxa" w:w="1757"/>
            <w:vAlign w:val="top"/>
          </w:tcPr>
          <w:p>
            <w:pPr>
              <w:spacing w:after="0" w:line="240" w:lineRule="auto"/>
            </w:pPr>
            <w:r/>
            <w:r>
              <w:rPr>
                <w:b w:val="0"/>
                <w:sz w:val="15"/>
              </w:rPr>
              <w:t>BETA-SEL-006</w:t>
            </w:r>
          </w:p>
        </w:tc>
        <w:tc>
          <w:tcPr>
            <w:tcW w:type="dxa" w:w="1757"/>
            <w:vAlign w:val="top"/>
          </w:tcPr>
          <w:p>
            <w:pPr>
              <w:spacing w:after="0" w:line="240" w:lineRule="auto"/>
            </w:pPr>
            <w:r/>
            <w:r>
              <w:rPr>
                <w:b w:val="0"/>
                <w:sz w:val="15"/>
              </w:rPr>
              <w:t>Fallback to Selected Current Beta</w:t>
            </w:r>
          </w:p>
        </w:tc>
        <w:tc>
          <w:tcPr>
            <w:tcW w:type="dxa" w:w="1757"/>
            <w:vAlign w:val="top"/>
          </w:tcPr>
          <w:p>
            <w:pPr>
              <w:spacing w:after="0" w:line="240" w:lineRule="auto"/>
            </w:pPr>
            <w:r/>
            <w:r>
              <w:rPr>
                <w:b w:val="0"/>
                <w:sz w:val="15"/>
              </w:rPr>
              <w:t>Stable beta may fall back to current beta only if data quality supports it.</w:t>
            </w:r>
          </w:p>
        </w:tc>
        <w:tc>
          <w:tcPr>
            <w:tcW w:type="dxa" w:w="1757"/>
            <w:vAlign w:val="top"/>
          </w:tcPr>
          <w:p>
            <w:pPr>
              <w:spacing w:after="0" w:line="240" w:lineRule="auto"/>
            </w:pPr>
            <w:r/>
            <w:r>
              <w:rPr>
                <w:b w:val="0"/>
                <w:sz w:val="15"/>
              </w:rPr>
              <w:t>Fallback without explanation triggers review.</w:t>
            </w:r>
          </w:p>
        </w:tc>
        <w:tc>
          <w:tcPr>
            <w:tcW w:type="dxa" w:w="1757"/>
            <w:vAlign w:val="top"/>
          </w:tcPr>
          <w:p>
            <w:pPr>
              <w:spacing w:after="0" w:line="240" w:lineRule="auto"/>
            </w:pPr>
            <w:r/>
            <w:r>
              <w:rPr>
                <w:b w:val="0"/>
                <w:sz w:val="15"/>
              </w:rPr>
              <w:t>Active</w:t>
            </w:r>
          </w:p>
        </w:tc>
        <w:tc>
          <w:tcPr>
            <w:tcW w:type="dxa" w:w="1757"/>
            <w:vAlign w:val="top"/>
          </w:tcPr>
          <w:p>
            <w:pPr>
              <w:spacing w:after="0" w:line="240" w:lineRule="auto"/>
            </w:pPr>
            <w:r/>
            <w:r>
              <w:rPr>
                <w:b w:val="0"/>
                <w:sz w:val="15"/>
              </w:rPr>
              <w:t>Not automatic in weak-data cases.</w:t>
            </w:r>
          </w:p>
        </w:tc>
      </w:tr>
      <w:tr>
        <w:tc>
          <w:tcPr>
            <w:tcW w:type="dxa" w:w="1757"/>
            <w:vAlign w:val="top"/>
          </w:tcPr>
          <w:p>
            <w:pPr>
              <w:spacing w:after="0" w:line="240" w:lineRule="auto"/>
            </w:pPr>
            <w:r/>
            <w:r>
              <w:rPr>
                <w:b w:val="0"/>
                <w:sz w:val="15"/>
              </w:rPr>
              <w:t>BETA-SEL-007</w:t>
            </w:r>
          </w:p>
        </w:tc>
        <w:tc>
          <w:tcPr>
            <w:tcW w:type="dxa" w:w="1757"/>
            <w:vAlign w:val="top"/>
          </w:tcPr>
          <w:p>
            <w:pPr>
              <w:spacing w:after="0" w:line="240" w:lineRule="auto"/>
            </w:pPr>
            <w:r/>
            <w:r>
              <w:rPr>
                <w:b w:val="0"/>
                <w:sz w:val="15"/>
              </w:rPr>
              <w:t>Large beta gap</w:t>
            </w:r>
          </w:p>
        </w:tc>
        <w:tc>
          <w:tcPr>
            <w:tcW w:type="dxa" w:w="1757"/>
            <w:vAlign w:val="top"/>
          </w:tcPr>
          <w:p>
            <w:pPr>
              <w:spacing w:after="0" w:line="240" w:lineRule="auto"/>
            </w:pPr>
            <w:r/>
            <w:r>
              <w:rPr>
                <w:b w:val="0"/>
                <w:sz w:val="15"/>
              </w:rPr>
              <w:t>If regression/user beta and bottom-up beta differ materially, flag review.</w:t>
            </w:r>
          </w:p>
        </w:tc>
        <w:tc>
          <w:tcPr>
            <w:tcW w:type="dxa" w:w="1757"/>
            <w:vAlign w:val="top"/>
          </w:tcPr>
          <w:p>
            <w:pPr>
              <w:spacing w:after="0" w:line="240" w:lineRule="auto"/>
            </w:pPr>
            <w:r/>
            <w:r>
              <w:rPr>
                <w:b w:val="0"/>
                <w:sz w:val="15"/>
              </w:rPr>
              <w:t>Default placeholder threshold absolute gap &gt; 0.30.</w:t>
            </w:r>
          </w:p>
        </w:tc>
        <w:tc>
          <w:tcPr>
            <w:tcW w:type="dxa" w:w="1757"/>
            <w:vAlign w:val="top"/>
          </w:tcPr>
          <w:p>
            <w:pPr>
              <w:spacing w:after="0" w:line="240" w:lineRule="auto"/>
            </w:pPr>
            <w:r/>
            <w:r>
              <w:rPr>
                <w:b w:val="0"/>
                <w:sz w:val="15"/>
              </w:rPr>
              <w:t>Active</w:t>
            </w:r>
          </w:p>
        </w:tc>
        <w:tc>
          <w:tcPr>
            <w:tcW w:type="dxa" w:w="1757"/>
            <w:vAlign w:val="top"/>
          </w:tcPr>
          <w:p>
            <w:pPr>
              <w:spacing w:after="0" w:line="240" w:lineRule="auto"/>
            </w:pPr>
            <w:r/>
            <w:r>
              <w:rPr>
                <w:b w:val="0"/>
                <w:sz w:val="15"/>
              </w:rPr>
              <w:t>Threshold can be calibrated later.</w:t>
            </w:r>
          </w:p>
        </w:tc>
      </w:tr>
    </w:tbl>
    <w:p/>
    <w:p>
      <w:pPr>
        <w:pStyle w:val="TableTitle"/>
      </w:pPr>
      <w:r>
        <w:rPr>
          <w:b/>
        </w:rPr>
        <w:t>Table - tblBetaQualityRules</w:t>
      </w:r>
    </w:p>
    <w:tbl>
      <w:tblPr>
        <w:tblStyle w:val="TableGrid"/>
        <w:tblW w:type="auto" w:w="0"/>
        <w:jc w:val="center"/>
        <w:tblLayout w:type="autofit"/>
        <w:tblLook w:firstColumn="1" w:firstRow="1" w:lastColumn="0" w:lastRow="0" w:noHBand="0" w:noVBand="1" w:val="04A0"/>
      </w:tblPr>
      <w:tblGrid>
        <w:gridCol w:w="1757"/>
        <w:gridCol w:w="1757"/>
        <w:gridCol w:w="1757"/>
        <w:gridCol w:w="1757"/>
        <w:gridCol w:w="1757"/>
        <w:gridCol w:w="1757"/>
      </w:tblGrid>
      <w:tr>
        <w:tc>
          <w:tcPr>
            <w:tcW w:type="dxa" w:w="1757"/>
            <w:vAlign w:val="top"/>
            <w:shd w:fill="D9EAF7"/>
          </w:tcPr>
          <w:p>
            <w:pPr>
              <w:spacing w:after="0" w:line="240" w:lineRule="auto"/>
            </w:pPr>
            <w:r/>
            <w:r>
              <w:rPr>
                <w:b/>
                <w:sz w:val="16"/>
              </w:rPr>
              <w:t>Quality Rule ID</w:t>
            </w:r>
          </w:p>
        </w:tc>
        <w:tc>
          <w:tcPr>
            <w:tcW w:type="dxa" w:w="1757"/>
            <w:vAlign w:val="top"/>
            <w:shd w:fill="D9EAF7"/>
          </w:tcPr>
          <w:p>
            <w:pPr>
              <w:spacing w:after="0" w:line="240" w:lineRule="auto"/>
            </w:pPr>
            <w:r/>
            <w:r>
              <w:rPr>
                <w:b/>
                <w:sz w:val="16"/>
              </w:rPr>
              <w:t>Metric / Check</w:t>
            </w:r>
          </w:p>
        </w:tc>
        <w:tc>
          <w:tcPr>
            <w:tcW w:type="dxa" w:w="1757"/>
            <w:vAlign w:val="top"/>
            <w:shd w:fill="D9EAF7"/>
          </w:tcPr>
          <w:p>
            <w:pPr>
              <w:spacing w:after="0" w:line="240" w:lineRule="auto"/>
            </w:pPr>
            <w:r/>
            <w:r>
              <w:rPr>
                <w:b/>
                <w:sz w:val="16"/>
              </w:rPr>
              <w:t>Strong</w:t>
            </w:r>
          </w:p>
        </w:tc>
        <w:tc>
          <w:tcPr>
            <w:tcW w:type="dxa" w:w="1757"/>
            <w:vAlign w:val="top"/>
            <w:shd w:fill="D9EAF7"/>
          </w:tcPr>
          <w:p>
            <w:pPr>
              <w:spacing w:after="0" w:line="240" w:lineRule="auto"/>
            </w:pPr>
            <w:r/>
            <w:r>
              <w:rPr>
                <w:b/>
                <w:sz w:val="16"/>
              </w:rPr>
              <w:t>Acceptable</w:t>
            </w:r>
          </w:p>
        </w:tc>
        <w:tc>
          <w:tcPr>
            <w:tcW w:type="dxa" w:w="1757"/>
            <w:vAlign w:val="top"/>
            <w:shd w:fill="D9EAF7"/>
          </w:tcPr>
          <w:p>
            <w:pPr>
              <w:spacing w:after="0" w:line="240" w:lineRule="auto"/>
            </w:pPr>
            <w:r/>
            <w:r>
              <w:rPr>
                <w:b/>
                <w:sz w:val="16"/>
              </w:rPr>
              <w:t>Weak / Review</w:t>
            </w:r>
          </w:p>
        </w:tc>
        <w:tc>
          <w:tcPr>
            <w:tcW w:type="dxa" w:w="1757"/>
            <w:vAlign w:val="top"/>
            <w:shd w:fill="D9EAF7"/>
          </w:tcPr>
          <w:p>
            <w:pPr>
              <w:spacing w:after="0" w:line="240" w:lineRule="auto"/>
            </w:pPr>
            <w:r/>
            <w:r>
              <w:rPr>
                <w:b/>
                <w:sz w:val="16"/>
              </w:rPr>
              <w:t>Action</w:t>
            </w:r>
          </w:p>
        </w:tc>
      </w:tr>
      <w:tr>
        <w:tc>
          <w:tcPr>
            <w:tcW w:type="dxa" w:w="1757"/>
            <w:vAlign w:val="top"/>
          </w:tcPr>
          <w:p>
            <w:pPr>
              <w:spacing w:after="0" w:line="240" w:lineRule="auto"/>
            </w:pPr>
            <w:r/>
            <w:r>
              <w:rPr>
                <w:b w:val="0"/>
                <w:sz w:val="15"/>
              </w:rPr>
              <w:t>BETA-Q-001</w:t>
            </w:r>
          </w:p>
        </w:tc>
        <w:tc>
          <w:tcPr>
            <w:tcW w:type="dxa" w:w="1757"/>
            <w:vAlign w:val="top"/>
          </w:tcPr>
          <w:p>
            <w:pPr>
              <w:spacing w:after="0" w:line="240" w:lineRule="auto"/>
            </w:pPr>
            <w:r/>
            <w:r>
              <w:rPr>
                <w:b w:val="0"/>
                <w:sz w:val="15"/>
              </w:rPr>
              <w:t>Regression/User Beta availability</w:t>
            </w:r>
          </w:p>
        </w:tc>
        <w:tc>
          <w:tcPr>
            <w:tcW w:type="dxa" w:w="1757"/>
            <w:vAlign w:val="top"/>
          </w:tcPr>
          <w:p>
            <w:pPr>
              <w:spacing w:after="0" w:line="240" w:lineRule="auto"/>
            </w:pPr>
            <w:r/>
            <w:r>
              <w:rPr>
                <w:b w:val="0"/>
                <w:sz w:val="15"/>
              </w:rPr>
              <w:t>Available and strong/acceptable</w:t>
            </w:r>
          </w:p>
        </w:tc>
        <w:tc>
          <w:tcPr>
            <w:tcW w:type="dxa" w:w="1757"/>
            <w:vAlign w:val="top"/>
          </w:tcPr>
          <w:p>
            <w:pPr>
              <w:spacing w:after="0" w:line="240" w:lineRule="auto"/>
            </w:pPr>
            <w:r/>
            <w:r>
              <w:rPr>
                <w:b w:val="0"/>
                <w:sz w:val="15"/>
              </w:rPr>
              <w:t>Available but limited</w:t>
            </w:r>
          </w:p>
        </w:tc>
        <w:tc>
          <w:tcPr>
            <w:tcW w:type="dxa" w:w="1757"/>
            <w:vAlign w:val="top"/>
          </w:tcPr>
          <w:p>
            <w:pPr>
              <w:spacing w:after="0" w:line="240" w:lineRule="auto"/>
            </w:pPr>
            <w:r/>
            <w:r>
              <w:rPr>
                <w:b w:val="0"/>
                <w:sz w:val="15"/>
              </w:rPr>
              <w:t>Missing or weak</w:t>
            </w:r>
          </w:p>
        </w:tc>
        <w:tc>
          <w:tcPr>
            <w:tcW w:type="dxa" w:w="1757"/>
            <w:vAlign w:val="top"/>
          </w:tcPr>
          <w:p>
            <w:pPr>
              <w:spacing w:after="0" w:line="240" w:lineRule="auto"/>
            </w:pPr>
            <w:r/>
            <w:r>
              <w:rPr>
                <w:b w:val="0"/>
                <w:sz w:val="15"/>
              </w:rPr>
              <w:t>Use Watch/Review as needed</w:t>
            </w:r>
          </w:p>
        </w:tc>
      </w:tr>
      <w:tr>
        <w:tc>
          <w:tcPr>
            <w:tcW w:type="dxa" w:w="1757"/>
            <w:vAlign w:val="top"/>
          </w:tcPr>
          <w:p>
            <w:pPr>
              <w:spacing w:after="0" w:line="240" w:lineRule="auto"/>
            </w:pPr>
            <w:r/>
            <w:r>
              <w:rPr>
                <w:b w:val="0"/>
                <w:sz w:val="15"/>
              </w:rPr>
              <w:t>BETA-Q-002</w:t>
            </w:r>
          </w:p>
        </w:tc>
        <w:tc>
          <w:tcPr>
            <w:tcW w:type="dxa" w:w="1757"/>
            <w:vAlign w:val="top"/>
          </w:tcPr>
          <w:p>
            <w:pPr>
              <w:spacing w:after="0" w:line="240" w:lineRule="auto"/>
            </w:pPr>
            <w:r/>
            <w:r>
              <w:rPr>
                <w:b w:val="0"/>
                <w:sz w:val="15"/>
              </w:rPr>
              <w:t>Bottom-up beta availability</w:t>
            </w:r>
          </w:p>
        </w:tc>
        <w:tc>
          <w:tcPr>
            <w:tcW w:type="dxa" w:w="1757"/>
            <w:vAlign w:val="top"/>
          </w:tcPr>
          <w:p>
            <w:pPr>
              <w:spacing w:after="0" w:line="240" w:lineRule="auto"/>
            </w:pPr>
            <w:r/>
            <w:r>
              <w:rPr>
                <w:b w:val="0"/>
                <w:sz w:val="15"/>
              </w:rPr>
              <w:t>Industry unlevered beta and D/E inputs available</w:t>
            </w:r>
          </w:p>
        </w:tc>
        <w:tc>
          <w:tcPr>
            <w:tcW w:type="dxa" w:w="1757"/>
            <w:vAlign w:val="top"/>
          </w:tcPr>
          <w:p>
            <w:pPr>
              <w:spacing w:after="0" w:line="240" w:lineRule="auto"/>
            </w:pPr>
            <w:r/>
            <w:r>
              <w:rPr>
                <w:b w:val="0"/>
                <w:sz w:val="15"/>
              </w:rPr>
              <w:t>Partial data available</w:t>
            </w:r>
          </w:p>
        </w:tc>
        <w:tc>
          <w:tcPr>
            <w:tcW w:type="dxa" w:w="1757"/>
            <w:vAlign w:val="top"/>
          </w:tcPr>
          <w:p>
            <w:pPr>
              <w:spacing w:after="0" w:line="240" w:lineRule="auto"/>
            </w:pPr>
            <w:r/>
            <w:r>
              <w:rPr>
                <w:b w:val="0"/>
                <w:sz w:val="15"/>
              </w:rPr>
              <w:t>Missing unlevered beta or invalid D/E</w:t>
            </w:r>
          </w:p>
        </w:tc>
        <w:tc>
          <w:tcPr>
            <w:tcW w:type="dxa" w:w="1757"/>
            <w:vAlign w:val="top"/>
          </w:tcPr>
          <w:p>
            <w:pPr>
              <w:spacing w:after="0" w:line="240" w:lineRule="auto"/>
            </w:pPr>
            <w:r/>
            <w:r>
              <w:rPr>
                <w:b w:val="0"/>
                <w:sz w:val="15"/>
              </w:rPr>
              <w:t>Review / Manual Required</w:t>
            </w:r>
          </w:p>
        </w:tc>
      </w:tr>
      <w:tr>
        <w:tc>
          <w:tcPr>
            <w:tcW w:type="dxa" w:w="1757"/>
            <w:vAlign w:val="top"/>
          </w:tcPr>
          <w:p>
            <w:pPr>
              <w:spacing w:after="0" w:line="240" w:lineRule="auto"/>
            </w:pPr>
            <w:r/>
            <w:r>
              <w:rPr>
                <w:b w:val="0"/>
                <w:sz w:val="15"/>
              </w:rPr>
              <w:t>BETA-Q-003</w:t>
            </w:r>
          </w:p>
        </w:tc>
        <w:tc>
          <w:tcPr>
            <w:tcW w:type="dxa" w:w="1757"/>
            <w:vAlign w:val="top"/>
          </w:tcPr>
          <w:p>
            <w:pPr>
              <w:spacing w:after="0" w:line="240" w:lineRule="auto"/>
            </w:pPr>
            <w:r/>
            <w:r>
              <w:rPr>
                <w:b w:val="0"/>
                <w:sz w:val="15"/>
              </w:rPr>
              <w:t>Manual beta override</w:t>
            </w:r>
          </w:p>
        </w:tc>
        <w:tc>
          <w:tcPr>
            <w:tcW w:type="dxa" w:w="1757"/>
            <w:vAlign w:val="top"/>
          </w:tcPr>
          <w:p>
            <w:pPr>
              <w:spacing w:after="0" w:line="240" w:lineRule="auto"/>
            </w:pPr>
            <w:r/>
            <w:r>
              <w:rPr>
                <w:b w:val="0"/>
                <w:sz w:val="15"/>
              </w:rPr>
              <w:t>No override needed</w:t>
            </w:r>
          </w:p>
        </w:tc>
        <w:tc>
          <w:tcPr>
            <w:tcW w:type="dxa" w:w="1757"/>
            <w:vAlign w:val="top"/>
          </w:tcPr>
          <w:p>
            <w:pPr>
              <w:spacing w:after="0" w:line="240" w:lineRule="auto"/>
            </w:pPr>
            <w:r/>
            <w:r>
              <w:rPr>
                <w:b w:val="0"/>
                <w:sz w:val="15"/>
              </w:rPr>
              <w:t>Override with clear note</w:t>
            </w:r>
          </w:p>
        </w:tc>
        <w:tc>
          <w:tcPr>
            <w:tcW w:type="dxa" w:w="1757"/>
            <w:vAlign w:val="top"/>
          </w:tcPr>
          <w:p>
            <w:pPr>
              <w:spacing w:after="0" w:line="240" w:lineRule="auto"/>
            </w:pPr>
            <w:r/>
            <w:r>
              <w:rPr>
                <w:b w:val="0"/>
                <w:sz w:val="15"/>
              </w:rPr>
              <w:t>Override without note</w:t>
            </w:r>
          </w:p>
        </w:tc>
        <w:tc>
          <w:tcPr>
            <w:tcW w:type="dxa" w:w="1757"/>
            <w:vAlign w:val="top"/>
          </w:tcPr>
          <w:p>
            <w:pPr>
              <w:spacing w:after="0" w:line="240" w:lineRule="auto"/>
            </w:pPr>
            <w:r/>
            <w:r>
              <w:rPr>
                <w:b w:val="0"/>
                <w:sz w:val="15"/>
              </w:rPr>
              <w:t>Manual Beta Review</w:t>
            </w:r>
          </w:p>
        </w:tc>
      </w:tr>
      <w:tr>
        <w:tc>
          <w:tcPr>
            <w:tcW w:type="dxa" w:w="1757"/>
            <w:vAlign w:val="top"/>
          </w:tcPr>
          <w:p>
            <w:pPr>
              <w:spacing w:after="0" w:line="240" w:lineRule="auto"/>
            </w:pPr>
            <w:r/>
            <w:r>
              <w:rPr>
                <w:b w:val="0"/>
                <w:sz w:val="15"/>
              </w:rPr>
              <w:t>BETA-Q-004</w:t>
            </w:r>
          </w:p>
        </w:tc>
        <w:tc>
          <w:tcPr>
            <w:tcW w:type="dxa" w:w="1757"/>
            <w:vAlign w:val="top"/>
          </w:tcPr>
          <w:p>
            <w:pPr>
              <w:spacing w:after="0" w:line="240" w:lineRule="auto"/>
            </w:pPr>
            <w:r/>
            <w:r>
              <w:rPr>
                <w:b w:val="0"/>
                <w:sz w:val="15"/>
              </w:rPr>
              <w:t>Regression vs bottom-up gap</w:t>
            </w:r>
          </w:p>
        </w:tc>
        <w:tc>
          <w:tcPr>
            <w:tcW w:type="dxa" w:w="1757"/>
            <w:vAlign w:val="top"/>
          </w:tcPr>
          <w:p>
            <w:pPr>
              <w:spacing w:after="0" w:line="240" w:lineRule="auto"/>
            </w:pPr>
            <w:r/>
            <w:r>
              <w:rPr>
                <w:b w:val="0"/>
                <w:sz w:val="15"/>
              </w:rPr>
              <w:t>Small gap</w:t>
            </w:r>
          </w:p>
        </w:tc>
        <w:tc>
          <w:tcPr>
            <w:tcW w:type="dxa" w:w="1757"/>
            <w:vAlign w:val="top"/>
          </w:tcPr>
          <w:p>
            <w:pPr>
              <w:spacing w:after="0" w:line="240" w:lineRule="auto"/>
            </w:pPr>
            <w:r/>
            <w:r>
              <w:rPr>
                <w:b w:val="0"/>
                <w:sz w:val="15"/>
              </w:rPr>
              <w:t>Moderate gap</w:t>
            </w:r>
          </w:p>
        </w:tc>
        <w:tc>
          <w:tcPr>
            <w:tcW w:type="dxa" w:w="1757"/>
            <w:vAlign w:val="top"/>
          </w:tcPr>
          <w:p>
            <w:pPr>
              <w:spacing w:after="0" w:line="240" w:lineRule="auto"/>
            </w:pPr>
            <w:r/>
            <w:r>
              <w:rPr>
                <w:b w:val="0"/>
                <w:sz w:val="15"/>
              </w:rPr>
              <w:t>Large gap</w:t>
            </w:r>
          </w:p>
        </w:tc>
        <w:tc>
          <w:tcPr>
            <w:tcW w:type="dxa" w:w="1757"/>
            <w:vAlign w:val="top"/>
          </w:tcPr>
          <w:p>
            <w:pPr>
              <w:spacing w:after="0" w:line="240" w:lineRule="auto"/>
            </w:pPr>
            <w:r/>
            <w:r>
              <w:rPr>
                <w:b w:val="0"/>
                <w:sz w:val="15"/>
              </w:rPr>
              <w:t>Large Beta Gap Review</w:t>
            </w:r>
          </w:p>
        </w:tc>
      </w:tr>
      <w:tr>
        <w:tc>
          <w:tcPr>
            <w:tcW w:type="dxa" w:w="1757"/>
            <w:vAlign w:val="top"/>
          </w:tcPr>
          <w:p>
            <w:pPr>
              <w:spacing w:after="0" w:line="240" w:lineRule="auto"/>
            </w:pPr>
            <w:r/>
            <w:r>
              <w:rPr>
                <w:b w:val="0"/>
                <w:sz w:val="15"/>
              </w:rPr>
              <w:t>BETA-Q-005</w:t>
            </w:r>
          </w:p>
        </w:tc>
        <w:tc>
          <w:tcPr>
            <w:tcW w:type="dxa" w:w="1757"/>
            <w:vAlign w:val="top"/>
          </w:tcPr>
          <w:p>
            <w:pPr>
              <w:spacing w:after="0" w:line="240" w:lineRule="auto"/>
            </w:pPr>
            <w:r/>
            <w:r>
              <w:rPr>
                <w:b w:val="0"/>
                <w:sz w:val="15"/>
              </w:rPr>
              <w:t>Selected beta completeness</w:t>
            </w:r>
          </w:p>
        </w:tc>
        <w:tc>
          <w:tcPr>
            <w:tcW w:type="dxa" w:w="1757"/>
            <w:vAlign w:val="top"/>
          </w:tcPr>
          <w:p>
            <w:pPr>
              <w:spacing w:after="0" w:line="240" w:lineRule="auto"/>
            </w:pPr>
            <w:r/>
            <w:r>
              <w:rPr>
                <w:b w:val="0"/>
                <w:sz w:val="15"/>
              </w:rPr>
              <w:t>Both selected values available</w:t>
            </w:r>
          </w:p>
        </w:tc>
        <w:tc>
          <w:tcPr>
            <w:tcW w:type="dxa" w:w="1757"/>
            <w:vAlign w:val="top"/>
          </w:tcPr>
          <w:p>
            <w:pPr>
              <w:spacing w:after="0" w:line="240" w:lineRule="auto"/>
            </w:pPr>
            <w:r/>
            <w:r>
              <w:rPr>
                <w:b w:val="0"/>
                <w:sz w:val="15"/>
              </w:rPr>
              <w:t>One with explanation</w:t>
            </w:r>
          </w:p>
        </w:tc>
        <w:tc>
          <w:tcPr>
            <w:tcW w:type="dxa" w:w="1757"/>
            <w:vAlign w:val="top"/>
          </w:tcPr>
          <w:p>
            <w:pPr>
              <w:spacing w:after="0" w:line="240" w:lineRule="auto"/>
            </w:pPr>
            <w:r/>
            <w:r>
              <w:rPr>
                <w:b w:val="0"/>
                <w:sz w:val="15"/>
              </w:rPr>
              <w:t>Missing selected beta</w:t>
            </w:r>
          </w:p>
        </w:tc>
        <w:tc>
          <w:tcPr>
            <w:tcW w:type="dxa" w:w="1757"/>
            <w:vAlign w:val="top"/>
          </w:tcPr>
          <w:p>
            <w:pPr>
              <w:spacing w:after="0" w:line="240" w:lineRule="auto"/>
            </w:pPr>
            <w:r/>
            <w:r>
              <w:rPr>
                <w:b w:val="0"/>
                <w:sz w:val="15"/>
              </w:rPr>
              <w:t>Not Ready / Review</w:t>
            </w:r>
          </w:p>
        </w:tc>
      </w:tr>
      <w:tr>
        <w:tc>
          <w:tcPr>
            <w:tcW w:type="dxa" w:w="1757"/>
            <w:vAlign w:val="top"/>
          </w:tcPr>
          <w:p>
            <w:pPr>
              <w:spacing w:after="0" w:line="240" w:lineRule="auto"/>
            </w:pPr>
            <w:r/>
            <w:r>
              <w:rPr>
                <w:b w:val="0"/>
                <w:sz w:val="15"/>
              </w:rPr>
              <w:t>BETA-Q-006</w:t>
            </w:r>
          </w:p>
        </w:tc>
        <w:tc>
          <w:tcPr>
            <w:tcW w:type="dxa" w:w="1757"/>
            <w:vAlign w:val="top"/>
          </w:tcPr>
          <w:p>
            <w:pPr>
              <w:spacing w:after="0" w:line="240" w:lineRule="auto"/>
            </w:pPr>
            <w:r/>
            <w:r>
              <w:rPr>
                <w:b w:val="0"/>
                <w:sz w:val="15"/>
              </w:rPr>
              <w:t>Stable beta support</w:t>
            </w:r>
          </w:p>
        </w:tc>
        <w:tc>
          <w:tcPr>
            <w:tcW w:type="dxa" w:w="1757"/>
            <w:vAlign w:val="top"/>
          </w:tcPr>
          <w:p>
            <w:pPr>
              <w:spacing w:after="0" w:line="240" w:lineRule="auto"/>
            </w:pPr>
            <w:r/>
            <w:r>
              <w:rPr>
                <w:b w:val="0"/>
                <w:sz w:val="15"/>
              </w:rPr>
              <w:t>Bottom-up/stable beta available</w:t>
            </w:r>
          </w:p>
        </w:tc>
        <w:tc>
          <w:tcPr>
            <w:tcW w:type="dxa" w:w="1757"/>
            <w:vAlign w:val="top"/>
          </w:tcPr>
          <w:p>
            <w:pPr>
              <w:spacing w:after="0" w:line="240" w:lineRule="auto"/>
            </w:pPr>
            <w:r/>
            <w:r>
              <w:rPr>
                <w:b w:val="0"/>
                <w:sz w:val="15"/>
              </w:rPr>
              <w:t>Fallback documented</w:t>
            </w:r>
          </w:p>
        </w:tc>
        <w:tc>
          <w:tcPr>
            <w:tcW w:type="dxa" w:w="1757"/>
            <w:vAlign w:val="top"/>
          </w:tcPr>
          <w:p>
            <w:pPr>
              <w:spacing w:after="0" w:line="240" w:lineRule="auto"/>
            </w:pPr>
            <w:r/>
            <w:r>
              <w:rPr>
                <w:b w:val="0"/>
                <w:sz w:val="15"/>
              </w:rPr>
              <w:t>No stable beta source</w:t>
            </w:r>
          </w:p>
        </w:tc>
        <w:tc>
          <w:tcPr>
            <w:tcW w:type="dxa" w:w="1757"/>
            <w:vAlign w:val="top"/>
          </w:tcPr>
          <w:p>
            <w:pPr>
              <w:spacing w:after="0" w:line="240" w:lineRule="auto"/>
            </w:pPr>
            <w:r/>
            <w:r>
              <w:rPr>
                <w:b w:val="0"/>
                <w:sz w:val="15"/>
              </w:rPr>
              <w:t>Stable Beta Missing / Review</w:t>
            </w:r>
          </w:p>
        </w:tc>
      </w:tr>
    </w:tbl>
    <w:p/>
    <w:p>
      <w:pPr>
        <w:pStyle w:val="Heading1"/>
      </w:pPr>
      <w:r>
        <w:t>19. Damodaran Data &amp; Source Links</w:t>
      </w:r>
    </w:p>
    <w:p>
      <w:r>
        <w:t>Damodaran Data is a system/reference sheet. It stores or imports benchmark data used by Beta Engine, Forecast &amp; Fade, Reinvestment &amp; FCFF, Risk/WACC, Terminal Value, Quality/Review and sanity checks. It is not a manual company input area.</w:t>
      </w:r>
    </w:p>
    <w:p>
      <w:pPr>
        <w:pStyle w:val="TableTitle"/>
      </w:pPr>
      <w:r>
        <w:rPr>
          <w:b/>
        </w:rPr>
        <w:t>Table - Required Damodaran Source Datasets</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513"/>
            <w:vAlign w:val="top"/>
            <w:shd w:fill="D9EAF7"/>
          </w:tcPr>
          <w:p>
            <w:pPr>
              <w:spacing w:after="0" w:line="240" w:lineRule="auto"/>
            </w:pPr>
            <w:r/>
            <w:r>
              <w:rPr>
                <w:b/>
                <w:sz w:val="16"/>
              </w:rPr>
              <w:t>Dataset</w:t>
            </w:r>
          </w:p>
        </w:tc>
        <w:tc>
          <w:tcPr>
            <w:tcW w:type="dxa" w:w="3513"/>
            <w:vAlign w:val="top"/>
            <w:shd w:fill="D9EAF7"/>
          </w:tcPr>
          <w:p>
            <w:pPr>
              <w:spacing w:after="0" w:line="240" w:lineRule="auto"/>
            </w:pPr>
            <w:r/>
            <w:r>
              <w:rPr>
                <w:b/>
                <w:sz w:val="16"/>
              </w:rPr>
              <w:t>Workbook Table</w:t>
            </w:r>
          </w:p>
        </w:tc>
        <w:tc>
          <w:tcPr>
            <w:tcW w:type="dxa" w:w="3513"/>
            <w:vAlign w:val="top"/>
            <w:shd w:fill="D9EAF7"/>
          </w:tcPr>
          <w:p>
            <w:pPr>
              <w:spacing w:after="0" w:line="240" w:lineRule="auto"/>
            </w:pPr>
            <w:r/>
            <w:r>
              <w:rPr>
                <w:b/>
                <w:sz w:val="16"/>
              </w:rPr>
              <w:t>Primary Use</w:t>
            </w:r>
          </w:p>
        </w:tc>
      </w:tr>
      <w:tr>
        <w:tc>
          <w:tcPr>
            <w:tcW w:type="dxa" w:w="3513"/>
            <w:vAlign w:val="top"/>
          </w:tcPr>
          <w:p>
            <w:pPr>
              <w:spacing w:after="0" w:line="240" w:lineRule="auto"/>
            </w:pPr>
            <w:r/>
            <w:r>
              <w:rPr>
                <w:b w:val="0"/>
                <w:sz w:val="15"/>
              </w:rPr>
              <w:t>Betas by Sector</w:t>
            </w:r>
          </w:p>
        </w:tc>
        <w:tc>
          <w:tcPr>
            <w:tcW w:type="dxa" w:w="3513"/>
            <w:vAlign w:val="top"/>
          </w:tcPr>
          <w:p>
            <w:pPr>
              <w:spacing w:after="0" w:line="240" w:lineRule="auto"/>
            </w:pPr>
            <w:r/>
            <w:r>
              <w:rPr>
                <w:b w:val="0"/>
                <w:sz w:val="15"/>
              </w:rPr>
              <w:t>tblIndustryBetas</w:t>
            </w:r>
          </w:p>
        </w:tc>
        <w:tc>
          <w:tcPr>
            <w:tcW w:type="dxa" w:w="3513"/>
            <w:vAlign w:val="top"/>
          </w:tcPr>
          <w:p>
            <w:pPr>
              <w:spacing w:after="0" w:line="240" w:lineRule="auto"/>
            </w:pPr>
            <w:r/>
            <w:r>
              <w:rPr>
                <w:b w:val="0"/>
                <w:sz w:val="15"/>
              </w:rPr>
              <w:t>Industry beta, unlevered beta and bottom-up beta support.</w:t>
            </w:r>
          </w:p>
        </w:tc>
      </w:tr>
      <w:tr>
        <w:tc>
          <w:tcPr>
            <w:tcW w:type="dxa" w:w="3513"/>
            <w:vAlign w:val="top"/>
          </w:tcPr>
          <w:p>
            <w:pPr>
              <w:spacing w:after="0" w:line="240" w:lineRule="auto"/>
            </w:pPr>
            <w:r/>
            <w:r>
              <w:rPr>
                <w:b w:val="0"/>
                <w:sz w:val="15"/>
              </w:rPr>
              <w:t>Cost of Equity and Capital</w:t>
            </w:r>
          </w:p>
        </w:tc>
        <w:tc>
          <w:tcPr>
            <w:tcW w:type="dxa" w:w="3513"/>
            <w:vAlign w:val="top"/>
          </w:tcPr>
          <w:p>
            <w:pPr>
              <w:spacing w:after="0" w:line="240" w:lineRule="auto"/>
            </w:pPr>
            <w:r/>
            <w:r>
              <w:rPr>
                <w:b w:val="0"/>
                <w:sz w:val="15"/>
              </w:rPr>
              <w:t>tblIndustryCostOfCapital</w:t>
            </w:r>
          </w:p>
        </w:tc>
        <w:tc>
          <w:tcPr>
            <w:tcW w:type="dxa" w:w="3513"/>
            <w:vAlign w:val="top"/>
          </w:tcPr>
          <w:p>
            <w:pPr>
              <w:spacing w:after="0" w:line="240" w:lineRule="auto"/>
            </w:pPr>
            <w:r/>
            <w:r>
              <w:rPr>
                <w:b w:val="0"/>
                <w:sz w:val="15"/>
              </w:rPr>
              <w:t>WACC sanity support and industry capital structure.</w:t>
            </w:r>
          </w:p>
        </w:tc>
      </w:tr>
      <w:tr>
        <w:tc>
          <w:tcPr>
            <w:tcW w:type="dxa" w:w="3513"/>
            <w:vAlign w:val="top"/>
          </w:tcPr>
          <w:p>
            <w:pPr>
              <w:spacing w:after="0" w:line="240" w:lineRule="auto"/>
            </w:pPr>
            <w:r/>
            <w:r>
              <w:rPr>
                <w:b w:val="0"/>
                <w:sz w:val="15"/>
              </w:rPr>
              <w:t>Ratings / ICR / Default Spread</w:t>
            </w:r>
          </w:p>
        </w:tc>
        <w:tc>
          <w:tcPr>
            <w:tcW w:type="dxa" w:w="3513"/>
            <w:vAlign w:val="top"/>
          </w:tcPr>
          <w:p>
            <w:pPr>
              <w:spacing w:after="0" w:line="240" w:lineRule="auto"/>
            </w:pPr>
            <w:r/>
            <w:r>
              <w:rPr>
                <w:b w:val="0"/>
                <w:sz w:val="15"/>
              </w:rPr>
              <w:t>tblRatingsSpreadsICR</w:t>
            </w:r>
          </w:p>
        </w:tc>
        <w:tc>
          <w:tcPr>
            <w:tcW w:type="dxa" w:w="3513"/>
            <w:vAlign w:val="top"/>
          </w:tcPr>
          <w:p>
            <w:pPr>
              <w:spacing w:after="0" w:line="240" w:lineRule="auto"/>
            </w:pPr>
            <w:r/>
            <w:r>
              <w:rPr>
                <w:b w:val="0"/>
                <w:sz w:val="15"/>
              </w:rPr>
              <w:t>Synthetic rating/default spread for Cost of Debt.</w:t>
            </w:r>
          </w:p>
        </w:tc>
      </w:tr>
      <w:tr>
        <w:tc>
          <w:tcPr>
            <w:tcW w:type="dxa" w:w="3513"/>
            <w:vAlign w:val="top"/>
          </w:tcPr>
          <w:p>
            <w:pPr>
              <w:spacing w:after="0" w:line="240" w:lineRule="auto"/>
            </w:pPr>
            <w:r/>
            <w:r>
              <w:rPr>
                <w:b w:val="0"/>
                <w:sz w:val="15"/>
              </w:rPr>
              <w:t>Margin / ROIC by Sector</w:t>
            </w:r>
          </w:p>
        </w:tc>
        <w:tc>
          <w:tcPr>
            <w:tcW w:type="dxa" w:w="3513"/>
            <w:vAlign w:val="top"/>
          </w:tcPr>
          <w:p>
            <w:pPr>
              <w:spacing w:after="0" w:line="240" w:lineRule="auto"/>
            </w:pPr>
            <w:r/>
            <w:r>
              <w:rPr>
                <w:b w:val="0"/>
                <w:sz w:val="15"/>
              </w:rPr>
              <w:t>tblIndustryMarginROC</w:t>
            </w:r>
          </w:p>
        </w:tc>
        <w:tc>
          <w:tcPr>
            <w:tcW w:type="dxa" w:w="3513"/>
            <w:vAlign w:val="top"/>
          </w:tcPr>
          <w:p>
            <w:pPr>
              <w:spacing w:after="0" w:line="240" w:lineRule="auto"/>
            </w:pPr>
            <w:r/>
            <w:r>
              <w:rPr>
                <w:b w:val="0"/>
                <w:sz w:val="15"/>
              </w:rPr>
              <w:t>After-tax operating margin, sales/invested capital and ROC support.</w:t>
            </w:r>
          </w:p>
        </w:tc>
      </w:tr>
      <w:tr>
        <w:tc>
          <w:tcPr>
            <w:tcW w:type="dxa" w:w="3513"/>
            <w:vAlign w:val="top"/>
          </w:tcPr>
          <w:p>
            <w:pPr>
              <w:spacing w:after="0" w:line="240" w:lineRule="auto"/>
            </w:pPr>
            <w:r/>
            <w:r>
              <w:rPr>
                <w:b w:val="0"/>
                <w:sz w:val="15"/>
              </w:rPr>
              <w:t>Return on Capital by Sector</w:t>
            </w:r>
          </w:p>
        </w:tc>
        <w:tc>
          <w:tcPr>
            <w:tcW w:type="dxa" w:w="3513"/>
            <w:vAlign w:val="top"/>
          </w:tcPr>
          <w:p>
            <w:pPr>
              <w:spacing w:after="0" w:line="240" w:lineRule="auto"/>
            </w:pPr>
            <w:r/>
            <w:r>
              <w:rPr>
                <w:b w:val="0"/>
                <w:sz w:val="15"/>
              </w:rPr>
              <w:t>tblIndustryReturnOnCapital or support fields</w:t>
            </w:r>
          </w:p>
        </w:tc>
        <w:tc>
          <w:tcPr>
            <w:tcW w:type="dxa" w:w="3513"/>
            <w:vAlign w:val="top"/>
          </w:tcPr>
          <w:p>
            <w:pPr>
              <w:spacing w:after="0" w:line="240" w:lineRule="auto"/>
            </w:pPr>
            <w:r/>
            <w:r>
              <w:rPr>
                <w:b w:val="0"/>
                <w:sz w:val="15"/>
              </w:rPr>
              <w:t>ROIC / terminal discipline support.</w:t>
            </w:r>
          </w:p>
        </w:tc>
      </w:tr>
      <w:tr>
        <w:tc>
          <w:tcPr>
            <w:tcW w:type="dxa" w:w="3513"/>
            <w:vAlign w:val="top"/>
          </w:tcPr>
          <w:p>
            <w:pPr>
              <w:spacing w:after="0" w:line="240" w:lineRule="auto"/>
            </w:pPr>
            <w:r/>
            <w:r>
              <w:rPr>
                <w:b w:val="0"/>
                <w:sz w:val="15"/>
              </w:rPr>
              <w:t>Fundamental Growth in EBIT</w:t>
            </w:r>
          </w:p>
        </w:tc>
        <w:tc>
          <w:tcPr>
            <w:tcW w:type="dxa" w:w="3513"/>
            <w:vAlign w:val="top"/>
          </w:tcPr>
          <w:p>
            <w:pPr>
              <w:spacing w:after="0" w:line="240" w:lineRule="auto"/>
            </w:pPr>
            <w:r/>
            <w:r>
              <w:rPr>
                <w:b w:val="0"/>
                <w:sz w:val="15"/>
              </w:rPr>
              <w:t>tblIndustryFundamentalGrowthEBIT</w:t>
            </w:r>
          </w:p>
        </w:tc>
        <w:tc>
          <w:tcPr>
            <w:tcW w:type="dxa" w:w="3513"/>
            <w:vAlign w:val="top"/>
          </w:tcPr>
          <w:p>
            <w:pPr>
              <w:spacing w:after="0" w:line="240" w:lineRule="auto"/>
            </w:pPr>
            <w:r/>
            <w:r>
              <w:rPr>
                <w:b w:val="0"/>
                <w:sz w:val="15"/>
              </w:rPr>
              <w:t>ROC, reinvestment rate and expected EBIT growth support.</w:t>
            </w:r>
          </w:p>
        </w:tc>
      </w:tr>
      <w:tr>
        <w:tc>
          <w:tcPr>
            <w:tcW w:type="dxa" w:w="3513"/>
            <w:vAlign w:val="top"/>
          </w:tcPr>
          <w:p>
            <w:pPr>
              <w:spacing w:after="0" w:line="240" w:lineRule="auto"/>
            </w:pPr>
            <w:r/>
            <w:r>
              <w:rPr>
                <w:b w:val="0"/>
                <w:sz w:val="15"/>
              </w:rPr>
              <w:t>Margins by Sector</w:t>
            </w:r>
          </w:p>
        </w:tc>
        <w:tc>
          <w:tcPr>
            <w:tcW w:type="dxa" w:w="3513"/>
            <w:vAlign w:val="top"/>
          </w:tcPr>
          <w:p>
            <w:pPr>
              <w:spacing w:after="0" w:line="240" w:lineRule="auto"/>
            </w:pPr>
            <w:r/>
            <w:r>
              <w:rPr>
                <w:b w:val="0"/>
                <w:sz w:val="15"/>
              </w:rPr>
              <w:t>tblIndustryMargins</w:t>
            </w:r>
          </w:p>
        </w:tc>
        <w:tc>
          <w:tcPr>
            <w:tcW w:type="dxa" w:w="3513"/>
            <w:vAlign w:val="top"/>
          </w:tcPr>
          <w:p>
            <w:pPr>
              <w:spacing w:after="0" w:line="240" w:lineRule="auto"/>
            </w:pPr>
            <w:r/>
            <w:r>
              <w:rPr>
                <w:b w:val="0"/>
                <w:sz w:val="15"/>
              </w:rPr>
              <w:t>Gross margin, operating margin, EBITDA margin, net margin and related sanity support.</w:t>
            </w:r>
          </w:p>
        </w:tc>
      </w:tr>
      <w:tr>
        <w:tc>
          <w:tcPr>
            <w:tcW w:type="dxa" w:w="3513"/>
            <w:vAlign w:val="top"/>
          </w:tcPr>
          <w:p>
            <w:pPr>
              <w:spacing w:after="0" w:line="240" w:lineRule="auto"/>
            </w:pPr>
            <w:r/>
            <w:r>
              <w:rPr>
                <w:b w:val="0"/>
                <w:sz w:val="15"/>
              </w:rPr>
              <w:t>Capital Expenditures by Sector</w:t>
            </w:r>
          </w:p>
        </w:tc>
        <w:tc>
          <w:tcPr>
            <w:tcW w:type="dxa" w:w="3513"/>
            <w:vAlign w:val="top"/>
          </w:tcPr>
          <w:p>
            <w:pPr>
              <w:spacing w:after="0" w:line="240" w:lineRule="auto"/>
            </w:pPr>
            <w:r/>
            <w:r>
              <w:rPr>
                <w:b w:val="0"/>
                <w:sz w:val="15"/>
              </w:rPr>
              <w:t>tblIndustryReinvestmentSalesCapital</w:t>
            </w:r>
          </w:p>
        </w:tc>
        <w:tc>
          <w:tcPr>
            <w:tcW w:type="dxa" w:w="3513"/>
            <w:vAlign w:val="top"/>
          </w:tcPr>
          <w:p>
            <w:pPr>
              <w:spacing w:after="0" w:line="240" w:lineRule="auto"/>
            </w:pPr>
            <w:r/>
            <w:r>
              <w:rPr>
                <w:b w:val="0"/>
                <w:sz w:val="15"/>
              </w:rPr>
              <w:t>CapEx, D&amp;A, net CapEx, reinvestment and sales-to-capital support.</w:t>
            </w:r>
          </w:p>
        </w:tc>
      </w:tr>
      <w:tr>
        <w:tc>
          <w:tcPr>
            <w:tcW w:type="dxa" w:w="3513"/>
            <w:vAlign w:val="top"/>
          </w:tcPr>
          <w:p>
            <w:pPr>
              <w:spacing w:after="0" w:line="240" w:lineRule="auto"/>
            </w:pPr>
            <w:r/>
            <w:r>
              <w:rPr>
                <w:b w:val="0"/>
                <w:sz w:val="15"/>
              </w:rPr>
              <w:t>Working Capital Ratios by Sector</w:t>
            </w:r>
          </w:p>
        </w:tc>
        <w:tc>
          <w:tcPr>
            <w:tcW w:type="dxa" w:w="3513"/>
            <w:vAlign w:val="top"/>
          </w:tcPr>
          <w:p>
            <w:pPr>
              <w:spacing w:after="0" w:line="240" w:lineRule="auto"/>
            </w:pPr>
            <w:r/>
            <w:r>
              <w:rPr>
                <w:b w:val="0"/>
                <w:sz w:val="15"/>
              </w:rPr>
              <w:t>tblIndustryWorkingCapital</w:t>
            </w:r>
          </w:p>
        </w:tc>
        <w:tc>
          <w:tcPr>
            <w:tcW w:type="dxa" w:w="3513"/>
            <w:vAlign w:val="top"/>
          </w:tcPr>
          <w:p>
            <w:pPr>
              <w:spacing w:after="0" w:line="240" w:lineRule="auto"/>
            </w:pPr>
            <w:r/>
            <w:r>
              <w:rPr>
                <w:b w:val="0"/>
                <w:sz w:val="15"/>
              </w:rPr>
              <w:t>Inventory, receivables, payables and non-cash working capital ratios.</w:t>
            </w:r>
          </w:p>
        </w:tc>
      </w:tr>
      <w:tr>
        <w:tc>
          <w:tcPr>
            <w:tcW w:type="dxa" w:w="3513"/>
            <w:vAlign w:val="top"/>
          </w:tcPr>
          <w:p>
            <w:pPr>
              <w:spacing w:after="0" w:line="240" w:lineRule="auto"/>
            </w:pPr>
            <w:r/>
            <w:r>
              <w:rPr>
                <w:b w:val="0"/>
                <w:sz w:val="15"/>
              </w:rPr>
              <w:t>Historical Growth Rates</w:t>
            </w:r>
          </w:p>
        </w:tc>
        <w:tc>
          <w:tcPr>
            <w:tcW w:type="dxa" w:w="3513"/>
            <w:vAlign w:val="top"/>
          </w:tcPr>
          <w:p>
            <w:pPr>
              <w:spacing w:after="0" w:line="240" w:lineRule="auto"/>
            </w:pPr>
            <w:r/>
            <w:r>
              <w:rPr>
                <w:b w:val="0"/>
                <w:sz w:val="15"/>
              </w:rPr>
              <w:t>tblIndustryHistoricalGrowth</w:t>
            </w:r>
          </w:p>
        </w:tc>
        <w:tc>
          <w:tcPr>
            <w:tcW w:type="dxa" w:w="3513"/>
            <w:vAlign w:val="top"/>
          </w:tcPr>
          <w:p>
            <w:pPr>
              <w:spacing w:after="0" w:line="240" w:lineRule="auto"/>
            </w:pPr>
            <w:r/>
            <w:r>
              <w:rPr>
                <w:b w:val="0"/>
                <w:sz w:val="15"/>
              </w:rPr>
              <w:t>Historical and expected growth support.</w:t>
            </w:r>
          </w:p>
        </w:tc>
      </w:tr>
      <w:tr>
        <w:tc>
          <w:tcPr>
            <w:tcW w:type="dxa" w:w="3513"/>
            <w:vAlign w:val="top"/>
          </w:tcPr>
          <w:p>
            <w:pPr>
              <w:spacing w:after="0" w:line="240" w:lineRule="auto"/>
            </w:pPr>
            <w:r/>
            <w:r>
              <w:rPr>
                <w:b w:val="0"/>
                <w:sz w:val="15"/>
              </w:rPr>
              <w:t>Industry Tax Rates</w:t>
            </w:r>
          </w:p>
        </w:tc>
        <w:tc>
          <w:tcPr>
            <w:tcW w:type="dxa" w:w="3513"/>
            <w:vAlign w:val="top"/>
          </w:tcPr>
          <w:p>
            <w:pPr>
              <w:spacing w:after="0" w:line="240" w:lineRule="auto"/>
            </w:pPr>
            <w:r/>
            <w:r>
              <w:rPr>
                <w:b w:val="0"/>
                <w:sz w:val="15"/>
              </w:rPr>
              <w:t>tblIndustryTaxRates</w:t>
            </w:r>
          </w:p>
        </w:tc>
        <w:tc>
          <w:tcPr>
            <w:tcW w:type="dxa" w:w="3513"/>
            <w:vAlign w:val="top"/>
          </w:tcPr>
          <w:p>
            <w:pPr>
              <w:spacing w:after="0" w:line="240" w:lineRule="auto"/>
            </w:pPr>
            <w:r/>
            <w:r>
              <w:rPr>
                <w:b w:val="0"/>
                <w:sz w:val="15"/>
              </w:rPr>
              <w:t>Effective/cash tax benchmark support.</w:t>
            </w:r>
          </w:p>
        </w:tc>
      </w:tr>
      <w:tr>
        <w:tc>
          <w:tcPr>
            <w:tcW w:type="dxa" w:w="3513"/>
            <w:vAlign w:val="top"/>
          </w:tcPr>
          <w:p>
            <w:pPr>
              <w:spacing w:after="0" w:line="240" w:lineRule="auto"/>
            </w:pPr>
            <w:r/>
            <w:r>
              <w:rPr>
                <w:b w:val="0"/>
                <w:sz w:val="15"/>
              </w:rPr>
              <w:t>Country Marginal Tax Rates</w:t>
            </w:r>
          </w:p>
        </w:tc>
        <w:tc>
          <w:tcPr>
            <w:tcW w:type="dxa" w:w="3513"/>
            <w:vAlign w:val="top"/>
          </w:tcPr>
          <w:p>
            <w:pPr>
              <w:spacing w:after="0" w:line="240" w:lineRule="auto"/>
            </w:pPr>
            <w:r/>
            <w:r>
              <w:rPr>
                <w:b w:val="0"/>
                <w:sz w:val="15"/>
              </w:rPr>
              <w:t>tblMarginalTaxByCountry</w:t>
            </w:r>
          </w:p>
        </w:tc>
        <w:tc>
          <w:tcPr>
            <w:tcW w:type="dxa" w:w="3513"/>
            <w:vAlign w:val="top"/>
          </w:tcPr>
          <w:p>
            <w:pPr>
              <w:spacing w:after="0" w:line="240" w:lineRule="auto"/>
            </w:pPr>
            <w:r/>
            <w:r>
              <w:rPr>
                <w:b w:val="0"/>
                <w:sz w:val="15"/>
              </w:rPr>
              <w:t>Country marginal/stable tax support.</w:t>
            </w:r>
          </w:p>
        </w:tc>
      </w:tr>
      <w:tr>
        <w:tc>
          <w:tcPr>
            <w:tcW w:type="dxa" w:w="3513"/>
            <w:vAlign w:val="top"/>
          </w:tcPr>
          <w:p>
            <w:pPr>
              <w:spacing w:after="0" w:line="240" w:lineRule="auto"/>
            </w:pPr>
            <w:r/>
            <w:r>
              <w:rPr>
                <w:b w:val="0"/>
                <w:sz w:val="15"/>
              </w:rPr>
              <w:t>Multiples by Sector</w:t>
            </w:r>
          </w:p>
        </w:tc>
        <w:tc>
          <w:tcPr>
            <w:tcW w:type="dxa" w:w="3513"/>
            <w:vAlign w:val="top"/>
          </w:tcPr>
          <w:p>
            <w:pPr>
              <w:spacing w:after="0" w:line="240" w:lineRule="auto"/>
            </w:pPr>
            <w:r/>
            <w:r>
              <w:rPr>
                <w:b w:val="0"/>
                <w:sz w:val="15"/>
              </w:rPr>
              <w:t>tblIndustryMultiplesSanity</w:t>
            </w:r>
          </w:p>
        </w:tc>
        <w:tc>
          <w:tcPr>
            <w:tcW w:type="dxa" w:w="3513"/>
            <w:vAlign w:val="top"/>
          </w:tcPr>
          <w:p>
            <w:pPr>
              <w:spacing w:after="0" w:line="240" w:lineRule="auto"/>
            </w:pPr>
            <w:r/>
            <w:r>
              <w:rPr>
                <w:b w:val="0"/>
                <w:sz w:val="15"/>
              </w:rPr>
              <w:t>Sanity check only, not official valuation.</w:t>
            </w:r>
          </w:p>
        </w:tc>
      </w:tr>
    </w:tbl>
    <w:p/>
    <w:p>
      <w:r>
        <w:t>Each table should keep Source Name, Source URL, Excel URL where relevant, Source / Update Date, Imported / Last Updated, Status and Notes. Automated import should be used where technically reliable; otherwise tables must remain manual-paste ready.</w:t>
      </w:r>
    </w:p>
    <w:p>
      <w:pPr>
        <w:pStyle w:val="Heading1"/>
      </w:pPr>
      <w:r>
        <w:t>20. Industry Benchmark Config</w:t>
      </w:r>
    </w:p>
    <w:p>
      <w:r>
        <w:t>Industry Benchmark Config is the benchmark-first replacement for old sector-driven mapping. The user selects Selected Damodaran Industrial Benchmark in the company sheet. This selected benchmark connects to Industry Benchmark Config and Damodaran Data. The benchmark supports model mode, cyclicality, history recommendation, benchmark data pulls and review logic. It must not mechanically determine intrinsic value.</w:t>
      </w:r>
    </w:p>
    <w:p>
      <w:pPr>
        <w:pStyle w:val="TableTitle"/>
      </w:pPr>
      <w:r>
        <w:rPr>
          <w:b/>
        </w:rPr>
        <w:t>Table - Industry Benchmark Config Sheet Sections</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6"/>
              </w:rPr>
              <w:t>Section</w:t>
            </w:r>
          </w:p>
        </w:tc>
        <w:tc>
          <w:tcPr>
            <w:tcW w:type="dxa" w:w="5270"/>
            <w:vAlign w:val="top"/>
            <w:shd w:fill="D9EAF7"/>
          </w:tcPr>
          <w:p>
            <w:pPr>
              <w:spacing w:after="0" w:line="240" w:lineRule="auto"/>
            </w:pPr>
            <w:r/>
            <w:r>
              <w:rPr>
                <w:b/>
                <w:sz w:val="16"/>
              </w:rPr>
              <w:t>Purpose</w:t>
            </w:r>
          </w:p>
        </w:tc>
      </w:tr>
      <w:tr>
        <w:tc>
          <w:tcPr>
            <w:tcW w:type="dxa" w:w="5270"/>
            <w:vAlign w:val="top"/>
          </w:tcPr>
          <w:p>
            <w:pPr>
              <w:spacing w:after="0" w:line="240" w:lineRule="auto"/>
            </w:pPr>
            <w:r/>
            <w:r>
              <w:rPr>
                <w:b w:val="0"/>
                <w:sz w:val="15"/>
              </w:rPr>
              <w:t>tblIndustryBenchmarkHeader</w:t>
            </w:r>
          </w:p>
        </w:tc>
        <w:tc>
          <w:tcPr>
            <w:tcW w:type="dxa" w:w="5270"/>
            <w:vAlign w:val="top"/>
          </w:tcPr>
          <w:p>
            <w:pPr>
              <w:spacing w:after="0" w:line="240" w:lineRule="auto"/>
            </w:pPr>
            <w:r/>
            <w:r>
              <w:rPr>
                <w:b w:val="0"/>
                <w:sz w:val="15"/>
              </w:rPr>
              <w:t>Sheet identity, purpose, version and status.</w:t>
            </w:r>
          </w:p>
        </w:tc>
      </w:tr>
      <w:tr>
        <w:tc>
          <w:tcPr>
            <w:tcW w:type="dxa" w:w="5270"/>
            <w:vAlign w:val="top"/>
          </w:tcPr>
          <w:p>
            <w:pPr>
              <w:spacing w:after="0" w:line="240" w:lineRule="auto"/>
            </w:pPr>
            <w:r/>
            <w:r>
              <w:rPr>
                <w:b w:val="0"/>
                <w:sz w:val="15"/>
              </w:rPr>
              <w:t>tblDamodaranIndustryUniverse</w:t>
            </w:r>
          </w:p>
        </w:tc>
        <w:tc>
          <w:tcPr>
            <w:tcW w:type="dxa" w:w="5270"/>
            <w:vAlign w:val="top"/>
          </w:tcPr>
          <w:p>
            <w:pPr>
              <w:spacing w:after="0" w:line="240" w:lineRule="auto"/>
            </w:pPr>
            <w:r/>
            <w:r>
              <w:rPr>
                <w:b w:val="0"/>
                <w:sz w:val="15"/>
              </w:rPr>
              <w:t>Full Damodaran Industrial Benchmark list.</w:t>
            </w:r>
          </w:p>
        </w:tc>
      </w:tr>
      <w:tr>
        <w:tc>
          <w:tcPr>
            <w:tcW w:type="dxa" w:w="5270"/>
            <w:vAlign w:val="top"/>
          </w:tcPr>
          <w:p>
            <w:pPr>
              <w:spacing w:after="0" w:line="240" w:lineRule="auto"/>
            </w:pPr>
            <w:r/>
            <w:r>
              <w:rPr>
                <w:b w:val="0"/>
                <w:sz w:val="15"/>
              </w:rPr>
              <w:t>tblIndustryBenchmarkConfig</w:t>
            </w:r>
          </w:p>
        </w:tc>
        <w:tc>
          <w:tcPr>
            <w:tcW w:type="dxa" w:w="5270"/>
            <w:vAlign w:val="top"/>
          </w:tcPr>
          <w:p>
            <w:pPr>
              <w:spacing w:after="0" w:line="240" w:lineRule="auto"/>
            </w:pPr>
            <w:r/>
            <w:r>
              <w:rPr>
                <w:b w:val="0"/>
                <w:sz w:val="15"/>
              </w:rPr>
              <w:t>Eligibility/status, model mode support, cyclicality, asset intensity, regulatory flag and benchmark-use notes.</w:t>
            </w:r>
          </w:p>
        </w:tc>
      </w:tr>
      <w:tr>
        <w:tc>
          <w:tcPr>
            <w:tcW w:type="dxa" w:w="5270"/>
            <w:vAlign w:val="top"/>
          </w:tcPr>
          <w:p>
            <w:pPr>
              <w:spacing w:after="0" w:line="240" w:lineRule="auto"/>
            </w:pPr>
            <w:r/>
            <w:r>
              <w:rPr>
                <w:b w:val="0"/>
                <w:sz w:val="15"/>
              </w:rPr>
              <w:t>tblBenchmarkDataPullKeys</w:t>
            </w:r>
          </w:p>
        </w:tc>
        <w:tc>
          <w:tcPr>
            <w:tcW w:type="dxa" w:w="5270"/>
            <w:vAlign w:val="top"/>
          </w:tcPr>
          <w:p>
            <w:pPr>
              <w:spacing w:after="0" w:line="240" w:lineRule="auto"/>
            </w:pPr>
            <w:r/>
            <w:r>
              <w:rPr>
                <w:b w:val="0"/>
                <w:sz w:val="15"/>
              </w:rPr>
              <w:t>Benchmark keys for beta, margin, ROC, reinvestment, working capital, tax and WACC sanity tables.</w:t>
            </w:r>
          </w:p>
        </w:tc>
      </w:tr>
      <w:tr>
        <w:tc>
          <w:tcPr>
            <w:tcW w:type="dxa" w:w="5270"/>
            <w:vAlign w:val="top"/>
          </w:tcPr>
          <w:p>
            <w:pPr>
              <w:spacing w:after="0" w:line="240" w:lineRule="auto"/>
            </w:pPr>
            <w:r/>
            <w:r>
              <w:rPr>
                <w:b w:val="0"/>
                <w:sz w:val="15"/>
              </w:rPr>
              <w:t>tblIndustryISMDisplayMap</w:t>
            </w:r>
          </w:p>
        </w:tc>
        <w:tc>
          <w:tcPr>
            <w:tcW w:type="dxa" w:w="5270"/>
            <w:vAlign w:val="top"/>
          </w:tcPr>
          <w:p>
            <w:pPr>
              <w:spacing w:after="0" w:line="240" w:lineRule="auto"/>
            </w:pPr>
            <w:r/>
            <w:r>
              <w:rPr>
                <w:b w:val="0"/>
                <w:sz w:val="15"/>
              </w:rPr>
              <w:t>Display-only Damodaran benchmark -&gt; ISM-sector map.</w:t>
            </w:r>
          </w:p>
        </w:tc>
      </w:tr>
      <w:tr>
        <w:tc>
          <w:tcPr>
            <w:tcW w:type="dxa" w:w="5270"/>
            <w:vAlign w:val="top"/>
          </w:tcPr>
          <w:p>
            <w:pPr>
              <w:spacing w:after="0" w:line="240" w:lineRule="auto"/>
            </w:pPr>
            <w:r/>
            <w:r>
              <w:rPr>
                <w:b w:val="0"/>
                <w:sz w:val="15"/>
              </w:rPr>
              <w:t>tblIndustryBenchmarkRules</w:t>
            </w:r>
          </w:p>
        </w:tc>
        <w:tc>
          <w:tcPr>
            <w:tcW w:type="dxa" w:w="5270"/>
            <w:vAlign w:val="top"/>
          </w:tcPr>
          <w:p>
            <w:pPr>
              <w:spacing w:after="0" w:line="240" w:lineRule="auto"/>
            </w:pPr>
            <w:r/>
            <w:r>
              <w:rPr>
                <w:b w:val="0"/>
                <w:sz w:val="15"/>
              </w:rPr>
              <w:t>Rules for how benchmark support may and may not be used.</w:t>
            </w:r>
          </w:p>
        </w:tc>
      </w:tr>
      <w:tr>
        <w:tc>
          <w:tcPr>
            <w:tcW w:type="dxa" w:w="5270"/>
            <w:vAlign w:val="top"/>
          </w:tcPr>
          <w:p>
            <w:pPr>
              <w:spacing w:after="0" w:line="240" w:lineRule="auto"/>
            </w:pPr>
            <w:r/>
            <w:r>
              <w:rPr>
                <w:b w:val="0"/>
                <w:sz w:val="15"/>
              </w:rPr>
              <w:t>tblIndustryBenchmarkStatusValues</w:t>
            </w:r>
          </w:p>
        </w:tc>
        <w:tc>
          <w:tcPr>
            <w:tcW w:type="dxa" w:w="5270"/>
            <w:vAlign w:val="top"/>
          </w:tcPr>
          <w:p>
            <w:pPr>
              <w:spacing w:after="0" w:line="240" w:lineRule="auto"/>
            </w:pPr>
            <w:r/>
            <w:r>
              <w:rPr>
                <w:b w:val="0"/>
                <w:sz w:val="15"/>
              </w:rPr>
              <w:t>Allowed statuses and meanings.</w:t>
            </w:r>
          </w:p>
        </w:tc>
      </w:tr>
    </w:tbl>
    <w:p/>
    <w:p>
      <w:pPr>
        <w:pStyle w:val="TableTitle"/>
      </w:pPr>
      <w:r>
        <w:rPr>
          <w:b/>
        </w:rPr>
        <w:t>Table - tblIndustryBenchmarkRules</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513"/>
            <w:vAlign w:val="top"/>
            <w:shd w:fill="D9EAF7"/>
          </w:tcPr>
          <w:p>
            <w:pPr>
              <w:spacing w:after="0" w:line="240" w:lineRule="auto"/>
            </w:pPr>
            <w:r/>
            <w:r>
              <w:rPr>
                <w:b/>
                <w:sz w:val="16"/>
              </w:rPr>
              <w:t>Rule ID</w:t>
            </w:r>
          </w:p>
        </w:tc>
        <w:tc>
          <w:tcPr>
            <w:tcW w:type="dxa" w:w="3513"/>
            <w:vAlign w:val="top"/>
            <w:shd w:fill="D9EAF7"/>
          </w:tcPr>
          <w:p>
            <w:pPr>
              <w:spacing w:after="0" w:line="240" w:lineRule="auto"/>
            </w:pPr>
            <w:r/>
            <w:r>
              <w:rPr>
                <w:b/>
                <w:sz w:val="16"/>
              </w:rPr>
              <w:t>Rule</w:t>
            </w:r>
          </w:p>
        </w:tc>
        <w:tc>
          <w:tcPr>
            <w:tcW w:type="dxa" w:w="3513"/>
            <w:vAlign w:val="top"/>
            <w:shd w:fill="D9EAF7"/>
          </w:tcPr>
          <w:p>
            <w:pPr>
              <w:spacing w:after="0" w:line="240" w:lineRule="auto"/>
            </w:pPr>
            <w:r/>
            <w:r>
              <w:rPr>
                <w:b/>
                <w:sz w:val="16"/>
              </w:rPr>
              <w:t>Required Behavior</w:t>
            </w:r>
          </w:p>
        </w:tc>
      </w:tr>
      <w:tr>
        <w:tc>
          <w:tcPr>
            <w:tcW w:type="dxa" w:w="3513"/>
            <w:vAlign w:val="top"/>
          </w:tcPr>
          <w:p>
            <w:pPr>
              <w:spacing w:after="0" w:line="240" w:lineRule="auto"/>
            </w:pPr>
            <w:r/>
            <w:r>
              <w:rPr>
                <w:b w:val="0"/>
                <w:sz w:val="15"/>
              </w:rPr>
              <w:t>IB-RULE-001</w:t>
            </w:r>
          </w:p>
        </w:tc>
        <w:tc>
          <w:tcPr>
            <w:tcW w:type="dxa" w:w="3513"/>
            <w:vAlign w:val="top"/>
          </w:tcPr>
          <w:p>
            <w:pPr>
              <w:spacing w:after="0" w:line="240" w:lineRule="auto"/>
            </w:pPr>
            <w:r/>
            <w:r>
              <w:rPr>
                <w:b w:val="0"/>
                <w:sz w:val="15"/>
              </w:rPr>
              <w:t>Damodaran Industrial Benchmark is the primary industry input.</w:t>
            </w:r>
          </w:p>
        </w:tc>
        <w:tc>
          <w:tcPr>
            <w:tcW w:type="dxa" w:w="3513"/>
            <w:vAlign w:val="top"/>
          </w:tcPr>
          <w:p>
            <w:pPr>
              <w:spacing w:after="0" w:line="240" w:lineRule="auto"/>
            </w:pPr>
            <w:r/>
            <w:r>
              <w:rPr>
                <w:b w:val="0"/>
                <w:sz w:val="15"/>
              </w:rPr>
              <w:t>Company sheet selects benchmark directly.</w:t>
            </w:r>
          </w:p>
        </w:tc>
      </w:tr>
      <w:tr>
        <w:tc>
          <w:tcPr>
            <w:tcW w:type="dxa" w:w="3513"/>
            <w:vAlign w:val="top"/>
          </w:tcPr>
          <w:p>
            <w:pPr>
              <w:spacing w:after="0" w:line="240" w:lineRule="auto"/>
            </w:pPr>
            <w:r/>
            <w:r>
              <w:rPr>
                <w:b w:val="0"/>
                <w:sz w:val="15"/>
              </w:rPr>
              <w:t>IB-RULE-002</w:t>
            </w:r>
          </w:p>
        </w:tc>
        <w:tc>
          <w:tcPr>
            <w:tcW w:type="dxa" w:w="3513"/>
            <w:vAlign w:val="top"/>
          </w:tcPr>
          <w:p>
            <w:pPr>
              <w:spacing w:after="0" w:line="240" w:lineRule="auto"/>
            </w:pPr>
            <w:r/>
            <w:r>
              <w:rPr>
                <w:b w:val="0"/>
                <w:sz w:val="15"/>
              </w:rPr>
              <w:t>Benchmark is support, not valuation engine.</w:t>
            </w:r>
          </w:p>
        </w:tc>
        <w:tc>
          <w:tcPr>
            <w:tcW w:type="dxa" w:w="3513"/>
            <w:vAlign w:val="top"/>
          </w:tcPr>
          <w:p>
            <w:pPr>
              <w:spacing w:after="0" w:line="240" w:lineRule="auto"/>
            </w:pPr>
            <w:r/>
            <w:r>
              <w:rPr>
                <w:b w:val="0"/>
                <w:sz w:val="15"/>
              </w:rPr>
              <w:t>Benchmark data supports beta, margin, ROC, reinvestment, stage/fade and review; it does not replace company forecast.</w:t>
            </w:r>
          </w:p>
        </w:tc>
      </w:tr>
      <w:tr>
        <w:tc>
          <w:tcPr>
            <w:tcW w:type="dxa" w:w="3513"/>
            <w:vAlign w:val="top"/>
          </w:tcPr>
          <w:p>
            <w:pPr>
              <w:spacing w:after="0" w:line="240" w:lineRule="auto"/>
            </w:pPr>
            <w:r/>
            <w:r>
              <w:rPr>
                <w:b w:val="0"/>
                <w:sz w:val="15"/>
              </w:rPr>
              <w:t>IB-RULE-003</w:t>
            </w:r>
          </w:p>
        </w:tc>
        <w:tc>
          <w:tcPr>
            <w:tcW w:type="dxa" w:w="3513"/>
            <w:vAlign w:val="top"/>
          </w:tcPr>
          <w:p>
            <w:pPr>
              <w:spacing w:after="0" w:line="240" w:lineRule="auto"/>
            </w:pPr>
            <w:r/>
            <w:r>
              <w:rPr>
                <w:b w:val="0"/>
                <w:sz w:val="15"/>
              </w:rPr>
              <w:t>No blind use of industry values.</w:t>
            </w:r>
          </w:p>
        </w:tc>
        <w:tc>
          <w:tcPr>
            <w:tcW w:type="dxa" w:w="3513"/>
            <w:vAlign w:val="top"/>
          </w:tcPr>
          <w:p>
            <w:pPr>
              <w:spacing w:after="0" w:line="240" w:lineRule="auto"/>
            </w:pPr>
            <w:r/>
            <w:r>
              <w:rPr>
                <w:b w:val="0"/>
                <w:sz w:val="15"/>
              </w:rPr>
              <w:t>If company assumption differs materially from benchmark, flag review rather than forcing benchmark.</w:t>
            </w:r>
          </w:p>
        </w:tc>
      </w:tr>
      <w:tr>
        <w:tc>
          <w:tcPr>
            <w:tcW w:type="dxa" w:w="3513"/>
            <w:vAlign w:val="top"/>
          </w:tcPr>
          <w:p>
            <w:pPr>
              <w:spacing w:after="0" w:line="240" w:lineRule="auto"/>
            </w:pPr>
            <w:r/>
            <w:r>
              <w:rPr>
                <w:b w:val="0"/>
                <w:sz w:val="15"/>
              </w:rPr>
              <w:t>IB-RULE-004</w:t>
            </w:r>
          </w:p>
        </w:tc>
        <w:tc>
          <w:tcPr>
            <w:tcW w:type="dxa" w:w="3513"/>
            <w:vAlign w:val="top"/>
          </w:tcPr>
          <w:p>
            <w:pPr>
              <w:spacing w:after="0" w:line="240" w:lineRule="auto"/>
            </w:pPr>
            <w:r/>
            <w:r>
              <w:rPr>
                <w:b w:val="0"/>
                <w:sz w:val="15"/>
              </w:rPr>
              <w:t>Excluded categories remain special review.</w:t>
            </w:r>
          </w:p>
        </w:tc>
        <w:tc>
          <w:tcPr>
            <w:tcW w:type="dxa" w:w="3513"/>
            <w:vAlign w:val="top"/>
          </w:tcPr>
          <w:p>
            <w:pPr>
              <w:spacing w:after="0" w:line="240" w:lineRule="auto"/>
            </w:pPr>
            <w:r/>
            <w:r>
              <w:rPr>
                <w:b w:val="0"/>
                <w:sz w:val="15"/>
              </w:rPr>
              <w:t>Financials, insurance, REITs and NAV-like real estate are not normal Operating Co cases.</w:t>
            </w:r>
          </w:p>
        </w:tc>
      </w:tr>
      <w:tr>
        <w:tc>
          <w:tcPr>
            <w:tcW w:type="dxa" w:w="3513"/>
            <w:vAlign w:val="top"/>
          </w:tcPr>
          <w:p>
            <w:pPr>
              <w:spacing w:after="0" w:line="240" w:lineRule="auto"/>
            </w:pPr>
            <w:r/>
            <w:r>
              <w:rPr>
                <w:b w:val="0"/>
                <w:sz w:val="15"/>
              </w:rPr>
              <w:t>IB-RULE-005</w:t>
            </w:r>
          </w:p>
        </w:tc>
        <w:tc>
          <w:tcPr>
            <w:tcW w:type="dxa" w:w="3513"/>
            <w:vAlign w:val="top"/>
          </w:tcPr>
          <w:p>
            <w:pPr>
              <w:spacing w:after="0" w:line="240" w:lineRule="auto"/>
            </w:pPr>
            <w:r/>
            <w:r>
              <w:rPr>
                <w:b w:val="0"/>
                <w:sz w:val="15"/>
              </w:rPr>
              <w:t>Market aggregate rows are reference only.</w:t>
            </w:r>
          </w:p>
        </w:tc>
        <w:tc>
          <w:tcPr>
            <w:tcW w:type="dxa" w:w="3513"/>
            <w:vAlign w:val="top"/>
          </w:tcPr>
          <w:p>
            <w:pPr>
              <w:spacing w:after="0" w:line="240" w:lineRule="auto"/>
            </w:pPr>
            <w:r/>
            <w:r>
              <w:rPr>
                <w:b w:val="0"/>
                <w:sz w:val="15"/>
              </w:rPr>
              <w:t>Total Market rows may support broad sanity checks but should not be normal company industry selection.</w:t>
            </w:r>
          </w:p>
        </w:tc>
      </w:tr>
      <w:tr>
        <w:tc>
          <w:tcPr>
            <w:tcW w:type="dxa" w:w="3513"/>
            <w:vAlign w:val="top"/>
          </w:tcPr>
          <w:p>
            <w:pPr>
              <w:spacing w:after="0" w:line="240" w:lineRule="auto"/>
            </w:pPr>
            <w:r/>
            <w:r>
              <w:rPr>
                <w:b w:val="0"/>
                <w:sz w:val="15"/>
              </w:rPr>
              <w:t>IB-RULE-006</w:t>
            </w:r>
          </w:p>
        </w:tc>
        <w:tc>
          <w:tcPr>
            <w:tcW w:type="dxa" w:w="3513"/>
            <w:vAlign w:val="top"/>
          </w:tcPr>
          <w:p>
            <w:pPr>
              <w:spacing w:after="0" w:line="240" w:lineRule="auto"/>
            </w:pPr>
            <w:r/>
            <w:r>
              <w:rPr>
                <w:b w:val="0"/>
                <w:sz w:val="15"/>
              </w:rPr>
              <w:t>ISM-sector is display only.</w:t>
            </w:r>
          </w:p>
        </w:tc>
        <w:tc>
          <w:tcPr>
            <w:tcW w:type="dxa" w:w="3513"/>
            <w:vAlign w:val="top"/>
          </w:tcPr>
          <w:p>
            <w:pPr>
              <w:spacing w:after="0" w:line="240" w:lineRule="auto"/>
            </w:pPr>
            <w:r/>
            <w:r>
              <w:rPr>
                <w:b w:val="0"/>
                <w:sz w:val="15"/>
              </w:rPr>
              <w:t>It is derived from selected benchmark and must not feed engines or review logic.</w:t>
            </w:r>
          </w:p>
        </w:tc>
      </w:tr>
    </w:tbl>
    <w:p/>
    <w:p>
      <w:pPr>
        <w:pStyle w:val="TableTitle"/>
      </w:pPr>
      <w:r>
        <w:rPr>
          <w:b/>
        </w:rPr>
        <w:t>Table - tblIndustryBenchmarkConfig</w:t>
      </w:r>
    </w:p>
    <w:p>
      <w:pPr>
        <w:pStyle w:val="TablePurpose"/>
      </w:pPr>
      <w:r>
        <w:t>Meaningful benchmark-first configuration rows. Numeric benchmark values are pulled from Damodaran Data; this table defines model use and review context.</w:t>
      </w:r>
    </w:p>
    <w:tbl>
      <w:tblPr>
        <w:tblStyle w:val="TableGrid"/>
        <w:tblW w:type="auto" w:w="0"/>
        <w:jc w:val="center"/>
        <w:tblLayout w:type="autofit"/>
        <w:tblLook w:firstColumn="1" w:firstRow="1" w:lastColumn="0" w:lastRow="0" w:noHBand="0" w:noVBand="1" w:val="04A0"/>
      </w:tblPr>
      <w:tblGrid>
        <w:gridCol w:w="1506"/>
        <w:gridCol w:w="1506"/>
        <w:gridCol w:w="1506"/>
        <w:gridCol w:w="1506"/>
        <w:gridCol w:w="1506"/>
        <w:gridCol w:w="1506"/>
        <w:gridCol w:w="1506"/>
      </w:tblGrid>
      <w:tr>
        <w:tc>
          <w:tcPr>
            <w:tcW w:type="dxa" w:w="1506"/>
            <w:vAlign w:val="top"/>
            <w:shd w:fill="D9EAF7"/>
          </w:tcPr>
          <w:p>
            <w:pPr>
              <w:spacing w:after="0" w:line="240" w:lineRule="auto"/>
            </w:pPr>
            <w:r/>
            <w:r>
              <w:rPr>
                <w:b/>
                <w:sz w:val="16"/>
              </w:rPr>
              <w:t>Damodaran Industrial Benchmark</w:t>
            </w:r>
          </w:p>
        </w:tc>
        <w:tc>
          <w:tcPr>
            <w:tcW w:type="dxa" w:w="1506"/>
            <w:vAlign w:val="top"/>
            <w:shd w:fill="D9EAF7"/>
          </w:tcPr>
          <w:p>
            <w:pPr>
              <w:spacing w:after="0" w:line="240" w:lineRule="auto"/>
            </w:pPr>
            <w:r/>
            <w:r>
              <w:rPr>
                <w:b/>
                <w:sz w:val="16"/>
              </w:rPr>
              <w:t>Template Status</w:t>
            </w:r>
          </w:p>
        </w:tc>
        <w:tc>
          <w:tcPr>
            <w:tcW w:type="dxa" w:w="1506"/>
            <w:vAlign w:val="top"/>
            <w:shd w:fill="D9EAF7"/>
          </w:tcPr>
          <w:p>
            <w:pPr>
              <w:spacing w:after="0" w:line="240" w:lineRule="auto"/>
            </w:pPr>
            <w:r/>
            <w:r>
              <w:rPr>
                <w:b/>
                <w:sz w:val="16"/>
              </w:rPr>
              <w:t>Default Stage Recommendation</w:t>
            </w:r>
          </w:p>
        </w:tc>
        <w:tc>
          <w:tcPr>
            <w:tcW w:type="dxa" w:w="1506"/>
            <w:vAlign w:val="top"/>
            <w:shd w:fill="D9EAF7"/>
          </w:tcPr>
          <w:p>
            <w:pPr>
              <w:spacing w:after="0" w:line="240" w:lineRule="auto"/>
            </w:pPr>
            <w:r/>
            <w:r>
              <w:rPr>
                <w:b/>
                <w:sz w:val="16"/>
              </w:rPr>
              <w:t>History Recommendation</w:t>
            </w:r>
          </w:p>
        </w:tc>
        <w:tc>
          <w:tcPr>
            <w:tcW w:type="dxa" w:w="1506"/>
            <w:vAlign w:val="top"/>
            <w:shd w:fill="D9EAF7"/>
          </w:tcPr>
          <w:p>
            <w:pPr>
              <w:spacing w:after="0" w:line="240" w:lineRule="auto"/>
            </w:pPr>
            <w:r/>
            <w:r>
              <w:rPr>
                <w:b/>
                <w:sz w:val="16"/>
              </w:rPr>
              <w:t>Cyclicality Flag</w:t>
            </w:r>
          </w:p>
        </w:tc>
        <w:tc>
          <w:tcPr>
            <w:tcW w:type="dxa" w:w="1506"/>
            <w:vAlign w:val="top"/>
            <w:shd w:fill="D9EAF7"/>
          </w:tcPr>
          <w:p>
            <w:pPr>
              <w:spacing w:after="0" w:line="240" w:lineRule="auto"/>
            </w:pPr>
            <w:r/>
            <w:r>
              <w:rPr>
                <w:b/>
                <w:sz w:val="16"/>
              </w:rPr>
              <w:t>Asset Intensity</w:t>
            </w:r>
          </w:p>
        </w:tc>
        <w:tc>
          <w:tcPr>
            <w:tcW w:type="dxa" w:w="1506"/>
            <w:vAlign w:val="top"/>
            <w:shd w:fill="D9EAF7"/>
          </w:tcPr>
          <w:p>
            <w:pPr>
              <w:spacing w:after="0" w:line="240" w:lineRule="auto"/>
            </w:pPr>
            <w:r/>
            <w:r>
              <w:rPr>
                <w:b/>
                <w:sz w:val="16"/>
              </w:rPr>
              <w:t>Regulatory Flag</w:t>
            </w:r>
          </w:p>
        </w:tc>
      </w:tr>
      <w:tr>
        <w:tc>
          <w:tcPr>
            <w:tcW w:type="dxa" w:w="1506"/>
            <w:vAlign w:val="top"/>
          </w:tcPr>
          <w:p>
            <w:pPr>
              <w:spacing w:after="0" w:line="240" w:lineRule="auto"/>
            </w:pPr>
            <w:r/>
            <w:r>
              <w:rPr>
                <w:b w:val="0"/>
                <w:sz w:val="15"/>
              </w:rPr>
              <w:t>Advertising</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Low</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Aerospace/Defense</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Yes / Watch</w:t>
            </w:r>
          </w:p>
        </w:tc>
      </w:tr>
      <w:tr>
        <w:tc>
          <w:tcPr>
            <w:tcW w:type="dxa" w:w="1506"/>
            <w:vAlign w:val="top"/>
          </w:tcPr>
          <w:p>
            <w:pPr>
              <w:spacing w:after="0" w:line="240" w:lineRule="auto"/>
            </w:pPr>
            <w:r/>
            <w:r>
              <w:rPr>
                <w:b w:val="0"/>
                <w:sz w:val="15"/>
              </w:rPr>
              <w:t>Air Transport</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Yes / Watch</w:t>
            </w:r>
          </w:p>
        </w:tc>
      </w:tr>
      <w:tr>
        <w:tc>
          <w:tcPr>
            <w:tcW w:type="dxa" w:w="1506"/>
            <w:vAlign w:val="top"/>
          </w:tcPr>
          <w:p>
            <w:pPr>
              <w:spacing w:after="0" w:line="240" w:lineRule="auto"/>
            </w:pPr>
            <w:r/>
            <w:r>
              <w:rPr>
                <w:b w:val="0"/>
                <w:sz w:val="15"/>
              </w:rPr>
              <w:t>Apparel</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Auto &amp; Truck</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Auto Parts</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Bank (Money Center)</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w:t>
            </w:r>
          </w:p>
        </w:tc>
      </w:tr>
      <w:tr>
        <w:tc>
          <w:tcPr>
            <w:tcW w:type="dxa" w:w="1506"/>
            <w:vAlign w:val="top"/>
          </w:tcPr>
          <w:p>
            <w:pPr>
              <w:spacing w:after="0" w:line="240" w:lineRule="auto"/>
            </w:pPr>
            <w:r/>
            <w:r>
              <w:rPr>
                <w:b w:val="0"/>
                <w:sz w:val="15"/>
              </w:rPr>
              <w:t>Banks (Regional)</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w:t>
            </w:r>
          </w:p>
        </w:tc>
      </w:tr>
      <w:tr>
        <w:tc>
          <w:tcPr>
            <w:tcW w:type="dxa" w:w="1506"/>
            <w:vAlign w:val="top"/>
          </w:tcPr>
          <w:p>
            <w:pPr>
              <w:spacing w:after="0" w:line="240" w:lineRule="auto"/>
            </w:pPr>
            <w:r/>
            <w:r>
              <w:rPr>
                <w:b w:val="0"/>
                <w:sz w:val="15"/>
              </w:rPr>
              <w:t>Beverage (Alcoholic)</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2-stage / Stable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Low / Medium</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Beverage (Soft)</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2-stage / Stable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Low / Medium</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Broadcasting</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Brokerage &amp; Investment Banking</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w:t>
            </w:r>
          </w:p>
        </w:tc>
      </w:tr>
      <w:tr>
        <w:tc>
          <w:tcPr>
            <w:tcW w:type="dxa" w:w="1506"/>
            <w:vAlign w:val="top"/>
          </w:tcPr>
          <w:p>
            <w:pPr>
              <w:spacing w:after="0" w:line="240" w:lineRule="auto"/>
            </w:pPr>
            <w:r/>
            <w:r>
              <w:rPr>
                <w:b w:val="0"/>
                <w:sz w:val="15"/>
              </w:rPr>
              <w:t>Building Materials</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Business &amp; Consumer Services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 n-stage FCFF</w:t>
            </w:r>
          </w:p>
        </w:tc>
        <w:tc>
          <w:tcPr>
            <w:tcW w:type="dxa" w:w="1506"/>
            <w:vAlign w:val="top"/>
          </w:tcPr>
          <w:p>
            <w:pPr>
              <w:spacing w:after="0" w:line="240" w:lineRule="auto"/>
            </w:pPr>
            <w:r/>
            <w:r>
              <w:rPr>
                <w:b w:val="0"/>
                <w:sz w:val="15"/>
              </w:rPr>
              <w:t>5Y + LTM, extend if volatile</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Low</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Cable TV</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Chemical (Basic)</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Chemical (Diversified)</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Chemical (Specialty)</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Coal &amp; Related Energy</w:t>
            </w:r>
          </w:p>
        </w:tc>
        <w:tc>
          <w:tcPr>
            <w:tcW w:type="dxa" w:w="1506"/>
            <w:vAlign w:val="top"/>
          </w:tcPr>
          <w:p>
            <w:pPr>
              <w:spacing w:after="0" w:line="240" w:lineRule="auto"/>
            </w:pPr>
            <w:r/>
            <w:r>
              <w:rPr>
                <w:b w:val="0"/>
                <w:sz w:val="15"/>
              </w:rPr>
              <w:t>Allowed / Commodity Review</w:t>
            </w:r>
          </w:p>
        </w:tc>
        <w:tc>
          <w:tcPr>
            <w:tcW w:type="dxa" w:w="1506"/>
            <w:vAlign w:val="top"/>
          </w:tcPr>
          <w:p>
            <w:pPr>
              <w:spacing w:after="0" w:line="240" w:lineRule="auto"/>
            </w:pPr>
            <w:r/>
            <w:r>
              <w:rPr>
                <w:b w:val="0"/>
                <w:sz w:val="15"/>
              </w:rPr>
              <w:t>Cyclical normalized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Commodity / 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Computer Services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 n-stage FCFF</w:t>
            </w:r>
          </w:p>
        </w:tc>
        <w:tc>
          <w:tcPr>
            <w:tcW w:type="dxa" w:w="1506"/>
            <w:vAlign w:val="top"/>
          </w:tcPr>
          <w:p>
            <w:pPr>
              <w:spacing w:after="0" w:line="240" w:lineRule="auto"/>
            </w:pPr>
            <w:r/>
            <w:r>
              <w:rPr>
                <w:b w:val="0"/>
                <w:sz w:val="15"/>
              </w:rPr>
              <w:t>5Y + LTM, extend if volatile</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Low</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Computers/Peripherals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Construction Supplies</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Diversified</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Drugs (Biotechnology)</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 n-stage FCFF</w:t>
            </w:r>
          </w:p>
        </w:tc>
        <w:tc>
          <w:tcPr>
            <w:tcW w:type="dxa" w:w="1506"/>
            <w:vAlign w:val="top"/>
          </w:tcPr>
          <w:p>
            <w:pPr>
              <w:spacing w:after="0" w:line="240" w:lineRule="auto"/>
            </w:pPr>
            <w:r/>
            <w:r>
              <w:rPr>
                <w:b w:val="0"/>
                <w:sz w:val="15"/>
              </w:rPr>
              <w:t>5Y + LTM, extend if volatile</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Yes / Watch</w:t>
            </w:r>
          </w:p>
        </w:tc>
      </w:tr>
      <w:tr>
        <w:tc>
          <w:tcPr>
            <w:tcW w:type="dxa" w:w="1506"/>
            <w:vAlign w:val="top"/>
          </w:tcPr>
          <w:p>
            <w:pPr>
              <w:spacing w:after="0" w:line="240" w:lineRule="auto"/>
            </w:pPr>
            <w:r/>
            <w:r>
              <w:rPr>
                <w:b w:val="0"/>
                <w:sz w:val="15"/>
              </w:rPr>
              <w:t>Drugs (Pharmaceutical)</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 n-stage FCFF</w:t>
            </w:r>
          </w:p>
        </w:tc>
        <w:tc>
          <w:tcPr>
            <w:tcW w:type="dxa" w:w="1506"/>
            <w:vAlign w:val="top"/>
          </w:tcPr>
          <w:p>
            <w:pPr>
              <w:spacing w:after="0" w:line="240" w:lineRule="auto"/>
            </w:pPr>
            <w:r/>
            <w:r>
              <w:rPr>
                <w:b w:val="0"/>
                <w:sz w:val="15"/>
              </w:rPr>
              <w:t>5Y + LTM, extend if volatile</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Yes / Watch</w:t>
            </w:r>
          </w:p>
        </w:tc>
      </w:tr>
      <w:tr>
        <w:tc>
          <w:tcPr>
            <w:tcW w:type="dxa" w:w="1506"/>
            <w:vAlign w:val="top"/>
          </w:tcPr>
          <w:p>
            <w:pPr>
              <w:spacing w:after="0" w:line="240" w:lineRule="auto"/>
            </w:pPr>
            <w:r/>
            <w:r>
              <w:rPr>
                <w:b w:val="0"/>
                <w:sz w:val="15"/>
              </w:rPr>
              <w:t>Education</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 n-stage FCFF</w:t>
            </w:r>
          </w:p>
        </w:tc>
        <w:tc>
          <w:tcPr>
            <w:tcW w:type="dxa" w:w="1506"/>
            <w:vAlign w:val="top"/>
          </w:tcPr>
          <w:p>
            <w:pPr>
              <w:spacing w:after="0" w:line="240" w:lineRule="auto"/>
            </w:pPr>
            <w:r/>
            <w:r>
              <w:rPr>
                <w:b w:val="0"/>
                <w:sz w:val="15"/>
              </w:rPr>
              <w:t>5Y + LTM, extend if volatile</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Low</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Electrical Equipment</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Electronics (Consumer &amp; Office)</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Electronics (General)</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Engineering/Construction</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Entertainment</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Environmental &amp; Waste Services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 n-stage FCFF</w:t>
            </w:r>
          </w:p>
        </w:tc>
        <w:tc>
          <w:tcPr>
            <w:tcW w:type="dxa" w:w="1506"/>
            <w:vAlign w:val="top"/>
          </w:tcPr>
          <w:p>
            <w:pPr>
              <w:spacing w:after="0" w:line="240" w:lineRule="auto"/>
            </w:pPr>
            <w:r/>
            <w:r>
              <w:rPr>
                <w:b w:val="0"/>
                <w:sz w:val="15"/>
              </w:rPr>
              <w:t>5Y + LTM, extend if volatile</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Farming/Agriculture</w:t>
            </w:r>
          </w:p>
        </w:tc>
        <w:tc>
          <w:tcPr>
            <w:tcW w:type="dxa" w:w="1506"/>
            <w:vAlign w:val="top"/>
          </w:tcPr>
          <w:p>
            <w:pPr>
              <w:spacing w:after="0" w:line="240" w:lineRule="auto"/>
            </w:pPr>
            <w:r/>
            <w:r>
              <w:rPr>
                <w:b w:val="0"/>
                <w:sz w:val="15"/>
              </w:rPr>
              <w:t>Allowed / Commodity Review</w:t>
            </w:r>
          </w:p>
        </w:tc>
        <w:tc>
          <w:tcPr>
            <w:tcW w:type="dxa" w:w="1506"/>
            <w:vAlign w:val="top"/>
          </w:tcPr>
          <w:p>
            <w:pPr>
              <w:spacing w:after="0" w:line="240" w:lineRule="auto"/>
            </w:pPr>
            <w:r/>
            <w:r>
              <w:rPr>
                <w:b w:val="0"/>
                <w:sz w:val="15"/>
              </w:rPr>
              <w:t>Cyclical normalized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Commodity / 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Financial Svcs. (Non-bank &amp; Insurance)</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w:t>
            </w:r>
          </w:p>
        </w:tc>
      </w:tr>
      <w:tr>
        <w:tc>
          <w:tcPr>
            <w:tcW w:type="dxa" w:w="1506"/>
            <w:vAlign w:val="top"/>
          </w:tcPr>
          <w:p>
            <w:pPr>
              <w:spacing w:after="0" w:line="240" w:lineRule="auto"/>
            </w:pPr>
            <w:r/>
            <w:r>
              <w:rPr>
                <w:b w:val="0"/>
                <w:sz w:val="15"/>
              </w:rPr>
              <w:t>Food Processing</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2-stage / Stable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Low / Medium</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Food Wholesalers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2-stage / Stable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Low / Medium</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Furn/Home Furnishings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Green &amp; Renewable Energy</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Healthcare Products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 n-stage FCFF</w:t>
            </w:r>
          </w:p>
        </w:tc>
        <w:tc>
          <w:tcPr>
            <w:tcW w:type="dxa" w:w="1506"/>
            <w:vAlign w:val="top"/>
          </w:tcPr>
          <w:p>
            <w:pPr>
              <w:spacing w:after="0" w:line="240" w:lineRule="auto"/>
            </w:pPr>
            <w:r/>
            <w:r>
              <w:rPr>
                <w:b w:val="0"/>
                <w:sz w:val="15"/>
              </w:rPr>
              <w:t>5Y + LTM, extend if volatile</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Yes / Watch</w:t>
            </w:r>
          </w:p>
        </w:tc>
      </w:tr>
      <w:tr>
        <w:tc>
          <w:tcPr>
            <w:tcW w:type="dxa" w:w="1506"/>
            <w:vAlign w:val="top"/>
          </w:tcPr>
          <w:p>
            <w:pPr>
              <w:spacing w:after="0" w:line="240" w:lineRule="auto"/>
            </w:pPr>
            <w:r/>
            <w:r>
              <w:rPr>
                <w:b w:val="0"/>
                <w:sz w:val="15"/>
              </w:rPr>
              <w:t>Healthcare Support Services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 n-stage FCFF</w:t>
            </w:r>
          </w:p>
        </w:tc>
        <w:tc>
          <w:tcPr>
            <w:tcW w:type="dxa" w:w="1506"/>
            <w:vAlign w:val="top"/>
          </w:tcPr>
          <w:p>
            <w:pPr>
              <w:spacing w:after="0" w:line="240" w:lineRule="auto"/>
            </w:pPr>
            <w:r/>
            <w:r>
              <w:rPr>
                <w:b w:val="0"/>
                <w:sz w:val="15"/>
              </w:rPr>
              <w:t>5Y + LTM, extend if volatile</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Heathcare Information and Technology</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 n-stage FCFF</w:t>
            </w:r>
          </w:p>
        </w:tc>
        <w:tc>
          <w:tcPr>
            <w:tcW w:type="dxa" w:w="1506"/>
            <w:vAlign w:val="top"/>
          </w:tcPr>
          <w:p>
            <w:pPr>
              <w:spacing w:after="0" w:line="240" w:lineRule="auto"/>
            </w:pPr>
            <w:r/>
            <w:r>
              <w:rPr>
                <w:b w:val="0"/>
                <w:sz w:val="15"/>
              </w:rPr>
              <w:t>5Y + LTM, extend if volatile</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Homebuilding</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Hospitals/Healthcare Facilities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Yes / Watch</w:t>
            </w:r>
          </w:p>
        </w:tc>
      </w:tr>
      <w:tr>
        <w:tc>
          <w:tcPr>
            <w:tcW w:type="dxa" w:w="1506"/>
            <w:vAlign w:val="top"/>
          </w:tcPr>
          <w:p>
            <w:pPr>
              <w:spacing w:after="0" w:line="240" w:lineRule="auto"/>
            </w:pPr>
            <w:r/>
            <w:r>
              <w:rPr>
                <w:b w:val="0"/>
                <w:sz w:val="15"/>
              </w:rPr>
              <w:t>Hotel/Gaming</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Household Products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2-stage / Stable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Low / Medium</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Information Services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 n-stage FCFF</w:t>
            </w:r>
          </w:p>
        </w:tc>
        <w:tc>
          <w:tcPr>
            <w:tcW w:type="dxa" w:w="1506"/>
            <w:vAlign w:val="top"/>
          </w:tcPr>
          <w:p>
            <w:pPr>
              <w:spacing w:after="0" w:line="240" w:lineRule="auto"/>
            </w:pPr>
            <w:r/>
            <w:r>
              <w:rPr>
                <w:b w:val="0"/>
                <w:sz w:val="15"/>
              </w:rPr>
              <w:t>5Y + LTM, extend if volatile</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Low</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Insurance (General)</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w:t>
            </w:r>
          </w:p>
        </w:tc>
      </w:tr>
      <w:tr>
        <w:tc>
          <w:tcPr>
            <w:tcW w:type="dxa" w:w="1506"/>
            <w:vAlign w:val="top"/>
          </w:tcPr>
          <w:p>
            <w:pPr>
              <w:spacing w:after="0" w:line="240" w:lineRule="auto"/>
            </w:pPr>
            <w:r/>
            <w:r>
              <w:rPr>
                <w:b w:val="0"/>
                <w:sz w:val="15"/>
              </w:rPr>
              <w:t>Insurance (Life)</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w:t>
            </w:r>
          </w:p>
        </w:tc>
      </w:tr>
      <w:tr>
        <w:tc>
          <w:tcPr>
            <w:tcW w:type="dxa" w:w="1506"/>
            <w:vAlign w:val="top"/>
          </w:tcPr>
          <w:p>
            <w:pPr>
              <w:spacing w:after="0" w:line="240" w:lineRule="auto"/>
            </w:pPr>
            <w:r/>
            <w:r>
              <w:rPr>
                <w:b w:val="0"/>
                <w:sz w:val="15"/>
              </w:rPr>
              <w:t>Insurance (Prop/Cas.)</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w:t>
            </w:r>
          </w:p>
        </w:tc>
      </w:tr>
      <w:tr>
        <w:tc>
          <w:tcPr>
            <w:tcW w:type="dxa" w:w="1506"/>
            <w:vAlign w:val="top"/>
          </w:tcPr>
          <w:p>
            <w:pPr>
              <w:spacing w:after="0" w:line="240" w:lineRule="auto"/>
            </w:pPr>
            <w:r/>
            <w:r>
              <w:rPr>
                <w:b w:val="0"/>
                <w:sz w:val="15"/>
              </w:rPr>
              <w:t>Investments &amp; Asset Management</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w:t>
            </w:r>
          </w:p>
        </w:tc>
      </w:tr>
      <w:tr>
        <w:tc>
          <w:tcPr>
            <w:tcW w:type="dxa" w:w="1506"/>
            <w:vAlign w:val="top"/>
          </w:tcPr>
          <w:p>
            <w:pPr>
              <w:spacing w:after="0" w:line="240" w:lineRule="auto"/>
            </w:pPr>
            <w:r/>
            <w:r>
              <w:rPr>
                <w:b w:val="0"/>
                <w:sz w:val="15"/>
              </w:rPr>
              <w:t>Machinery</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Metals &amp; Mining</w:t>
            </w:r>
          </w:p>
        </w:tc>
        <w:tc>
          <w:tcPr>
            <w:tcW w:type="dxa" w:w="1506"/>
            <w:vAlign w:val="top"/>
          </w:tcPr>
          <w:p>
            <w:pPr>
              <w:spacing w:after="0" w:line="240" w:lineRule="auto"/>
            </w:pPr>
            <w:r/>
            <w:r>
              <w:rPr>
                <w:b w:val="0"/>
                <w:sz w:val="15"/>
              </w:rPr>
              <w:t>Allowed / Commodity Review</w:t>
            </w:r>
          </w:p>
        </w:tc>
        <w:tc>
          <w:tcPr>
            <w:tcW w:type="dxa" w:w="1506"/>
            <w:vAlign w:val="top"/>
          </w:tcPr>
          <w:p>
            <w:pPr>
              <w:spacing w:after="0" w:line="240" w:lineRule="auto"/>
            </w:pPr>
            <w:r/>
            <w:r>
              <w:rPr>
                <w:b w:val="0"/>
                <w:sz w:val="15"/>
              </w:rPr>
              <w:t>Cyclical normalized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Commodity / 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Office Equipment &amp; Services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Oil/Gas (Integrated)</w:t>
            </w:r>
          </w:p>
        </w:tc>
        <w:tc>
          <w:tcPr>
            <w:tcW w:type="dxa" w:w="1506"/>
            <w:vAlign w:val="top"/>
          </w:tcPr>
          <w:p>
            <w:pPr>
              <w:spacing w:after="0" w:line="240" w:lineRule="auto"/>
            </w:pPr>
            <w:r/>
            <w:r>
              <w:rPr>
                <w:b w:val="0"/>
                <w:sz w:val="15"/>
              </w:rPr>
              <w:t>Allowed / Commodity Review</w:t>
            </w:r>
          </w:p>
        </w:tc>
        <w:tc>
          <w:tcPr>
            <w:tcW w:type="dxa" w:w="1506"/>
            <w:vAlign w:val="top"/>
          </w:tcPr>
          <w:p>
            <w:pPr>
              <w:spacing w:after="0" w:line="240" w:lineRule="auto"/>
            </w:pPr>
            <w:r/>
            <w:r>
              <w:rPr>
                <w:b w:val="0"/>
                <w:sz w:val="15"/>
              </w:rPr>
              <w:t>Cyclical normalized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Commodity / 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Oil/Gas (Production and Exploration)</w:t>
            </w:r>
          </w:p>
        </w:tc>
        <w:tc>
          <w:tcPr>
            <w:tcW w:type="dxa" w:w="1506"/>
            <w:vAlign w:val="top"/>
          </w:tcPr>
          <w:p>
            <w:pPr>
              <w:spacing w:after="0" w:line="240" w:lineRule="auto"/>
            </w:pPr>
            <w:r/>
            <w:r>
              <w:rPr>
                <w:b w:val="0"/>
                <w:sz w:val="15"/>
              </w:rPr>
              <w:t>Allowed / Commodity Review</w:t>
            </w:r>
          </w:p>
        </w:tc>
        <w:tc>
          <w:tcPr>
            <w:tcW w:type="dxa" w:w="1506"/>
            <w:vAlign w:val="top"/>
          </w:tcPr>
          <w:p>
            <w:pPr>
              <w:spacing w:after="0" w:line="240" w:lineRule="auto"/>
            </w:pPr>
            <w:r/>
            <w:r>
              <w:rPr>
                <w:b w:val="0"/>
                <w:sz w:val="15"/>
              </w:rPr>
              <w:t>Cyclical normalized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Commodity / 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Oil/Gas Distribution</w:t>
            </w:r>
          </w:p>
        </w:tc>
        <w:tc>
          <w:tcPr>
            <w:tcW w:type="dxa" w:w="1506"/>
            <w:vAlign w:val="top"/>
          </w:tcPr>
          <w:p>
            <w:pPr>
              <w:spacing w:after="0" w:line="240" w:lineRule="auto"/>
            </w:pPr>
            <w:r/>
            <w:r>
              <w:rPr>
                <w:b w:val="0"/>
                <w:sz w:val="15"/>
              </w:rPr>
              <w:t>Allowed / Commodity Review</w:t>
            </w:r>
          </w:p>
        </w:tc>
        <w:tc>
          <w:tcPr>
            <w:tcW w:type="dxa" w:w="1506"/>
            <w:vAlign w:val="top"/>
          </w:tcPr>
          <w:p>
            <w:pPr>
              <w:spacing w:after="0" w:line="240" w:lineRule="auto"/>
            </w:pPr>
            <w:r/>
            <w:r>
              <w:rPr>
                <w:b w:val="0"/>
                <w:sz w:val="15"/>
              </w:rPr>
              <w:t>Cyclical normalized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Commodity / 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Yes / Watch</w:t>
            </w:r>
          </w:p>
        </w:tc>
      </w:tr>
      <w:tr>
        <w:tc>
          <w:tcPr>
            <w:tcW w:type="dxa" w:w="1506"/>
            <w:vAlign w:val="top"/>
          </w:tcPr>
          <w:p>
            <w:pPr>
              <w:spacing w:after="0" w:line="240" w:lineRule="auto"/>
            </w:pPr>
            <w:r/>
            <w:r>
              <w:rPr>
                <w:b w:val="0"/>
                <w:sz w:val="15"/>
              </w:rPr>
              <w:t>Oilfield Svcs/Equip.</w:t>
            </w:r>
          </w:p>
        </w:tc>
        <w:tc>
          <w:tcPr>
            <w:tcW w:type="dxa" w:w="1506"/>
            <w:vAlign w:val="top"/>
          </w:tcPr>
          <w:p>
            <w:pPr>
              <w:spacing w:after="0" w:line="240" w:lineRule="auto"/>
            </w:pPr>
            <w:r/>
            <w:r>
              <w:rPr>
                <w:b w:val="0"/>
                <w:sz w:val="15"/>
              </w:rPr>
              <w:t>Allowed / Commodity Review</w:t>
            </w:r>
          </w:p>
        </w:tc>
        <w:tc>
          <w:tcPr>
            <w:tcW w:type="dxa" w:w="1506"/>
            <w:vAlign w:val="top"/>
          </w:tcPr>
          <w:p>
            <w:pPr>
              <w:spacing w:after="0" w:line="240" w:lineRule="auto"/>
            </w:pPr>
            <w:r/>
            <w:r>
              <w:rPr>
                <w:b w:val="0"/>
                <w:sz w:val="15"/>
              </w:rPr>
              <w:t>Cyclical normalized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Commodity / 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Packaging &amp; Container</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2-stage / Stable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Low / Medium</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Paper/Forest Products</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Power</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Yes / Watch</w:t>
            </w:r>
          </w:p>
        </w:tc>
      </w:tr>
      <w:tr>
        <w:tc>
          <w:tcPr>
            <w:tcW w:type="dxa" w:w="1506"/>
            <w:vAlign w:val="top"/>
          </w:tcPr>
          <w:p>
            <w:pPr>
              <w:spacing w:after="0" w:line="240" w:lineRule="auto"/>
            </w:pPr>
            <w:r/>
            <w:r>
              <w:rPr>
                <w:b w:val="0"/>
                <w:sz w:val="15"/>
              </w:rPr>
              <w:t>Precious Metals</w:t>
            </w:r>
          </w:p>
        </w:tc>
        <w:tc>
          <w:tcPr>
            <w:tcW w:type="dxa" w:w="1506"/>
            <w:vAlign w:val="top"/>
          </w:tcPr>
          <w:p>
            <w:pPr>
              <w:spacing w:after="0" w:line="240" w:lineRule="auto"/>
            </w:pPr>
            <w:r/>
            <w:r>
              <w:rPr>
                <w:b w:val="0"/>
                <w:sz w:val="15"/>
              </w:rPr>
              <w:t>Allowed / Commodity Review</w:t>
            </w:r>
          </w:p>
        </w:tc>
        <w:tc>
          <w:tcPr>
            <w:tcW w:type="dxa" w:w="1506"/>
            <w:vAlign w:val="top"/>
          </w:tcPr>
          <w:p>
            <w:pPr>
              <w:spacing w:after="0" w:line="240" w:lineRule="auto"/>
            </w:pPr>
            <w:r/>
            <w:r>
              <w:rPr>
                <w:b w:val="0"/>
                <w:sz w:val="15"/>
              </w:rPr>
              <w:t>Cyclical normalized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Commodity / 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Publishing &amp; Newspapers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R.E.I.T.</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w:t>
            </w:r>
          </w:p>
        </w:tc>
      </w:tr>
      <w:tr>
        <w:tc>
          <w:tcPr>
            <w:tcW w:type="dxa" w:w="1506"/>
            <w:vAlign w:val="top"/>
          </w:tcPr>
          <w:p>
            <w:pPr>
              <w:spacing w:after="0" w:line="240" w:lineRule="auto"/>
            </w:pPr>
            <w:r/>
            <w:r>
              <w:rPr>
                <w:b w:val="0"/>
                <w:sz w:val="15"/>
              </w:rPr>
              <w:t>Real Estate (Development)</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w:t>
            </w:r>
          </w:p>
        </w:tc>
      </w:tr>
      <w:tr>
        <w:tc>
          <w:tcPr>
            <w:tcW w:type="dxa" w:w="1506"/>
            <w:vAlign w:val="top"/>
          </w:tcPr>
          <w:p>
            <w:pPr>
              <w:spacing w:after="0" w:line="240" w:lineRule="auto"/>
            </w:pPr>
            <w:r/>
            <w:r>
              <w:rPr>
                <w:b w:val="0"/>
                <w:sz w:val="15"/>
              </w:rPr>
              <w:t>Real Estate (General/Diversified)</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w:t>
            </w:r>
          </w:p>
        </w:tc>
      </w:tr>
      <w:tr>
        <w:tc>
          <w:tcPr>
            <w:tcW w:type="dxa" w:w="1506"/>
            <w:vAlign w:val="top"/>
          </w:tcPr>
          <w:p>
            <w:pPr>
              <w:spacing w:after="0" w:line="240" w:lineRule="auto"/>
            </w:pPr>
            <w:r/>
            <w:r>
              <w:rPr>
                <w:b w:val="0"/>
                <w:sz w:val="15"/>
              </w:rPr>
              <w:t>Real Estate (Operations &amp; Services)</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w:t>
            </w:r>
          </w:p>
        </w:tc>
      </w:tr>
      <w:tr>
        <w:tc>
          <w:tcPr>
            <w:tcW w:type="dxa" w:w="1506"/>
            <w:vAlign w:val="top"/>
          </w:tcPr>
          <w:p>
            <w:pPr>
              <w:spacing w:after="0" w:line="240" w:lineRule="auto"/>
            </w:pPr>
            <w:r/>
            <w:r>
              <w:rPr>
                <w:b w:val="0"/>
                <w:sz w:val="15"/>
              </w:rPr>
              <w:t>Recreation</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Reinsurance</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w:t>
            </w:r>
          </w:p>
        </w:tc>
      </w:tr>
      <w:tr>
        <w:tc>
          <w:tcPr>
            <w:tcW w:type="dxa" w:w="1506"/>
            <w:vAlign w:val="top"/>
          </w:tcPr>
          <w:p>
            <w:pPr>
              <w:spacing w:after="0" w:line="240" w:lineRule="auto"/>
            </w:pPr>
            <w:r/>
            <w:r>
              <w:rPr>
                <w:b w:val="0"/>
                <w:sz w:val="15"/>
              </w:rPr>
              <w:t>Restaurant/Dining</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2-stage / Stable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Low / Medium</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Retail (Automotive)</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Retail (Building Supply)</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Retail (Distributors)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Retail (General)</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Retail (Grocery and Food)</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2-stage / Stable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Low / Medium</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Retail (REITs)</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Excluded / 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 Review</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Special</w:t>
            </w:r>
          </w:p>
        </w:tc>
      </w:tr>
      <w:tr>
        <w:tc>
          <w:tcPr>
            <w:tcW w:type="dxa" w:w="1506"/>
            <w:vAlign w:val="top"/>
          </w:tcPr>
          <w:p>
            <w:pPr>
              <w:spacing w:after="0" w:line="240" w:lineRule="auto"/>
            </w:pPr>
            <w:r/>
            <w:r>
              <w:rPr>
                <w:b w:val="0"/>
                <w:sz w:val="15"/>
              </w:rPr>
              <w:t>Retail (Special Lines)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Rubber &amp; Tires</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Semiconductor</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 n-stage FCFF</w:t>
            </w:r>
          </w:p>
        </w:tc>
        <w:tc>
          <w:tcPr>
            <w:tcW w:type="dxa" w:w="1506"/>
            <w:vAlign w:val="top"/>
          </w:tcPr>
          <w:p>
            <w:pPr>
              <w:spacing w:after="0" w:line="240" w:lineRule="auto"/>
            </w:pPr>
            <w:r/>
            <w:r>
              <w:rPr>
                <w:b w:val="0"/>
                <w:sz w:val="15"/>
              </w:rPr>
              <w:t>5Y + LTM, extend if volatile</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Semiconductor Equip</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Shipbuilding &amp; Marine</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Shoe</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Software (Entertainment)</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 n-stage FCFF</w:t>
            </w:r>
          </w:p>
        </w:tc>
        <w:tc>
          <w:tcPr>
            <w:tcW w:type="dxa" w:w="1506"/>
            <w:vAlign w:val="top"/>
          </w:tcPr>
          <w:p>
            <w:pPr>
              <w:spacing w:after="0" w:line="240" w:lineRule="auto"/>
            </w:pPr>
            <w:r/>
            <w:r>
              <w:rPr>
                <w:b w:val="0"/>
                <w:sz w:val="15"/>
              </w:rPr>
              <w:t>5Y + LTM, extend if volatile</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Low</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Software (Internet)</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 n-stage FCFF</w:t>
            </w:r>
          </w:p>
        </w:tc>
        <w:tc>
          <w:tcPr>
            <w:tcW w:type="dxa" w:w="1506"/>
            <w:vAlign w:val="top"/>
          </w:tcPr>
          <w:p>
            <w:pPr>
              <w:spacing w:after="0" w:line="240" w:lineRule="auto"/>
            </w:pPr>
            <w:r/>
            <w:r>
              <w:rPr>
                <w:b w:val="0"/>
                <w:sz w:val="15"/>
              </w:rPr>
              <w:t>5Y + LTM, extend if volatile</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Low</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Software (System &amp; Application)</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 n-stage FCFF</w:t>
            </w:r>
          </w:p>
        </w:tc>
        <w:tc>
          <w:tcPr>
            <w:tcW w:type="dxa" w:w="1506"/>
            <w:vAlign w:val="top"/>
          </w:tcPr>
          <w:p>
            <w:pPr>
              <w:spacing w:after="0" w:line="240" w:lineRule="auto"/>
            </w:pPr>
            <w:r/>
            <w:r>
              <w:rPr>
                <w:b w:val="0"/>
                <w:sz w:val="15"/>
              </w:rPr>
              <w:t>5Y + LTM, extend if volatile</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Low</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Steel</w:t>
            </w:r>
          </w:p>
        </w:tc>
        <w:tc>
          <w:tcPr>
            <w:tcW w:type="dxa" w:w="1506"/>
            <w:vAlign w:val="top"/>
          </w:tcPr>
          <w:p>
            <w:pPr>
              <w:spacing w:after="0" w:line="240" w:lineRule="auto"/>
            </w:pPr>
            <w:r/>
            <w:r>
              <w:rPr>
                <w:b w:val="0"/>
                <w:sz w:val="15"/>
              </w:rPr>
              <w:t>Allowed / Commodity Review</w:t>
            </w:r>
          </w:p>
        </w:tc>
        <w:tc>
          <w:tcPr>
            <w:tcW w:type="dxa" w:w="1506"/>
            <w:vAlign w:val="top"/>
          </w:tcPr>
          <w:p>
            <w:pPr>
              <w:spacing w:after="0" w:line="240" w:lineRule="auto"/>
            </w:pPr>
            <w:r/>
            <w:r>
              <w:rPr>
                <w:b w:val="0"/>
                <w:sz w:val="15"/>
              </w:rPr>
              <w:t>Cyclical normalized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Commodity / 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Telecom (Wireless)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Yes / Watch</w:t>
            </w:r>
          </w:p>
        </w:tc>
      </w:tr>
      <w:tr>
        <w:tc>
          <w:tcPr>
            <w:tcW w:type="dxa" w:w="1506"/>
            <w:vAlign w:val="top"/>
          </w:tcPr>
          <w:p>
            <w:pPr>
              <w:spacing w:after="0" w:line="240" w:lineRule="auto"/>
            </w:pPr>
            <w:r/>
            <w:r>
              <w:rPr>
                <w:b w:val="0"/>
                <w:sz w:val="15"/>
              </w:rPr>
              <w:t>Telecom. Equipment</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3-stage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Medium / Watch</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Telecom. Services</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2-stage / Stable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Low / Medium</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Yes / Watch</w:t>
            </w:r>
          </w:p>
        </w:tc>
      </w:tr>
      <w:tr>
        <w:tc>
          <w:tcPr>
            <w:tcW w:type="dxa" w:w="1506"/>
            <w:vAlign w:val="top"/>
          </w:tcPr>
          <w:p>
            <w:pPr>
              <w:spacing w:after="0" w:line="240" w:lineRule="auto"/>
            </w:pPr>
            <w:r/>
            <w:r>
              <w:rPr>
                <w:b w:val="0"/>
                <w:sz w:val="15"/>
              </w:rPr>
              <w:t>Tobacco</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2-stage / Stable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Low / Medium</w:t>
            </w:r>
          </w:p>
        </w:tc>
        <w:tc>
          <w:tcPr>
            <w:tcW w:type="dxa" w:w="1506"/>
            <w:vAlign w:val="top"/>
          </w:tcPr>
          <w:p>
            <w:pPr>
              <w:spacing w:after="0" w:line="240" w:lineRule="auto"/>
            </w:pPr>
            <w:r/>
            <w:r>
              <w:rPr>
                <w:b w:val="0"/>
                <w:sz w:val="15"/>
              </w:rPr>
              <w:t>Medium</w:t>
            </w:r>
          </w:p>
        </w:tc>
        <w:tc>
          <w:tcPr>
            <w:tcW w:type="dxa" w:w="1506"/>
            <w:vAlign w:val="top"/>
          </w:tcPr>
          <w:p>
            <w:pPr>
              <w:spacing w:after="0" w:line="240" w:lineRule="auto"/>
            </w:pPr>
            <w:r/>
            <w:r>
              <w:rPr>
                <w:b w:val="0"/>
                <w:sz w:val="15"/>
              </w:rPr>
              <w:t>Yes / Watch</w:t>
            </w:r>
          </w:p>
        </w:tc>
      </w:tr>
      <w:tr>
        <w:tc>
          <w:tcPr>
            <w:tcW w:type="dxa" w:w="1506"/>
            <w:vAlign w:val="top"/>
          </w:tcPr>
          <w:p>
            <w:pPr>
              <w:spacing w:after="0" w:line="240" w:lineRule="auto"/>
            </w:pPr>
            <w:r/>
            <w:r>
              <w:rPr>
                <w:b w:val="0"/>
                <w:sz w:val="15"/>
              </w:rPr>
              <w:t>Transportation</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Transportation (Railroads)</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Trucking</w:t>
            </w:r>
          </w:p>
        </w:tc>
        <w:tc>
          <w:tcPr>
            <w:tcW w:type="dxa" w:w="1506"/>
            <w:vAlign w:val="top"/>
          </w:tcPr>
          <w:p>
            <w:pPr>
              <w:spacing w:after="0" w:line="240" w:lineRule="auto"/>
            </w:pPr>
            <w:r/>
            <w:r>
              <w:rPr>
                <w:b w:val="0"/>
                <w:sz w:val="15"/>
              </w:rPr>
              <w:t>Allowed / Cyclical Review</w:t>
            </w:r>
          </w:p>
        </w:tc>
        <w:tc>
          <w:tcPr>
            <w:tcW w:type="dxa" w:w="1506"/>
            <w:vAlign w:val="top"/>
          </w:tcPr>
          <w:p>
            <w:pPr>
              <w:spacing w:after="0" w:line="240" w:lineRule="auto"/>
            </w:pPr>
            <w:r/>
            <w:r>
              <w:rPr>
                <w:b w:val="0"/>
                <w:sz w:val="15"/>
              </w:rPr>
              <w:t>Cyclical normalized / 3-stage FCFF</w:t>
            </w:r>
          </w:p>
        </w:tc>
        <w:tc>
          <w:tcPr>
            <w:tcW w:type="dxa" w:w="1506"/>
            <w:vAlign w:val="top"/>
          </w:tcPr>
          <w:p>
            <w:pPr>
              <w:spacing w:after="0" w:line="240" w:lineRule="auto"/>
            </w:pPr>
            <w:r/>
            <w:r>
              <w:rPr>
                <w:b w:val="0"/>
                <w:sz w:val="15"/>
              </w:rPr>
              <w:t>10Y / extended if available</w:t>
            </w:r>
          </w:p>
        </w:tc>
        <w:tc>
          <w:tcPr>
            <w:tcW w:type="dxa" w:w="1506"/>
            <w:vAlign w:val="top"/>
          </w:tcPr>
          <w:p>
            <w:pPr>
              <w:spacing w:after="0" w:line="240" w:lineRule="auto"/>
            </w:pPr>
            <w:r/>
            <w:r>
              <w:rPr>
                <w:b w:val="0"/>
                <w:sz w:val="15"/>
              </w:rPr>
              <w:t>Cyclical / Medium-High</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Utility (General)</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2-stage / Stable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Low / Medium</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Yes / Watch</w:t>
            </w:r>
          </w:p>
        </w:tc>
      </w:tr>
      <w:tr>
        <w:tc>
          <w:tcPr>
            <w:tcW w:type="dxa" w:w="1506"/>
            <w:vAlign w:val="top"/>
          </w:tcPr>
          <w:p>
            <w:pPr>
              <w:spacing w:after="0" w:line="240" w:lineRule="auto"/>
            </w:pPr>
            <w:r/>
            <w:r>
              <w:rPr>
                <w:b w:val="0"/>
                <w:sz w:val="15"/>
              </w:rPr>
              <w:t>Utility (Water)</w:t>
            </w:r>
          </w:p>
        </w:tc>
        <w:tc>
          <w:tcPr>
            <w:tcW w:type="dxa" w:w="1506"/>
            <w:vAlign w:val="top"/>
          </w:tcPr>
          <w:p>
            <w:pPr>
              <w:spacing w:after="0" w:line="240" w:lineRule="auto"/>
            </w:pPr>
            <w:r/>
            <w:r>
              <w:rPr>
                <w:b w:val="0"/>
                <w:sz w:val="15"/>
              </w:rPr>
              <w:t>Allowed</w:t>
            </w:r>
          </w:p>
        </w:tc>
        <w:tc>
          <w:tcPr>
            <w:tcW w:type="dxa" w:w="1506"/>
            <w:vAlign w:val="top"/>
          </w:tcPr>
          <w:p>
            <w:pPr>
              <w:spacing w:after="0" w:line="240" w:lineRule="auto"/>
            </w:pPr>
            <w:r/>
            <w:r>
              <w:rPr>
                <w:b w:val="0"/>
                <w:sz w:val="15"/>
              </w:rPr>
              <w:t>2-stage / Stable FCFF</w:t>
            </w:r>
          </w:p>
        </w:tc>
        <w:tc>
          <w:tcPr>
            <w:tcW w:type="dxa" w:w="1506"/>
            <w:vAlign w:val="top"/>
          </w:tcPr>
          <w:p>
            <w:pPr>
              <w:spacing w:after="0" w:line="240" w:lineRule="auto"/>
            </w:pPr>
            <w:r/>
            <w:r>
              <w:rPr>
                <w:b w:val="0"/>
                <w:sz w:val="15"/>
              </w:rPr>
              <w:t>4Y + LTM base, extend if flagged</w:t>
            </w:r>
          </w:p>
        </w:tc>
        <w:tc>
          <w:tcPr>
            <w:tcW w:type="dxa" w:w="1506"/>
            <w:vAlign w:val="top"/>
          </w:tcPr>
          <w:p>
            <w:pPr>
              <w:spacing w:after="0" w:line="240" w:lineRule="auto"/>
            </w:pPr>
            <w:r/>
            <w:r>
              <w:rPr>
                <w:b w:val="0"/>
                <w:sz w:val="15"/>
              </w:rPr>
              <w:t>Low / Medium</w:t>
            </w:r>
          </w:p>
        </w:tc>
        <w:tc>
          <w:tcPr>
            <w:tcW w:type="dxa" w:w="1506"/>
            <w:vAlign w:val="top"/>
          </w:tcPr>
          <w:p>
            <w:pPr>
              <w:spacing w:after="0" w:line="240" w:lineRule="auto"/>
            </w:pPr>
            <w:r/>
            <w:r>
              <w:rPr>
                <w:b w:val="0"/>
                <w:sz w:val="15"/>
              </w:rPr>
              <w:t>High</w:t>
            </w:r>
          </w:p>
        </w:tc>
        <w:tc>
          <w:tcPr>
            <w:tcW w:type="dxa" w:w="1506"/>
            <w:vAlign w:val="top"/>
          </w:tcPr>
          <w:p>
            <w:pPr>
              <w:spacing w:after="0" w:line="240" w:lineRule="auto"/>
            </w:pPr>
            <w:r/>
            <w:r>
              <w:rPr>
                <w:b w:val="0"/>
                <w:sz w:val="15"/>
              </w:rPr>
              <w:t>Yes / Watch</w:t>
            </w:r>
          </w:p>
        </w:tc>
      </w:tr>
      <w:tr>
        <w:tc>
          <w:tcPr>
            <w:tcW w:type="dxa" w:w="1506"/>
            <w:vAlign w:val="top"/>
          </w:tcPr>
          <w:p>
            <w:pPr>
              <w:spacing w:after="0" w:line="240" w:lineRule="auto"/>
            </w:pPr>
            <w:r/>
            <w:r>
              <w:rPr>
                <w:b w:val="0"/>
                <w:sz w:val="15"/>
              </w:rPr>
              <w:t>Total Market</w:t>
            </w:r>
          </w:p>
        </w:tc>
        <w:tc>
          <w:tcPr>
            <w:tcW w:type="dxa" w:w="1506"/>
            <w:vAlign w:val="top"/>
          </w:tcPr>
          <w:p>
            <w:pPr>
              <w:spacing w:after="0" w:line="240" w:lineRule="auto"/>
            </w:pPr>
            <w:r/>
            <w:r>
              <w:rPr>
                <w:b w:val="0"/>
                <w:sz w:val="15"/>
              </w:rPr>
              <w:t>Reference Only</w:t>
            </w:r>
          </w:p>
        </w:tc>
        <w:tc>
          <w:tcPr>
            <w:tcW w:type="dxa" w:w="1506"/>
            <w:vAlign w:val="top"/>
          </w:tcPr>
          <w:p>
            <w:pPr>
              <w:spacing w:after="0" w:line="240" w:lineRule="auto"/>
            </w:pPr>
            <w:r/>
            <w:r>
              <w:rPr>
                <w:b w:val="0"/>
                <w:sz w:val="15"/>
              </w:rPr>
              <w:t>Reference only, not company industry</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Reference</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No / normal watch</w:t>
            </w:r>
          </w:p>
        </w:tc>
      </w:tr>
      <w:tr>
        <w:tc>
          <w:tcPr>
            <w:tcW w:type="dxa" w:w="1506"/>
            <w:vAlign w:val="top"/>
          </w:tcPr>
          <w:p>
            <w:pPr>
              <w:spacing w:after="0" w:line="240" w:lineRule="auto"/>
            </w:pPr>
            <w:r/>
            <w:r>
              <w:rPr>
                <w:b w:val="0"/>
                <w:sz w:val="15"/>
              </w:rPr>
              <w:t>Total Market (without financials)</w:t>
            </w:r>
          </w:p>
        </w:tc>
        <w:tc>
          <w:tcPr>
            <w:tcW w:type="dxa" w:w="1506"/>
            <w:vAlign w:val="top"/>
          </w:tcPr>
          <w:p>
            <w:pPr>
              <w:spacing w:after="0" w:line="240" w:lineRule="auto"/>
            </w:pPr>
            <w:r/>
            <w:r>
              <w:rPr>
                <w:b w:val="0"/>
                <w:sz w:val="15"/>
              </w:rPr>
              <w:t>Reference Only</w:t>
            </w:r>
          </w:p>
        </w:tc>
        <w:tc>
          <w:tcPr>
            <w:tcW w:type="dxa" w:w="1506"/>
            <w:vAlign w:val="top"/>
          </w:tcPr>
          <w:p>
            <w:pPr>
              <w:spacing w:after="0" w:line="240" w:lineRule="auto"/>
            </w:pPr>
            <w:r/>
            <w:r>
              <w:rPr>
                <w:b w:val="0"/>
                <w:sz w:val="15"/>
              </w:rPr>
              <w:t>Reference only, not company industry</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Reference</w:t>
            </w:r>
          </w:p>
        </w:tc>
        <w:tc>
          <w:tcPr>
            <w:tcW w:type="dxa" w:w="1506"/>
            <w:vAlign w:val="top"/>
          </w:tcPr>
          <w:p>
            <w:pPr>
              <w:spacing w:after="0" w:line="240" w:lineRule="auto"/>
            </w:pPr>
            <w:r/>
            <w:r>
              <w:rPr>
                <w:b w:val="0"/>
                <w:sz w:val="15"/>
              </w:rPr>
              <w:t>N/A</w:t>
            </w:r>
          </w:p>
        </w:tc>
        <w:tc>
          <w:tcPr>
            <w:tcW w:type="dxa" w:w="1506"/>
            <w:vAlign w:val="top"/>
          </w:tcPr>
          <w:p>
            <w:pPr>
              <w:spacing w:after="0" w:line="240" w:lineRule="auto"/>
            </w:pPr>
            <w:r/>
            <w:r>
              <w:rPr>
                <w:b w:val="0"/>
                <w:sz w:val="15"/>
              </w:rPr>
              <w:t>No / normal watch</w:t>
            </w:r>
          </w:p>
        </w:tc>
      </w:tr>
    </w:tbl>
    <w:p/>
    <w:p>
      <w:pPr>
        <w:pStyle w:val="TableTitle"/>
      </w:pPr>
      <w:r>
        <w:rPr>
          <w:b/>
        </w:rPr>
        <w:t>Table - tblIndustryISMDisplayMap</w:t>
      </w:r>
    </w:p>
    <w:p>
      <w:pPr>
        <w:pStyle w:val="TablePurpose"/>
      </w:pPr>
      <w:r>
        <w:t>Display-only map. The company sheet and DashBoard may show ISM-sector derived from the selected Damodaran Industrial Benchmark. It must not drive valuation, WACC, forecast, fade, review or dashboard inclusion logic.</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513"/>
            <w:vAlign w:val="top"/>
            <w:shd w:fill="D9EAF7"/>
          </w:tcPr>
          <w:p>
            <w:pPr>
              <w:spacing w:after="0" w:line="240" w:lineRule="auto"/>
            </w:pPr>
            <w:r/>
            <w:r>
              <w:rPr>
                <w:b/>
                <w:sz w:val="16"/>
              </w:rPr>
              <w:t>Damodaran Industrial Benchmark</w:t>
            </w:r>
          </w:p>
        </w:tc>
        <w:tc>
          <w:tcPr>
            <w:tcW w:type="dxa" w:w="3513"/>
            <w:vAlign w:val="top"/>
            <w:shd w:fill="D9EAF7"/>
          </w:tcPr>
          <w:p>
            <w:pPr>
              <w:spacing w:after="0" w:line="240" w:lineRule="auto"/>
            </w:pPr>
            <w:r/>
            <w:r>
              <w:rPr>
                <w:b/>
                <w:sz w:val="16"/>
              </w:rPr>
              <w:t>ISM-sector Display</w:t>
            </w:r>
          </w:p>
        </w:tc>
        <w:tc>
          <w:tcPr>
            <w:tcW w:type="dxa" w:w="3513"/>
            <w:vAlign w:val="top"/>
            <w:shd w:fill="D9EAF7"/>
          </w:tcPr>
          <w:p>
            <w:pPr>
              <w:spacing w:after="0" w:line="240" w:lineRule="auto"/>
            </w:pPr>
            <w:r/>
            <w:r>
              <w:rPr>
                <w:b/>
                <w:sz w:val="16"/>
              </w:rPr>
              <w:t>Use</w:t>
            </w:r>
          </w:p>
        </w:tc>
      </w:tr>
      <w:tr>
        <w:tc>
          <w:tcPr>
            <w:tcW w:type="dxa" w:w="3513"/>
            <w:vAlign w:val="top"/>
          </w:tcPr>
          <w:p>
            <w:pPr>
              <w:spacing w:after="0" w:line="240" w:lineRule="auto"/>
            </w:pPr>
            <w:r/>
            <w:r>
              <w:rPr>
                <w:b w:val="0"/>
                <w:sz w:val="15"/>
              </w:rPr>
              <w:t>Advertising</w:t>
            </w:r>
          </w:p>
        </w:tc>
        <w:tc>
          <w:tcPr>
            <w:tcW w:type="dxa" w:w="3513"/>
            <w:vAlign w:val="top"/>
          </w:tcPr>
          <w:p>
            <w:pPr>
              <w:spacing w:after="0" w:line="240" w:lineRule="auto"/>
            </w:pPr>
            <w:r/>
            <w:r>
              <w:rPr>
                <w:b w:val="0"/>
                <w:sz w:val="15"/>
              </w:rPr>
              <w:t>Professional, Scientific &amp; Technical Services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Aerospace/Defense</w:t>
            </w:r>
          </w:p>
        </w:tc>
        <w:tc>
          <w:tcPr>
            <w:tcW w:type="dxa" w:w="3513"/>
            <w:vAlign w:val="top"/>
          </w:tcPr>
          <w:p>
            <w:pPr>
              <w:spacing w:after="0" w:line="240" w:lineRule="auto"/>
            </w:pPr>
            <w:r/>
            <w:r>
              <w:rPr>
                <w:b w:val="0"/>
                <w:sz w:val="15"/>
              </w:rPr>
              <w:t>Transportation Equipment</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Air Transport</w:t>
            </w:r>
          </w:p>
        </w:tc>
        <w:tc>
          <w:tcPr>
            <w:tcW w:type="dxa" w:w="3513"/>
            <w:vAlign w:val="top"/>
          </w:tcPr>
          <w:p>
            <w:pPr>
              <w:spacing w:after="0" w:line="240" w:lineRule="auto"/>
            </w:pPr>
            <w:r/>
            <w:r>
              <w:rPr>
                <w:b w:val="0"/>
                <w:sz w:val="15"/>
              </w:rPr>
              <w:t>Transportation &amp; Warehousing</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Apparel</w:t>
            </w:r>
          </w:p>
        </w:tc>
        <w:tc>
          <w:tcPr>
            <w:tcW w:type="dxa" w:w="3513"/>
            <w:vAlign w:val="top"/>
          </w:tcPr>
          <w:p>
            <w:pPr>
              <w:spacing w:after="0" w:line="240" w:lineRule="auto"/>
            </w:pPr>
            <w:r/>
            <w:r>
              <w:rPr>
                <w:b w:val="0"/>
                <w:sz w:val="15"/>
              </w:rPr>
              <w:t>Apparel, Leather &amp; Allied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Auto &amp; Truck</w:t>
            </w:r>
          </w:p>
        </w:tc>
        <w:tc>
          <w:tcPr>
            <w:tcW w:type="dxa" w:w="3513"/>
            <w:vAlign w:val="top"/>
          </w:tcPr>
          <w:p>
            <w:pPr>
              <w:spacing w:after="0" w:line="240" w:lineRule="auto"/>
            </w:pPr>
            <w:r/>
            <w:r>
              <w:rPr>
                <w:b w:val="0"/>
                <w:sz w:val="15"/>
              </w:rPr>
              <w:t>Transportation Equipment</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Auto Parts</w:t>
            </w:r>
          </w:p>
        </w:tc>
        <w:tc>
          <w:tcPr>
            <w:tcW w:type="dxa" w:w="3513"/>
            <w:vAlign w:val="top"/>
          </w:tcPr>
          <w:p>
            <w:pPr>
              <w:spacing w:after="0" w:line="240" w:lineRule="auto"/>
            </w:pPr>
            <w:r/>
            <w:r>
              <w:rPr>
                <w:b w:val="0"/>
                <w:sz w:val="15"/>
              </w:rPr>
              <w:t>Transportation Equipment</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Bank (Money Center)</w:t>
            </w:r>
          </w:p>
        </w:tc>
        <w:tc>
          <w:tcPr>
            <w:tcW w:type="dxa" w:w="3513"/>
            <w:vAlign w:val="top"/>
          </w:tcPr>
          <w:p>
            <w:pPr>
              <w:spacing w:after="0" w:line="240" w:lineRule="auto"/>
            </w:pPr>
            <w:r/>
            <w:r>
              <w:rPr>
                <w:b w:val="0"/>
                <w:sz w:val="15"/>
              </w:rPr>
              <w:t>Finance &amp; Insurance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Banks (Regional)</w:t>
            </w:r>
          </w:p>
        </w:tc>
        <w:tc>
          <w:tcPr>
            <w:tcW w:type="dxa" w:w="3513"/>
            <w:vAlign w:val="top"/>
          </w:tcPr>
          <w:p>
            <w:pPr>
              <w:spacing w:after="0" w:line="240" w:lineRule="auto"/>
            </w:pPr>
            <w:r/>
            <w:r>
              <w:rPr>
                <w:b w:val="0"/>
                <w:sz w:val="15"/>
              </w:rPr>
              <w:t>Finance &amp; Insurance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Beverage (Alcoholic)</w:t>
            </w:r>
          </w:p>
        </w:tc>
        <w:tc>
          <w:tcPr>
            <w:tcW w:type="dxa" w:w="3513"/>
            <w:vAlign w:val="top"/>
          </w:tcPr>
          <w:p>
            <w:pPr>
              <w:spacing w:after="0" w:line="240" w:lineRule="auto"/>
            </w:pPr>
            <w:r/>
            <w:r>
              <w:rPr>
                <w:b w:val="0"/>
                <w:sz w:val="15"/>
              </w:rPr>
              <w:t>Food, Beverage &amp; Tobacco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Beverage (Soft)</w:t>
            </w:r>
          </w:p>
        </w:tc>
        <w:tc>
          <w:tcPr>
            <w:tcW w:type="dxa" w:w="3513"/>
            <w:vAlign w:val="top"/>
          </w:tcPr>
          <w:p>
            <w:pPr>
              <w:spacing w:after="0" w:line="240" w:lineRule="auto"/>
            </w:pPr>
            <w:r/>
            <w:r>
              <w:rPr>
                <w:b w:val="0"/>
                <w:sz w:val="15"/>
              </w:rPr>
              <w:t>Food, Beverage &amp; Tobacco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Broadcasting</w:t>
            </w:r>
          </w:p>
        </w:tc>
        <w:tc>
          <w:tcPr>
            <w:tcW w:type="dxa" w:w="3513"/>
            <w:vAlign w:val="top"/>
          </w:tcPr>
          <w:p>
            <w:pPr>
              <w:spacing w:after="0" w:line="240" w:lineRule="auto"/>
            </w:pPr>
            <w:r/>
            <w:r>
              <w:rPr>
                <w:b w:val="0"/>
                <w:sz w:val="15"/>
              </w:rPr>
              <w:t>Information</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Brokerage &amp; Investment Banking</w:t>
            </w:r>
          </w:p>
        </w:tc>
        <w:tc>
          <w:tcPr>
            <w:tcW w:type="dxa" w:w="3513"/>
            <w:vAlign w:val="top"/>
          </w:tcPr>
          <w:p>
            <w:pPr>
              <w:spacing w:after="0" w:line="240" w:lineRule="auto"/>
            </w:pPr>
            <w:r/>
            <w:r>
              <w:rPr>
                <w:b w:val="0"/>
                <w:sz w:val="15"/>
              </w:rPr>
              <w:t>Finance &amp; Insurance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Building Materials</w:t>
            </w:r>
          </w:p>
        </w:tc>
        <w:tc>
          <w:tcPr>
            <w:tcW w:type="dxa" w:w="3513"/>
            <w:vAlign w:val="top"/>
          </w:tcPr>
          <w:p>
            <w:pPr>
              <w:spacing w:after="0" w:line="240" w:lineRule="auto"/>
            </w:pPr>
            <w:r/>
            <w:r>
              <w:rPr>
                <w:b w:val="0"/>
                <w:sz w:val="15"/>
              </w:rPr>
              <w:t>Nonmetallic Mineral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Business &amp; Consumer Services</w:t>
            </w:r>
          </w:p>
        </w:tc>
        <w:tc>
          <w:tcPr>
            <w:tcW w:type="dxa" w:w="3513"/>
            <w:vAlign w:val="top"/>
          </w:tcPr>
          <w:p>
            <w:pPr>
              <w:spacing w:after="0" w:line="240" w:lineRule="auto"/>
            </w:pPr>
            <w:r/>
            <w:r>
              <w:rPr>
                <w:b w:val="0"/>
                <w:sz w:val="15"/>
              </w:rPr>
              <w:t>Professional, Scientific &amp; Technical Services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Cable TV</w:t>
            </w:r>
          </w:p>
        </w:tc>
        <w:tc>
          <w:tcPr>
            <w:tcW w:type="dxa" w:w="3513"/>
            <w:vAlign w:val="top"/>
          </w:tcPr>
          <w:p>
            <w:pPr>
              <w:spacing w:after="0" w:line="240" w:lineRule="auto"/>
            </w:pPr>
            <w:r/>
            <w:r>
              <w:rPr>
                <w:b w:val="0"/>
                <w:sz w:val="15"/>
              </w:rPr>
              <w:t>Information</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Chemical (Basic)</w:t>
            </w:r>
          </w:p>
        </w:tc>
        <w:tc>
          <w:tcPr>
            <w:tcW w:type="dxa" w:w="3513"/>
            <w:vAlign w:val="top"/>
          </w:tcPr>
          <w:p>
            <w:pPr>
              <w:spacing w:after="0" w:line="240" w:lineRule="auto"/>
            </w:pPr>
            <w:r/>
            <w:r>
              <w:rPr>
                <w:b w:val="0"/>
                <w:sz w:val="15"/>
              </w:rPr>
              <w:t>Chemical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Chemical (Diversified)</w:t>
            </w:r>
          </w:p>
        </w:tc>
        <w:tc>
          <w:tcPr>
            <w:tcW w:type="dxa" w:w="3513"/>
            <w:vAlign w:val="top"/>
          </w:tcPr>
          <w:p>
            <w:pPr>
              <w:spacing w:after="0" w:line="240" w:lineRule="auto"/>
            </w:pPr>
            <w:r/>
            <w:r>
              <w:rPr>
                <w:b w:val="0"/>
                <w:sz w:val="15"/>
              </w:rPr>
              <w:t>Chemical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Chemical (Specialty)</w:t>
            </w:r>
          </w:p>
        </w:tc>
        <w:tc>
          <w:tcPr>
            <w:tcW w:type="dxa" w:w="3513"/>
            <w:vAlign w:val="top"/>
          </w:tcPr>
          <w:p>
            <w:pPr>
              <w:spacing w:after="0" w:line="240" w:lineRule="auto"/>
            </w:pPr>
            <w:r/>
            <w:r>
              <w:rPr>
                <w:b w:val="0"/>
                <w:sz w:val="15"/>
              </w:rPr>
              <w:t>Chemical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Coal &amp; Related Energy</w:t>
            </w:r>
          </w:p>
        </w:tc>
        <w:tc>
          <w:tcPr>
            <w:tcW w:type="dxa" w:w="3513"/>
            <w:vAlign w:val="top"/>
          </w:tcPr>
          <w:p>
            <w:pPr>
              <w:spacing w:after="0" w:line="240" w:lineRule="auto"/>
            </w:pPr>
            <w:r/>
            <w:r>
              <w:rPr>
                <w:b w:val="0"/>
                <w:sz w:val="15"/>
              </w:rPr>
              <w:t>Petroleum &amp; Coal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Computer Services</w:t>
            </w:r>
          </w:p>
        </w:tc>
        <w:tc>
          <w:tcPr>
            <w:tcW w:type="dxa" w:w="3513"/>
            <w:vAlign w:val="top"/>
          </w:tcPr>
          <w:p>
            <w:pPr>
              <w:spacing w:after="0" w:line="240" w:lineRule="auto"/>
            </w:pPr>
            <w:r/>
            <w:r>
              <w:rPr>
                <w:b w:val="0"/>
                <w:sz w:val="15"/>
              </w:rPr>
              <w:t>Information</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Computers/Peripherals</w:t>
            </w:r>
          </w:p>
        </w:tc>
        <w:tc>
          <w:tcPr>
            <w:tcW w:type="dxa" w:w="3513"/>
            <w:vAlign w:val="top"/>
          </w:tcPr>
          <w:p>
            <w:pPr>
              <w:spacing w:after="0" w:line="240" w:lineRule="auto"/>
            </w:pPr>
            <w:r/>
            <w:r>
              <w:rPr>
                <w:b w:val="0"/>
                <w:sz w:val="15"/>
              </w:rPr>
              <w:t>Computer &amp; Electronic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Construction Supplies</w:t>
            </w:r>
          </w:p>
        </w:tc>
        <w:tc>
          <w:tcPr>
            <w:tcW w:type="dxa" w:w="3513"/>
            <w:vAlign w:val="top"/>
          </w:tcPr>
          <w:p>
            <w:pPr>
              <w:spacing w:after="0" w:line="240" w:lineRule="auto"/>
            </w:pPr>
            <w:r/>
            <w:r>
              <w:rPr>
                <w:b w:val="0"/>
                <w:sz w:val="15"/>
              </w:rPr>
              <w:t>Construction</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Diversified</w:t>
            </w:r>
          </w:p>
        </w:tc>
        <w:tc>
          <w:tcPr>
            <w:tcW w:type="dxa" w:w="3513"/>
            <w:vAlign w:val="top"/>
          </w:tcPr>
          <w:p>
            <w:pPr>
              <w:spacing w:after="0" w:line="240" w:lineRule="auto"/>
            </w:pPr>
            <w:r/>
            <w:r>
              <w:rPr>
                <w:b w:val="0"/>
                <w:sz w:val="15"/>
              </w:rPr>
              <w:t>Management of Companies &amp; Enterprises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Drugs (Biotechnology)</w:t>
            </w:r>
          </w:p>
        </w:tc>
        <w:tc>
          <w:tcPr>
            <w:tcW w:type="dxa" w:w="3513"/>
            <w:vAlign w:val="top"/>
          </w:tcPr>
          <w:p>
            <w:pPr>
              <w:spacing w:after="0" w:line="240" w:lineRule="auto"/>
            </w:pPr>
            <w:r/>
            <w:r>
              <w:rPr>
                <w:b w:val="0"/>
                <w:sz w:val="15"/>
              </w:rPr>
              <w:t>Health Care &amp; Social Assistance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Drugs (Pharmaceutical)</w:t>
            </w:r>
          </w:p>
        </w:tc>
        <w:tc>
          <w:tcPr>
            <w:tcW w:type="dxa" w:w="3513"/>
            <w:vAlign w:val="top"/>
          </w:tcPr>
          <w:p>
            <w:pPr>
              <w:spacing w:after="0" w:line="240" w:lineRule="auto"/>
            </w:pPr>
            <w:r/>
            <w:r>
              <w:rPr>
                <w:b w:val="0"/>
                <w:sz w:val="15"/>
              </w:rPr>
              <w:t>Health Care &amp; Social Assistance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Education</w:t>
            </w:r>
          </w:p>
        </w:tc>
        <w:tc>
          <w:tcPr>
            <w:tcW w:type="dxa" w:w="3513"/>
            <w:vAlign w:val="top"/>
          </w:tcPr>
          <w:p>
            <w:pPr>
              <w:spacing w:after="0" w:line="240" w:lineRule="auto"/>
            </w:pPr>
            <w:r/>
            <w:r>
              <w:rPr>
                <w:b w:val="0"/>
                <w:sz w:val="15"/>
              </w:rPr>
              <w:t>Educational Services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Electrical Equipment</w:t>
            </w:r>
          </w:p>
        </w:tc>
        <w:tc>
          <w:tcPr>
            <w:tcW w:type="dxa" w:w="3513"/>
            <w:vAlign w:val="top"/>
          </w:tcPr>
          <w:p>
            <w:pPr>
              <w:spacing w:after="0" w:line="240" w:lineRule="auto"/>
            </w:pPr>
            <w:r/>
            <w:r>
              <w:rPr>
                <w:b w:val="0"/>
                <w:sz w:val="15"/>
              </w:rPr>
              <w:t>Electrical Equipment, Appliances &amp; Components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Electronics (Consumer &amp; Office)</w:t>
            </w:r>
          </w:p>
        </w:tc>
        <w:tc>
          <w:tcPr>
            <w:tcW w:type="dxa" w:w="3513"/>
            <w:vAlign w:val="top"/>
          </w:tcPr>
          <w:p>
            <w:pPr>
              <w:spacing w:after="0" w:line="240" w:lineRule="auto"/>
            </w:pPr>
            <w:r/>
            <w:r>
              <w:rPr>
                <w:b w:val="0"/>
                <w:sz w:val="15"/>
              </w:rPr>
              <w:t>Computer &amp; Electronic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Electronics (General)</w:t>
            </w:r>
          </w:p>
        </w:tc>
        <w:tc>
          <w:tcPr>
            <w:tcW w:type="dxa" w:w="3513"/>
            <w:vAlign w:val="top"/>
          </w:tcPr>
          <w:p>
            <w:pPr>
              <w:spacing w:after="0" w:line="240" w:lineRule="auto"/>
            </w:pPr>
            <w:r/>
            <w:r>
              <w:rPr>
                <w:b w:val="0"/>
                <w:sz w:val="15"/>
              </w:rPr>
              <w:t>Computer &amp; Electronic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Engineering/Construction</w:t>
            </w:r>
          </w:p>
        </w:tc>
        <w:tc>
          <w:tcPr>
            <w:tcW w:type="dxa" w:w="3513"/>
            <w:vAlign w:val="top"/>
          </w:tcPr>
          <w:p>
            <w:pPr>
              <w:spacing w:after="0" w:line="240" w:lineRule="auto"/>
            </w:pPr>
            <w:r/>
            <w:r>
              <w:rPr>
                <w:b w:val="0"/>
                <w:sz w:val="15"/>
              </w:rPr>
              <w:t>Construction</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Entertainment</w:t>
            </w:r>
          </w:p>
        </w:tc>
        <w:tc>
          <w:tcPr>
            <w:tcW w:type="dxa" w:w="3513"/>
            <w:vAlign w:val="top"/>
          </w:tcPr>
          <w:p>
            <w:pPr>
              <w:spacing w:after="0" w:line="240" w:lineRule="auto"/>
            </w:pPr>
            <w:r/>
            <w:r>
              <w:rPr>
                <w:b w:val="0"/>
                <w:sz w:val="15"/>
              </w:rPr>
              <w:t>Arts, Entertainment &amp; Recreation</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Environmental &amp; Waste Services</w:t>
            </w:r>
          </w:p>
        </w:tc>
        <w:tc>
          <w:tcPr>
            <w:tcW w:type="dxa" w:w="3513"/>
            <w:vAlign w:val="top"/>
          </w:tcPr>
          <w:p>
            <w:pPr>
              <w:spacing w:after="0" w:line="240" w:lineRule="auto"/>
            </w:pPr>
            <w:r/>
            <w:r>
              <w:rPr>
                <w:b w:val="0"/>
                <w:sz w:val="15"/>
              </w:rPr>
              <w:t>Waste Management and Remediation Services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Farming/Agriculture</w:t>
            </w:r>
          </w:p>
        </w:tc>
        <w:tc>
          <w:tcPr>
            <w:tcW w:type="dxa" w:w="3513"/>
            <w:vAlign w:val="top"/>
          </w:tcPr>
          <w:p>
            <w:pPr>
              <w:spacing w:after="0" w:line="240" w:lineRule="auto"/>
            </w:pPr>
            <w:r/>
            <w:r>
              <w:rPr>
                <w:b w:val="0"/>
                <w:sz w:val="15"/>
              </w:rPr>
              <w:t>Agriculture, Forestry, Fishing &amp; Hunting</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Financial Svcs. (Non-bank &amp; Insurance)</w:t>
            </w:r>
          </w:p>
        </w:tc>
        <w:tc>
          <w:tcPr>
            <w:tcW w:type="dxa" w:w="3513"/>
            <w:vAlign w:val="top"/>
          </w:tcPr>
          <w:p>
            <w:pPr>
              <w:spacing w:after="0" w:line="240" w:lineRule="auto"/>
            </w:pPr>
            <w:r/>
            <w:r>
              <w:rPr>
                <w:b w:val="0"/>
                <w:sz w:val="15"/>
              </w:rPr>
              <w:t>Finance &amp; Insurance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Food Processing</w:t>
            </w:r>
          </w:p>
        </w:tc>
        <w:tc>
          <w:tcPr>
            <w:tcW w:type="dxa" w:w="3513"/>
            <w:vAlign w:val="top"/>
          </w:tcPr>
          <w:p>
            <w:pPr>
              <w:spacing w:after="0" w:line="240" w:lineRule="auto"/>
            </w:pPr>
            <w:r/>
            <w:r>
              <w:rPr>
                <w:b w:val="0"/>
                <w:sz w:val="15"/>
              </w:rPr>
              <w:t>Food, Beverage &amp; Tobacco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Food Wholesalers</w:t>
            </w:r>
          </w:p>
        </w:tc>
        <w:tc>
          <w:tcPr>
            <w:tcW w:type="dxa" w:w="3513"/>
            <w:vAlign w:val="top"/>
          </w:tcPr>
          <w:p>
            <w:pPr>
              <w:spacing w:after="0" w:line="240" w:lineRule="auto"/>
            </w:pPr>
            <w:r/>
            <w:r>
              <w:rPr>
                <w:b w:val="0"/>
                <w:sz w:val="15"/>
              </w:rPr>
              <w:t>Wholesale Trade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Furn/Home Furnishings</w:t>
            </w:r>
          </w:p>
        </w:tc>
        <w:tc>
          <w:tcPr>
            <w:tcW w:type="dxa" w:w="3513"/>
            <w:vAlign w:val="top"/>
          </w:tcPr>
          <w:p>
            <w:pPr>
              <w:spacing w:after="0" w:line="240" w:lineRule="auto"/>
            </w:pPr>
            <w:r/>
            <w:r>
              <w:rPr>
                <w:b w:val="0"/>
                <w:sz w:val="15"/>
              </w:rPr>
              <w:t>Furniture &amp; Related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Green &amp; Renewable Energy</w:t>
            </w:r>
          </w:p>
        </w:tc>
        <w:tc>
          <w:tcPr>
            <w:tcW w:type="dxa" w:w="3513"/>
            <w:vAlign w:val="top"/>
          </w:tcPr>
          <w:p>
            <w:pPr>
              <w:spacing w:after="0" w:line="240" w:lineRule="auto"/>
            </w:pPr>
            <w:r/>
            <w:r>
              <w:rPr>
                <w:b w:val="0"/>
                <w:sz w:val="15"/>
              </w:rPr>
              <w:t>Utilities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Healthcare Products</w:t>
            </w:r>
          </w:p>
        </w:tc>
        <w:tc>
          <w:tcPr>
            <w:tcW w:type="dxa" w:w="3513"/>
            <w:vAlign w:val="top"/>
          </w:tcPr>
          <w:p>
            <w:pPr>
              <w:spacing w:after="0" w:line="240" w:lineRule="auto"/>
            </w:pPr>
            <w:r/>
            <w:r>
              <w:rPr>
                <w:b w:val="0"/>
                <w:sz w:val="15"/>
              </w:rPr>
              <w:t>Health Care &amp; Social Assistance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Healthcare Support Services</w:t>
            </w:r>
          </w:p>
        </w:tc>
        <w:tc>
          <w:tcPr>
            <w:tcW w:type="dxa" w:w="3513"/>
            <w:vAlign w:val="top"/>
          </w:tcPr>
          <w:p>
            <w:pPr>
              <w:spacing w:after="0" w:line="240" w:lineRule="auto"/>
            </w:pPr>
            <w:r/>
            <w:r>
              <w:rPr>
                <w:b w:val="0"/>
                <w:sz w:val="15"/>
              </w:rPr>
              <w:t>Health Care &amp; Social Assistance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Heathcare Information and Technology</w:t>
            </w:r>
          </w:p>
        </w:tc>
        <w:tc>
          <w:tcPr>
            <w:tcW w:type="dxa" w:w="3513"/>
            <w:vAlign w:val="top"/>
          </w:tcPr>
          <w:p>
            <w:pPr>
              <w:spacing w:after="0" w:line="240" w:lineRule="auto"/>
            </w:pPr>
            <w:r/>
            <w:r>
              <w:rPr>
                <w:b w:val="0"/>
                <w:sz w:val="15"/>
              </w:rPr>
              <w:t>Health Care &amp; Social Assistance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Homebuilding</w:t>
            </w:r>
          </w:p>
        </w:tc>
        <w:tc>
          <w:tcPr>
            <w:tcW w:type="dxa" w:w="3513"/>
            <w:vAlign w:val="top"/>
          </w:tcPr>
          <w:p>
            <w:pPr>
              <w:spacing w:after="0" w:line="240" w:lineRule="auto"/>
            </w:pPr>
            <w:r/>
            <w:r>
              <w:rPr>
                <w:b w:val="0"/>
                <w:sz w:val="15"/>
              </w:rPr>
              <w:t>Construction</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Hospitals/Healthcare Facilities</w:t>
            </w:r>
          </w:p>
        </w:tc>
        <w:tc>
          <w:tcPr>
            <w:tcW w:type="dxa" w:w="3513"/>
            <w:vAlign w:val="top"/>
          </w:tcPr>
          <w:p>
            <w:pPr>
              <w:spacing w:after="0" w:line="240" w:lineRule="auto"/>
            </w:pPr>
            <w:r/>
            <w:r>
              <w:rPr>
                <w:b w:val="0"/>
                <w:sz w:val="15"/>
              </w:rPr>
              <w:t>Health Care &amp; Social Assistance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Hotel/Gaming</w:t>
            </w:r>
          </w:p>
        </w:tc>
        <w:tc>
          <w:tcPr>
            <w:tcW w:type="dxa" w:w="3513"/>
            <w:vAlign w:val="top"/>
          </w:tcPr>
          <w:p>
            <w:pPr>
              <w:spacing w:after="0" w:line="240" w:lineRule="auto"/>
            </w:pPr>
            <w:r/>
            <w:r>
              <w:rPr>
                <w:b w:val="0"/>
                <w:sz w:val="15"/>
              </w:rPr>
              <w:t>Accommodation &amp; Food Services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Household Products</w:t>
            </w:r>
          </w:p>
        </w:tc>
        <w:tc>
          <w:tcPr>
            <w:tcW w:type="dxa" w:w="3513"/>
            <w:vAlign w:val="top"/>
          </w:tcPr>
          <w:p>
            <w:pPr>
              <w:spacing w:after="0" w:line="240" w:lineRule="auto"/>
            </w:pPr>
            <w:r/>
            <w:r>
              <w:rPr>
                <w:b w:val="0"/>
                <w:sz w:val="15"/>
              </w:rPr>
              <w:t>Miscellaneous Manufacturing</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Information Services</w:t>
            </w:r>
          </w:p>
        </w:tc>
        <w:tc>
          <w:tcPr>
            <w:tcW w:type="dxa" w:w="3513"/>
            <w:vAlign w:val="top"/>
          </w:tcPr>
          <w:p>
            <w:pPr>
              <w:spacing w:after="0" w:line="240" w:lineRule="auto"/>
            </w:pPr>
            <w:r/>
            <w:r>
              <w:rPr>
                <w:b w:val="0"/>
                <w:sz w:val="15"/>
              </w:rPr>
              <w:t>Information</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Insurance (General)</w:t>
            </w:r>
          </w:p>
        </w:tc>
        <w:tc>
          <w:tcPr>
            <w:tcW w:type="dxa" w:w="3513"/>
            <w:vAlign w:val="top"/>
          </w:tcPr>
          <w:p>
            <w:pPr>
              <w:spacing w:after="0" w:line="240" w:lineRule="auto"/>
            </w:pPr>
            <w:r/>
            <w:r>
              <w:rPr>
                <w:b w:val="0"/>
                <w:sz w:val="15"/>
              </w:rPr>
              <w:t>Finance &amp; Insurance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Insurance (Life)</w:t>
            </w:r>
          </w:p>
        </w:tc>
        <w:tc>
          <w:tcPr>
            <w:tcW w:type="dxa" w:w="3513"/>
            <w:vAlign w:val="top"/>
          </w:tcPr>
          <w:p>
            <w:pPr>
              <w:spacing w:after="0" w:line="240" w:lineRule="auto"/>
            </w:pPr>
            <w:r/>
            <w:r>
              <w:rPr>
                <w:b w:val="0"/>
                <w:sz w:val="15"/>
              </w:rPr>
              <w:t>Finance &amp; Insurance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Insurance (Prop/Cas.)</w:t>
            </w:r>
          </w:p>
        </w:tc>
        <w:tc>
          <w:tcPr>
            <w:tcW w:type="dxa" w:w="3513"/>
            <w:vAlign w:val="top"/>
          </w:tcPr>
          <w:p>
            <w:pPr>
              <w:spacing w:after="0" w:line="240" w:lineRule="auto"/>
            </w:pPr>
            <w:r/>
            <w:r>
              <w:rPr>
                <w:b w:val="0"/>
                <w:sz w:val="15"/>
              </w:rPr>
              <w:t>Finance &amp; Insurance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Investments &amp; Asset Management</w:t>
            </w:r>
          </w:p>
        </w:tc>
        <w:tc>
          <w:tcPr>
            <w:tcW w:type="dxa" w:w="3513"/>
            <w:vAlign w:val="top"/>
          </w:tcPr>
          <w:p>
            <w:pPr>
              <w:spacing w:after="0" w:line="240" w:lineRule="auto"/>
            </w:pPr>
            <w:r/>
            <w:r>
              <w:rPr>
                <w:b w:val="0"/>
                <w:sz w:val="15"/>
              </w:rPr>
              <w:t>Finance &amp; Insurance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Machinery</w:t>
            </w:r>
          </w:p>
        </w:tc>
        <w:tc>
          <w:tcPr>
            <w:tcW w:type="dxa" w:w="3513"/>
            <w:vAlign w:val="top"/>
          </w:tcPr>
          <w:p>
            <w:pPr>
              <w:spacing w:after="0" w:line="240" w:lineRule="auto"/>
            </w:pPr>
            <w:r/>
            <w:r>
              <w:rPr>
                <w:b w:val="0"/>
                <w:sz w:val="15"/>
              </w:rPr>
              <w:t>Machinery</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Metals &amp; Mining</w:t>
            </w:r>
          </w:p>
        </w:tc>
        <w:tc>
          <w:tcPr>
            <w:tcW w:type="dxa" w:w="3513"/>
            <w:vAlign w:val="top"/>
          </w:tcPr>
          <w:p>
            <w:pPr>
              <w:spacing w:after="0" w:line="240" w:lineRule="auto"/>
            </w:pPr>
            <w:r/>
            <w:r>
              <w:rPr>
                <w:b w:val="0"/>
                <w:sz w:val="15"/>
              </w:rPr>
              <w:t>Mining</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Office Equipment &amp; Services</w:t>
            </w:r>
          </w:p>
        </w:tc>
        <w:tc>
          <w:tcPr>
            <w:tcW w:type="dxa" w:w="3513"/>
            <w:vAlign w:val="top"/>
          </w:tcPr>
          <w:p>
            <w:pPr>
              <w:spacing w:after="0" w:line="240" w:lineRule="auto"/>
            </w:pPr>
            <w:r/>
            <w:r>
              <w:rPr>
                <w:b w:val="0"/>
                <w:sz w:val="15"/>
              </w:rPr>
              <w:t>Professional, Scientific &amp; Technical Services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Oil/Gas (Integrated)</w:t>
            </w:r>
          </w:p>
        </w:tc>
        <w:tc>
          <w:tcPr>
            <w:tcW w:type="dxa" w:w="3513"/>
            <w:vAlign w:val="top"/>
          </w:tcPr>
          <w:p>
            <w:pPr>
              <w:spacing w:after="0" w:line="240" w:lineRule="auto"/>
            </w:pPr>
            <w:r/>
            <w:r>
              <w:rPr>
                <w:b w:val="0"/>
                <w:sz w:val="15"/>
              </w:rPr>
              <w:t>Petroleum &amp; Coal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Oil/Gas (Production and Exploration)</w:t>
            </w:r>
          </w:p>
        </w:tc>
        <w:tc>
          <w:tcPr>
            <w:tcW w:type="dxa" w:w="3513"/>
            <w:vAlign w:val="top"/>
          </w:tcPr>
          <w:p>
            <w:pPr>
              <w:spacing w:after="0" w:line="240" w:lineRule="auto"/>
            </w:pPr>
            <w:r/>
            <w:r>
              <w:rPr>
                <w:b w:val="0"/>
                <w:sz w:val="15"/>
              </w:rPr>
              <w:t>Mining</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Oil/Gas Distribution</w:t>
            </w:r>
          </w:p>
        </w:tc>
        <w:tc>
          <w:tcPr>
            <w:tcW w:type="dxa" w:w="3513"/>
            <w:vAlign w:val="top"/>
          </w:tcPr>
          <w:p>
            <w:pPr>
              <w:spacing w:after="0" w:line="240" w:lineRule="auto"/>
            </w:pPr>
            <w:r/>
            <w:r>
              <w:rPr>
                <w:b w:val="0"/>
                <w:sz w:val="15"/>
              </w:rPr>
              <w:t>Utilities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Oilfield Svcs/Equip.</w:t>
            </w:r>
          </w:p>
        </w:tc>
        <w:tc>
          <w:tcPr>
            <w:tcW w:type="dxa" w:w="3513"/>
            <w:vAlign w:val="top"/>
          </w:tcPr>
          <w:p>
            <w:pPr>
              <w:spacing w:after="0" w:line="240" w:lineRule="auto"/>
            </w:pPr>
            <w:r/>
            <w:r>
              <w:rPr>
                <w:b w:val="0"/>
                <w:sz w:val="15"/>
              </w:rPr>
              <w:t>Mining</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Packaging &amp; Container</w:t>
            </w:r>
          </w:p>
        </w:tc>
        <w:tc>
          <w:tcPr>
            <w:tcW w:type="dxa" w:w="3513"/>
            <w:vAlign w:val="top"/>
          </w:tcPr>
          <w:p>
            <w:pPr>
              <w:spacing w:after="0" w:line="240" w:lineRule="auto"/>
            </w:pPr>
            <w:r/>
            <w:r>
              <w:rPr>
                <w:b w:val="0"/>
                <w:sz w:val="15"/>
              </w:rPr>
              <w:t>Paper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Paper/Forest Products</w:t>
            </w:r>
          </w:p>
        </w:tc>
        <w:tc>
          <w:tcPr>
            <w:tcW w:type="dxa" w:w="3513"/>
            <w:vAlign w:val="top"/>
          </w:tcPr>
          <w:p>
            <w:pPr>
              <w:spacing w:after="0" w:line="240" w:lineRule="auto"/>
            </w:pPr>
            <w:r/>
            <w:r>
              <w:rPr>
                <w:b w:val="0"/>
                <w:sz w:val="15"/>
              </w:rPr>
              <w:t>Paper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Power</w:t>
            </w:r>
          </w:p>
        </w:tc>
        <w:tc>
          <w:tcPr>
            <w:tcW w:type="dxa" w:w="3513"/>
            <w:vAlign w:val="top"/>
          </w:tcPr>
          <w:p>
            <w:pPr>
              <w:spacing w:after="0" w:line="240" w:lineRule="auto"/>
            </w:pPr>
            <w:r/>
            <w:r>
              <w:rPr>
                <w:b w:val="0"/>
                <w:sz w:val="15"/>
              </w:rPr>
              <w:t>Utilities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Precious Metals</w:t>
            </w:r>
          </w:p>
        </w:tc>
        <w:tc>
          <w:tcPr>
            <w:tcW w:type="dxa" w:w="3513"/>
            <w:vAlign w:val="top"/>
          </w:tcPr>
          <w:p>
            <w:pPr>
              <w:spacing w:after="0" w:line="240" w:lineRule="auto"/>
            </w:pPr>
            <w:r/>
            <w:r>
              <w:rPr>
                <w:b w:val="0"/>
                <w:sz w:val="15"/>
              </w:rPr>
              <w:t>Mining</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Publishing &amp; Newspapers</w:t>
            </w:r>
          </w:p>
        </w:tc>
        <w:tc>
          <w:tcPr>
            <w:tcW w:type="dxa" w:w="3513"/>
            <w:vAlign w:val="top"/>
          </w:tcPr>
          <w:p>
            <w:pPr>
              <w:spacing w:after="0" w:line="240" w:lineRule="auto"/>
            </w:pPr>
            <w:r/>
            <w:r>
              <w:rPr>
                <w:b w:val="0"/>
                <w:sz w:val="15"/>
              </w:rPr>
              <w:t>Information</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R.E.I.T.</w:t>
            </w:r>
          </w:p>
        </w:tc>
        <w:tc>
          <w:tcPr>
            <w:tcW w:type="dxa" w:w="3513"/>
            <w:vAlign w:val="top"/>
          </w:tcPr>
          <w:p>
            <w:pPr>
              <w:spacing w:after="0" w:line="240" w:lineRule="auto"/>
            </w:pPr>
            <w:r/>
            <w:r>
              <w:rPr>
                <w:b w:val="0"/>
                <w:sz w:val="15"/>
              </w:rPr>
              <w:t>Real Estate, Rental &amp; Leasing</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Real Estate (Development)</w:t>
            </w:r>
          </w:p>
        </w:tc>
        <w:tc>
          <w:tcPr>
            <w:tcW w:type="dxa" w:w="3513"/>
            <w:vAlign w:val="top"/>
          </w:tcPr>
          <w:p>
            <w:pPr>
              <w:spacing w:after="0" w:line="240" w:lineRule="auto"/>
            </w:pPr>
            <w:r/>
            <w:r>
              <w:rPr>
                <w:b w:val="0"/>
                <w:sz w:val="15"/>
              </w:rPr>
              <w:t>Real Estate, Rental &amp; Leasing</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Real Estate (General/Diversified)</w:t>
            </w:r>
          </w:p>
        </w:tc>
        <w:tc>
          <w:tcPr>
            <w:tcW w:type="dxa" w:w="3513"/>
            <w:vAlign w:val="top"/>
          </w:tcPr>
          <w:p>
            <w:pPr>
              <w:spacing w:after="0" w:line="240" w:lineRule="auto"/>
            </w:pPr>
            <w:r/>
            <w:r>
              <w:rPr>
                <w:b w:val="0"/>
                <w:sz w:val="15"/>
              </w:rPr>
              <w:t>Real Estate, Rental &amp; Leasing</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Real Estate (Operations &amp; Services)</w:t>
            </w:r>
          </w:p>
        </w:tc>
        <w:tc>
          <w:tcPr>
            <w:tcW w:type="dxa" w:w="3513"/>
            <w:vAlign w:val="top"/>
          </w:tcPr>
          <w:p>
            <w:pPr>
              <w:spacing w:after="0" w:line="240" w:lineRule="auto"/>
            </w:pPr>
            <w:r/>
            <w:r>
              <w:rPr>
                <w:b w:val="0"/>
                <w:sz w:val="15"/>
              </w:rPr>
              <w:t>Real Estate, Rental &amp; Leasing</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Recreation</w:t>
            </w:r>
          </w:p>
        </w:tc>
        <w:tc>
          <w:tcPr>
            <w:tcW w:type="dxa" w:w="3513"/>
            <w:vAlign w:val="top"/>
          </w:tcPr>
          <w:p>
            <w:pPr>
              <w:spacing w:after="0" w:line="240" w:lineRule="auto"/>
            </w:pPr>
            <w:r/>
            <w:r>
              <w:rPr>
                <w:b w:val="0"/>
                <w:sz w:val="15"/>
              </w:rPr>
              <w:t>Arts, Entertainment &amp; Recreation</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Reinsurance</w:t>
            </w:r>
          </w:p>
        </w:tc>
        <w:tc>
          <w:tcPr>
            <w:tcW w:type="dxa" w:w="3513"/>
            <w:vAlign w:val="top"/>
          </w:tcPr>
          <w:p>
            <w:pPr>
              <w:spacing w:after="0" w:line="240" w:lineRule="auto"/>
            </w:pPr>
            <w:r/>
            <w:r>
              <w:rPr>
                <w:b w:val="0"/>
                <w:sz w:val="15"/>
              </w:rPr>
              <w:t>Finance &amp; Insurance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Restaurant/Dining</w:t>
            </w:r>
          </w:p>
        </w:tc>
        <w:tc>
          <w:tcPr>
            <w:tcW w:type="dxa" w:w="3513"/>
            <w:vAlign w:val="top"/>
          </w:tcPr>
          <w:p>
            <w:pPr>
              <w:spacing w:after="0" w:line="240" w:lineRule="auto"/>
            </w:pPr>
            <w:r/>
            <w:r>
              <w:rPr>
                <w:b w:val="0"/>
                <w:sz w:val="15"/>
              </w:rPr>
              <w:t>Accommodation &amp; Food Services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Retail (Automotive)</w:t>
            </w:r>
          </w:p>
        </w:tc>
        <w:tc>
          <w:tcPr>
            <w:tcW w:type="dxa" w:w="3513"/>
            <w:vAlign w:val="top"/>
          </w:tcPr>
          <w:p>
            <w:pPr>
              <w:spacing w:after="0" w:line="240" w:lineRule="auto"/>
            </w:pPr>
            <w:r/>
            <w:r>
              <w:rPr>
                <w:b w:val="0"/>
                <w:sz w:val="15"/>
              </w:rPr>
              <w:t>Retail Trade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Retail (Building Supply)</w:t>
            </w:r>
          </w:p>
        </w:tc>
        <w:tc>
          <w:tcPr>
            <w:tcW w:type="dxa" w:w="3513"/>
            <w:vAlign w:val="top"/>
          </w:tcPr>
          <w:p>
            <w:pPr>
              <w:spacing w:after="0" w:line="240" w:lineRule="auto"/>
            </w:pPr>
            <w:r/>
            <w:r>
              <w:rPr>
                <w:b w:val="0"/>
                <w:sz w:val="15"/>
              </w:rPr>
              <w:t>Retail Trade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Retail (Distributors)</w:t>
            </w:r>
          </w:p>
        </w:tc>
        <w:tc>
          <w:tcPr>
            <w:tcW w:type="dxa" w:w="3513"/>
            <w:vAlign w:val="top"/>
          </w:tcPr>
          <w:p>
            <w:pPr>
              <w:spacing w:after="0" w:line="240" w:lineRule="auto"/>
            </w:pPr>
            <w:r/>
            <w:r>
              <w:rPr>
                <w:b w:val="0"/>
                <w:sz w:val="15"/>
              </w:rPr>
              <w:t>Wholesale Trade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Retail (General)</w:t>
            </w:r>
          </w:p>
        </w:tc>
        <w:tc>
          <w:tcPr>
            <w:tcW w:type="dxa" w:w="3513"/>
            <w:vAlign w:val="top"/>
          </w:tcPr>
          <w:p>
            <w:pPr>
              <w:spacing w:after="0" w:line="240" w:lineRule="auto"/>
            </w:pPr>
            <w:r/>
            <w:r>
              <w:rPr>
                <w:b w:val="0"/>
                <w:sz w:val="15"/>
              </w:rPr>
              <w:t>Retail Trade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Retail (Grocery and Food)</w:t>
            </w:r>
          </w:p>
        </w:tc>
        <w:tc>
          <w:tcPr>
            <w:tcW w:type="dxa" w:w="3513"/>
            <w:vAlign w:val="top"/>
          </w:tcPr>
          <w:p>
            <w:pPr>
              <w:spacing w:after="0" w:line="240" w:lineRule="auto"/>
            </w:pPr>
            <w:r/>
            <w:r>
              <w:rPr>
                <w:b w:val="0"/>
                <w:sz w:val="15"/>
              </w:rPr>
              <w:t>Retail Trade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Retail (REITs)</w:t>
            </w:r>
          </w:p>
        </w:tc>
        <w:tc>
          <w:tcPr>
            <w:tcW w:type="dxa" w:w="3513"/>
            <w:vAlign w:val="top"/>
          </w:tcPr>
          <w:p>
            <w:pPr>
              <w:spacing w:after="0" w:line="240" w:lineRule="auto"/>
            </w:pPr>
            <w:r/>
            <w:r>
              <w:rPr>
                <w:b w:val="0"/>
                <w:sz w:val="15"/>
              </w:rPr>
              <w:t>Real Estate, Rental &amp; Leasing</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Retail (Special Lines)</w:t>
            </w:r>
          </w:p>
        </w:tc>
        <w:tc>
          <w:tcPr>
            <w:tcW w:type="dxa" w:w="3513"/>
            <w:vAlign w:val="top"/>
          </w:tcPr>
          <w:p>
            <w:pPr>
              <w:spacing w:after="0" w:line="240" w:lineRule="auto"/>
            </w:pPr>
            <w:r/>
            <w:r>
              <w:rPr>
                <w:b w:val="0"/>
                <w:sz w:val="15"/>
              </w:rPr>
              <w:t>Retail Trade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Rubber &amp; Tires</w:t>
            </w:r>
          </w:p>
        </w:tc>
        <w:tc>
          <w:tcPr>
            <w:tcW w:type="dxa" w:w="3513"/>
            <w:vAlign w:val="top"/>
          </w:tcPr>
          <w:p>
            <w:pPr>
              <w:spacing w:after="0" w:line="240" w:lineRule="auto"/>
            </w:pPr>
            <w:r/>
            <w:r>
              <w:rPr>
                <w:b w:val="0"/>
                <w:sz w:val="15"/>
              </w:rPr>
              <w:t>Plastics &amp; Rubber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Semiconductor</w:t>
            </w:r>
          </w:p>
        </w:tc>
        <w:tc>
          <w:tcPr>
            <w:tcW w:type="dxa" w:w="3513"/>
            <w:vAlign w:val="top"/>
          </w:tcPr>
          <w:p>
            <w:pPr>
              <w:spacing w:after="0" w:line="240" w:lineRule="auto"/>
            </w:pPr>
            <w:r/>
            <w:r>
              <w:rPr>
                <w:b w:val="0"/>
                <w:sz w:val="15"/>
              </w:rPr>
              <w:t>Computer &amp; Electronic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Semiconductor Equip</w:t>
            </w:r>
          </w:p>
        </w:tc>
        <w:tc>
          <w:tcPr>
            <w:tcW w:type="dxa" w:w="3513"/>
            <w:vAlign w:val="top"/>
          </w:tcPr>
          <w:p>
            <w:pPr>
              <w:spacing w:after="0" w:line="240" w:lineRule="auto"/>
            </w:pPr>
            <w:r/>
            <w:r>
              <w:rPr>
                <w:b w:val="0"/>
                <w:sz w:val="15"/>
              </w:rPr>
              <w:t>Computer &amp; Electronic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Shipbuilding &amp; Marine</w:t>
            </w:r>
          </w:p>
        </w:tc>
        <w:tc>
          <w:tcPr>
            <w:tcW w:type="dxa" w:w="3513"/>
            <w:vAlign w:val="top"/>
          </w:tcPr>
          <w:p>
            <w:pPr>
              <w:spacing w:after="0" w:line="240" w:lineRule="auto"/>
            </w:pPr>
            <w:r/>
            <w:r>
              <w:rPr>
                <w:b w:val="0"/>
                <w:sz w:val="15"/>
              </w:rPr>
              <w:t>Transportation Equipment</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Shoe</w:t>
            </w:r>
          </w:p>
        </w:tc>
        <w:tc>
          <w:tcPr>
            <w:tcW w:type="dxa" w:w="3513"/>
            <w:vAlign w:val="top"/>
          </w:tcPr>
          <w:p>
            <w:pPr>
              <w:spacing w:after="0" w:line="240" w:lineRule="auto"/>
            </w:pPr>
            <w:r/>
            <w:r>
              <w:rPr>
                <w:b w:val="0"/>
                <w:sz w:val="15"/>
              </w:rPr>
              <w:t>Apparel, Leather &amp; Allied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Software (Entertainment)</w:t>
            </w:r>
          </w:p>
        </w:tc>
        <w:tc>
          <w:tcPr>
            <w:tcW w:type="dxa" w:w="3513"/>
            <w:vAlign w:val="top"/>
          </w:tcPr>
          <w:p>
            <w:pPr>
              <w:spacing w:after="0" w:line="240" w:lineRule="auto"/>
            </w:pPr>
            <w:r/>
            <w:r>
              <w:rPr>
                <w:b w:val="0"/>
                <w:sz w:val="15"/>
              </w:rPr>
              <w:t>Information</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Software (Internet)</w:t>
            </w:r>
          </w:p>
        </w:tc>
        <w:tc>
          <w:tcPr>
            <w:tcW w:type="dxa" w:w="3513"/>
            <w:vAlign w:val="top"/>
          </w:tcPr>
          <w:p>
            <w:pPr>
              <w:spacing w:after="0" w:line="240" w:lineRule="auto"/>
            </w:pPr>
            <w:r/>
            <w:r>
              <w:rPr>
                <w:b w:val="0"/>
                <w:sz w:val="15"/>
              </w:rPr>
              <w:t>Information</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Software (System &amp; Application)</w:t>
            </w:r>
          </w:p>
        </w:tc>
        <w:tc>
          <w:tcPr>
            <w:tcW w:type="dxa" w:w="3513"/>
            <w:vAlign w:val="top"/>
          </w:tcPr>
          <w:p>
            <w:pPr>
              <w:spacing w:after="0" w:line="240" w:lineRule="auto"/>
            </w:pPr>
            <w:r/>
            <w:r>
              <w:rPr>
                <w:b w:val="0"/>
                <w:sz w:val="15"/>
              </w:rPr>
              <w:t>Information</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Steel</w:t>
            </w:r>
          </w:p>
        </w:tc>
        <w:tc>
          <w:tcPr>
            <w:tcW w:type="dxa" w:w="3513"/>
            <w:vAlign w:val="top"/>
          </w:tcPr>
          <w:p>
            <w:pPr>
              <w:spacing w:after="0" w:line="240" w:lineRule="auto"/>
            </w:pPr>
            <w:r/>
            <w:r>
              <w:rPr>
                <w:b w:val="0"/>
                <w:sz w:val="15"/>
              </w:rPr>
              <w:t>Primary Metals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Telecom (Wireless)</w:t>
            </w:r>
          </w:p>
        </w:tc>
        <w:tc>
          <w:tcPr>
            <w:tcW w:type="dxa" w:w="3513"/>
            <w:vAlign w:val="top"/>
          </w:tcPr>
          <w:p>
            <w:pPr>
              <w:spacing w:after="0" w:line="240" w:lineRule="auto"/>
            </w:pPr>
            <w:r/>
            <w:r>
              <w:rPr>
                <w:b w:val="0"/>
                <w:sz w:val="15"/>
              </w:rPr>
              <w:t>Information</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Telecom. Equipment</w:t>
            </w:r>
          </w:p>
        </w:tc>
        <w:tc>
          <w:tcPr>
            <w:tcW w:type="dxa" w:w="3513"/>
            <w:vAlign w:val="top"/>
          </w:tcPr>
          <w:p>
            <w:pPr>
              <w:spacing w:after="0" w:line="240" w:lineRule="auto"/>
            </w:pPr>
            <w:r/>
            <w:r>
              <w:rPr>
                <w:b w:val="0"/>
                <w:sz w:val="15"/>
              </w:rPr>
              <w:t>Computer &amp; Electronic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Telecom. Services</w:t>
            </w:r>
          </w:p>
        </w:tc>
        <w:tc>
          <w:tcPr>
            <w:tcW w:type="dxa" w:w="3513"/>
            <w:vAlign w:val="top"/>
          </w:tcPr>
          <w:p>
            <w:pPr>
              <w:spacing w:after="0" w:line="240" w:lineRule="auto"/>
            </w:pPr>
            <w:r/>
            <w:r>
              <w:rPr>
                <w:b w:val="0"/>
                <w:sz w:val="15"/>
              </w:rPr>
              <w:t>Information</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Tobacco</w:t>
            </w:r>
          </w:p>
        </w:tc>
        <w:tc>
          <w:tcPr>
            <w:tcW w:type="dxa" w:w="3513"/>
            <w:vAlign w:val="top"/>
          </w:tcPr>
          <w:p>
            <w:pPr>
              <w:spacing w:after="0" w:line="240" w:lineRule="auto"/>
            </w:pPr>
            <w:r/>
            <w:r>
              <w:rPr>
                <w:b w:val="0"/>
                <w:sz w:val="15"/>
              </w:rPr>
              <w:t>Food, Beverage &amp; Tobacco Products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Transportation</w:t>
            </w:r>
          </w:p>
        </w:tc>
        <w:tc>
          <w:tcPr>
            <w:tcW w:type="dxa" w:w="3513"/>
            <w:vAlign w:val="top"/>
          </w:tcPr>
          <w:p>
            <w:pPr>
              <w:spacing w:after="0" w:line="240" w:lineRule="auto"/>
            </w:pPr>
            <w:r/>
            <w:r>
              <w:rPr>
                <w:b w:val="0"/>
                <w:sz w:val="15"/>
              </w:rPr>
              <w:t>Transportation &amp; Warehousing</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Transportation (Railroads)</w:t>
            </w:r>
          </w:p>
        </w:tc>
        <w:tc>
          <w:tcPr>
            <w:tcW w:type="dxa" w:w="3513"/>
            <w:vAlign w:val="top"/>
          </w:tcPr>
          <w:p>
            <w:pPr>
              <w:spacing w:after="0" w:line="240" w:lineRule="auto"/>
            </w:pPr>
            <w:r/>
            <w:r>
              <w:rPr>
                <w:b w:val="0"/>
                <w:sz w:val="15"/>
              </w:rPr>
              <w:t>Transportation &amp; Warehousing</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Trucking</w:t>
            </w:r>
          </w:p>
        </w:tc>
        <w:tc>
          <w:tcPr>
            <w:tcW w:type="dxa" w:w="3513"/>
            <w:vAlign w:val="top"/>
          </w:tcPr>
          <w:p>
            <w:pPr>
              <w:spacing w:after="0" w:line="240" w:lineRule="auto"/>
            </w:pPr>
            <w:r/>
            <w:r>
              <w:rPr>
                <w:b w:val="0"/>
                <w:sz w:val="15"/>
              </w:rPr>
              <w:t>Transportation &amp; Warehousing</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Utility (General)</w:t>
            </w:r>
          </w:p>
        </w:tc>
        <w:tc>
          <w:tcPr>
            <w:tcW w:type="dxa" w:w="3513"/>
            <w:vAlign w:val="top"/>
          </w:tcPr>
          <w:p>
            <w:pPr>
              <w:spacing w:after="0" w:line="240" w:lineRule="auto"/>
            </w:pPr>
            <w:r/>
            <w:r>
              <w:rPr>
                <w:b w:val="0"/>
                <w:sz w:val="15"/>
              </w:rPr>
              <w:t>Utilities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Utility (Water)</w:t>
            </w:r>
          </w:p>
        </w:tc>
        <w:tc>
          <w:tcPr>
            <w:tcW w:type="dxa" w:w="3513"/>
            <w:vAlign w:val="top"/>
          </w:tcPr>
          <w:p>
            <w:pPr>
              <w:spacing w:after="0" w:line="240" w:lineRule="auto"/>
            </w:pPr>
            <w:r/>
            <w:r>
              <w:rPr>
                <w:b w:val="0"/>
                <w:sz w:val="15"/>
              </w:rPr>
              <w:t>Utilities</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Total Market</w:t>
            </w:r>
          </w:p>
        </w:tc>
        <w:tc>
          <w:tcPr>
            <w:tcW w:type="dxa" w:w="3513"/>
            <w:vAlign w:val="top"/>
          </w:tcPr>
          <w:p>
            <w:pPr>
              <w:spacing w:after="0" w:line="240" w:lineRule="auto"/>
            </w:pPr>
            <w:r/>
            <w:r>
              <w:rPr>
                <w:b w:val="0"/>
                <w:sz w:val="15"/>
              </w:rPr>
              <w:t>Reference / market aggregate</w:t>
            </w:r>
          </w:p>
        </w:tc>
        <w:tc>
          <w:tcPr>
            <w:tcW w:type="dxa" w:w="3513"/>
            <w:vAlign w:val="top"/>
          </w:tcPr>
          <w:p>
            <w:pPr>
              <w:spacing w:after="0" w:line="240" w:lineRule="auto"/>
            </w:pPr>
            <w:r/>
            <w:r>
              <w:rPr>
                <w:b w:val="0"/>
                <w:sz w:val="15"/>
              </w:rPr>
              <w:t>Display only - no model-driving effect</w:t>
            </w:r>
          </w:p>
        </w:tc>
      </w:tr>
      <w:tr>
        <w:tc>
          <w:tcPr>
            <w:tcW w:type="dxa" w:w="3513"/>
            <w:vAlign w:val="top"/>
          </w:tcPr>
          <w:p>
            <w:pPr>
              <w:spacing w:after="0" w:line="240" w:lineRule="auto"/>
            </w:pPr>
            <w:r/>
            <w:r>
              <w:rPr>
                <w:b w:val="0"/>
                <w:sz w:val="15"/>
              </w:rPr>
              <w:t>Total Market (without financials)</w:t>
            </w:r>
          </w:p>
        </w:tc>
        <w:tc>
          <w:tcPr>
            <w:tcW w:type="dxa" w:w="3513"/>
            <w:vAlign w:val="top"/>
          </w:tcPr>
          <w:p>
            <w:pPr>
              <w:spacing w:after="0" w:line="240" w:lineRule="auto"/>
            </w:pPr>
            <w:r/>
            <w:r>
              <w:rPr>
                <w:b w:val="0"/>
                <w:sz w:val="15"/>
              </w:rPr>
              <w:t>Reference / market aggregate</w:t>
            </w:r>
          </w:p>
        </w:tc>
        <w:tc>
          <w:tcPr>
            <w:tcW w:type="dxa" w:w="3513"/>
            <w:vAlign w:val="top"/>
          </w:tcPr>
          <w:p>
            <w:pPr>
              <w:spacing w:after="0" w:line="240" w:lineRule="auto"/>
            </w:pPr>
            <w:r/>
            <w:r>
              <w:rPr>
                <w:b w:val="0"/>
                <w:sz w:val="15"/>
              </w:rPr>
              <w:t>Display only - no model-driving effect</w:t>
            </w:r>
          </w:p>
        </w:tc>
      </w:tr>
    </w:tbl>
    <w:p/>
    <w:p>
      <w:pPr>
        <w:pStyle w:val="TableTitle"/>
      </w:pPr>
      <w:r>
        <w:rPr>
          <w:b/>
        </w:rPr>
        <w:t>Table - tblBenchmarkDataPullKeys</w:t>
      </w:r>
    </w:p>
    <w:p>
      <w:pPr>
        <w:pStyle w:val="TablePurpose"/>
      </w:pPr>
      <w:r>
        <w:t>All keys default to the exact Damodaran Industrial Benchmark unless a source table uses a verified alternate label.</w:t>
      </w:r>
    </w:p>
    <w:tbl>
      <w:tblPr>
        <w:tblStyle w:val="TableGrid"/>
        <w:tblW w:type="auto" w:w="0"/>
        <w:jc w:val="center"/>
        <w:tblLayout w:type="autofit"/>
        <w:tblLook w:firstColumn="1" w:firstRow="1" w:lastColumn="0" w:lastRow="0" w:noHBand="0" w:noVBand="1" w:val="04A0"/>
      </w:tblPr>
      <w:tblGrid>
        <w:gridCol w:w="1506"/>
        <w:gridCol w:w="1506"/>
        <w:gridCol w:w="1506"/>
        <w:gridCol w:w="1506"/>
        <w:gridCol w:w="1506"/>
        <w:gridCol w:w="1506"/>
        <w:gridCol w:w="1506"/>
      </w:tblGrid>
      <w:tr>
        <w:tc>
          <w:tcPr>
            <w:tcW w:type="dxa" w:w="1506"/>
            <w:vAlign w:val="top"/>
            <w:shd w:fill="D9EAF7"/>
          </w:tcPr>
          <w:p>
            <w:pPr>
              <w:spacing w:after="0" w:line="240" w:lineRule="auto"/>
            </w:pPr>
            <w:r/>
            <w:r>
              <w:rPr>
                <w:b/>
                <w:sz w:val="16"/>
              </w:rPr>
              <w:t>Damodaran Industrial Benchmark</w:t>
            </w:r>
          </w:p>
        </w:tc>
        <w:tc>
          <w:tcPr>
            <w:tcW w:type="dxa" w:w="1506"/>
            <w:vAlign w:val="top"/>
            <w:shd w:fill="D9EAF7"/>
          </w:tcPr>
          <w:p>
            <w:pPr>
              <w:spacing w:after="0" w:line="240" w:lineRule="auto"/>
            </w:pPr>
            <w:r/>
            <w:r>
              <w:rPr>
                <w:b/>
                <w:sz w:val="16"/>
              </w:rPr>
              <w:t>Beta Table Key</w:t>
            </w:r>
          </w:p>
        </w:tc>
        <w:tc>
          <w:tcPr>
            <w:tcW w:type="dxa" w:w="1506"/>
            <w:vAlign w:val="top"/>
            <w:shd w:fill="D9EAF7"/>
          </w:tcPr>
          <w:p>
            <w:pPr>
              <w:spacing w:after="0" w:line="240" w:lineRule="auto"/>
            </w:pPr>
            <w:r/>
            <w:r>
              <w:rPr>
                <w:b/>
                <w:sz w:val="16"/>
              </w:rPr>
              <w:t>Margin Table Key</w:t>
            </w:r>
          </w:p>
        </w:tc>
        <w:tc>
          <w:tcPr>
            <w:tcW w:type="dxa" w:w="1506"/>
            <w:vAlign w:val="top"/>
            <w:shd w:fill="D9EAF7"/>
          </w:tcPr>
          <w:p>
            <w:pPr>
              <w:spacing w:after="0" w:line="240" w:lineRule="auto"/>
            </w:pPr>
            <w:r/>
            <w:r>
              <w:rPr>
                <w:b/>
                <w:sz w:val="16"/>
              </w:rPr>
              <w:t>Reinvestment Table Key</w:t>
            </w:r>
          </w:p>
        </w:tc>
        <w:tc>
          <w:tcPr>
            <w:tcW w:type="dxa" w:w="1506"/>
            <w:vAlign w:val="top"/>
            <w:shd w:fill="D9EAF7"/>
          </w:tcPr>
          <w:p>
            <w:pPr>
              <w:spacing w:after="0" w:line="240" w:lineRule="auto"/>
            </w:pPr>
            <w:r/>
            <w:r>
              <w:rPr>
                <w:b/>
                <w:sz w:val="16"/>
              </w:rPr>
              <w:t>Working Capital Table Key</w:t>
            </w:r>
          </w:p>
        </w:tc>
        <w:tc>
          <w:tcPr>
            <w:tcW w:type="dxa" w:w="1506"/>
            <w:vAlign w:val="top"/>
            <w:shd w:fill="D9EAF7"/>
          </w:tcPr>
          <w:p>
            <w:pPr>
              <w:spacing w:after="0" w:line="240" w:lineRule="auto"/>
            </w:pPr>
            <w:r/>
            <w:r>
              <w:rPr>
                <w:b/>
                <w:sz w:val="16"/>
              </w:rPr>
              <w:t>Growth / ROC Table Key</w:t>
            </w:r>
          </w:p>
        </w:tc>
        <w:tc>
          <w:tcPr>
            <w:tcW w:type="dxa" w:w="1506"/>
            <w:vAlign w:val="top"/>
            <w:shd w:fill="D9EAF7"/>
          </w:tcPr>
          <w:p>
            <w:pPr>
              <w:spacing w:after="0" w:line="240" w:lineRule="auto"/>
            </w:pPr>
            <w:r/>
            <w:r>
              <w:rPr>
                <w:b/>
                <w:sz w:val="16"/>
              </w:rPr>
              <w:t>Tax Table Key</w:t>
            </w:r>
          </w:p>
        </w:tc>
      </w:tr>
      <w:tr>
        <w:tc>
          <w:tcPr>
            <w:tcW w:type="dxa" w:w="1506"/>
            <w:vAlign w:val="top"/>
          </w:tcPr>
          <w:p>
            <w:pPr>
              <w:spacing w:after="0" w:line="240" w:lineRule="auto"/>
            </w:pPr>
            <w:r/>
            <w:r>
              <w:rPr>
                <w:b w:val="0"/>
                <w:sz w:val="15"/>
              </w:rPr>
              <w:t>Software (System &amp; Application)</w:t>
            </w:r>
          </w:p>
        </w:tc>
        <w:tc>
          <w:tcPr>
            <w:tcW w:type="dxa" w:w="1506"/>
            <w:vAlign w:val="top"/>
          </w:tcPr>
          <w:p>
            <w:pPr>
              <w:spacing w:after="0" w:line="240" w:lineRule="auto"/>
            </w:pPr>
            <w:r/>
            <w:r>
              <w:rPr>
                <w:b w:val="0"/>
                <w:sz w:val="15"/>
              </w:rPr>
              <w:t>Software (System &amp; Application)</w:t>
            </w:r>
          </w:p>
        </w:tc>
        <w:tc>
          <w:tcPr>
            <w:tcW w:type="dxa" w:w="1506"/>
            <w:vAlign w:val="top"/>
          </w:tcPr>
          <w:p>
            <w:pPr>
              <w:spacing w:after="0" w:line="240" w:lineRule="auto"/>
            </w:pPr>
            <w:r/>
            <w:r>
              <w:rPr>
                <w:b w:val="0"/>
                <w:sz w:val="15"/>
              </w:rPr>
              <w:t>Software (System &amp; Application)</w:t>
            </w:r>
          </w:p>
        </w:tc>
        <w:tc>
          <w:tcPr>
            <w:tcW w:type="dxa" w:w="1506"/>
            <w:vAlign w:val="top"/>
          </w:tcPr>
          <w:p>
            <w:pPr>
              <w:spacing w:after="0" w:line="240" w:lineRule="auto"/>
            </w:pPr>
            <w:r/>
            <w:r>
              <w:rPr>
                <w:b w:val="0"/>
                <w:sz w:val="15"/>
              </w:rPr>
              <w:t>Software (System &amp; Application)</w:t>
            </w:r>
          </w:p>
        </w:tc>
        <w:tc>
          <w:tcPr>
            <w:tcW w:type="dxa" w:w="1506"/>
            <w:vAlign w:val="top"/>
          </w:tcPr>
          <w:p>
            <w:pPr>
              <w:spacing w:after="0" w:line="240" w:lineRule="auto"/>
            </w:pPr>
            <w:r/>
            <w:r>
              <w:rPr>
                <w:b w:val="0"/>
                <w:sz w:val="15"/>
              </w:rPr>
              <w:t>Software (System &amp; Application)</w:t>
            </w:r>
          </w:p>
        </w:tc>
        <w:tc>
          <w:tcPr>
            <w:tcW w:type="dxa" w:w="1506"/>
            <w:vAlign w:val="top"/>
          </w:tcPr>
          <w:p>
            <w:pPr>
              <w:spacing w:after="0" w:line="240" w:lineRule="auto"/>
            </w:pPr>
            <w:r/>
            <w:r>
              <w:rPr>
                <w:b w:val="0"/>
                <w:sz w:val="15"/>
              </w:rPr>
              <w:t>Software (System &amp; Application)</w:t>
            </w:r>
          </w:p>
        </w:tc>
        <w:tc>
          <w:tcPr>
            <w:tcW w:type="dxa" w:w="1506"/>
            <w:vAlign w:val="top"/>
          </w:tcPr>
          <w:p>
            <w:pPr>
              <w:spacing w:after="0" w:line="240" w:lineRule="auto"/>
            </w:pPr>
            <w:r/>
            <w:r>
              <w:rPr>
                <w:b w:val="0"/>
                <w:sz w:val="15"/>
              </w:rPr>
              <w:t>Software (System &amp; Application)</w:t>
            </w:r>
          </w:p>
        </w:tc>
      </w:tr>
      <w:tr>
        <w:tc>
          <w:tcPr>
            <w:tcW w:type="dxa" w:w="1506"/>
            <w:vAlign w:val="top"/>
          </w:tcPr>
          <w:p>
            <w:pPr>
              <w:spacing w:after="0" w:line="240" w:lineRule="auto"/>
            </w:pPr>
            <w:r/>
            <w:r>
              <w:rPr>
                <w:b w:val="0"/>
                <w:sz w:val="15"/>
              </w:rPr>
              <w:t>Machinery</w:t>
            </w:r>
          </w:p>
        </w:tc>
        <w:tc>
          <w:tcPr>
            <w:tcW w:type="dxa" w:w="1506"/>
            <w:vAlign w:val="top"/>
          </w:tcPr>
          <w:p>
            <w:pPr>
              <w:spacing w:after="0" w:line="240" w:lineRule="auto"/>
            </w:pPr>
            <w:r/>
            <w:r>
              <w:rPr>
                <w:b w:val="0"/>
                <w:sz w:val="15"/>
              </w:rPr>
              <w:t>Machinery</w:t>
            </w:r>
          </w:p>
        </w:tc>
        <w:tc>
          <w:tcPr>
            <w:tcW w:type="dxa" w:w="1506"/>
            <w:vAlign w:val="top"/>
          </w:tcPr>
          <w:p>
            <w:pPr>
              <w:spacing w:after="0" w:line="240" w:lineRule="auto"/>
            </w:pPr>
            <w:r/>
            <w:r>
              <w:rPr>
                <w:b w:val="0"/>
                <w:sz w:val="15"/>
              </w:rPr>
              <w:t>Machinery</w:t>
            </w:r>
          </w:p>
        </w:tc>
        <w:tc>
          <w:tcPr>
            <w:tcW w:type="dxa" w:w="1506"/>
            <w:vAlign w:val="top"/>
          </w:tcPr>
          <w:p>
            <w:pPr>
              <w:spacing w:after="0" w:line="240" w:lineRule="auto"/>
            </w:pPr>
            <w:r/>
            <w:r>
              <w:rPr>
                <w:b w:val="0"/>
                <w:sz w:val="15"/>
              </w:rPr>
              <w:t>Machinery</w:t>
            </w:r>
          </w:p>
        </w:tc>
        <w:tc>
          <w:tcPr>
            <w:tcW w:type="dxa" w:w="1506"/>
            <w:vAlign w:val="top"/>
          </w:tcPr>
          <w:p>
            <w:pPr>
              <w:spacing w:after="0" w:line="240" w:lineRule="auto"/>
            </w:pPr>
            <w:r/>
            <w:r>
              <w:rPr>
                <w:b w:val="0"/>
                <w:sz w:val="15"/>
              </w:rPr>
              <w:t>Machinery</w:t>
            </w:r>
          </w:p>
        </w:tc>
        <w:tc>
          <w:tcPr>
            <w:tcW w:type="dxa" w:w="1506"/>
            <w:vAlign w:val="top"/>
          </w:tcPr>
          <w:p>
            <w:pPr>
              <w:spacing w:after="0" w:line="240" w:lineRule="auto"/>
            </w:pPr>
            <w:r/>
            <w:r>
              <w:rPr>
                <w:b w:val="0"/>
                <w:sz w:val="15"/>
              </w:rPr>
              <w:t>Machinery</w:t>
            </w:r>
          </w:p>
        </w:tc>
        <w:tc>
          <w:tcPr>
            <w:tcW w:type="dxa" w:w="1506"/>
            <w:vAlign w:val="top"/>
          </w:tcPr>
          <w:p>
            <w:pPr>
              <w:spacing w:after="0" w:line="240" w:lineRule="auto"/>
            </w:pPr>
            <w:r/>
            <w:r>
              <w:rPr>
                <w:b w:val="0"/>
                <w:sz w:val="15"/>
              </w:rPr>
              <w:t>Machinery</w:t>
            </w:r>
          </w:p>
        </w:tc>
      </w:tr>
      <w:tr>
        <w:tc>
          <w:tcPr>
            <w:tcW w:type="dxa" w:w="1506"/>
            <w:vAlign w:val="top"/>
          </w:tcPr>
          <w:p>
            <w:pPr>
              <w:spacing w:after="0" w:line="240" w:lineRule="auto"/>
            </w:pPr>
            <w:r/>
            <w:r>
              <w:rPr>
                <w:b w:val="0"/>
                <w:sz w:val="15"/>
              </w:rPr>
              <w:t>Restaurant/Dining</w:t>
            </w:r>
          </w:p>
        </w:tc>
        <w:tc>
          <w:tcPr>
            <w:tcW w:type="dxa" w:w="1506"/>
            <w:vAlign w:val="top"/>
          </w:tcPr>
          <w:p>
            <w:pPr>
              <w:spacing w:after="0" w:line="240" w:lineRule="auto"/>
            </w:pPr>
            <w:r/>
            <w:r>
              <w:rPr>
                <w:b w:val="0"/>
                <w:sz w:val="15"/>
              </w:rPr>
              <w:t>Restaurant/Dining</w:t>
            </w:r>
          </w:p>
        </w:tc>
        <w:tc>
          <w:tcPr>
            <w:tcW w:type="dxa" w:w="1506"/>
            <w:vAlign w:val="top"/>
          </w:tcPr>
          <w:p>
            <w:pPr>
              <w:spacing w:after="0" w:line="240" w:lineRule="auto"/>
            </w:pPr>
            <w:r/>
            <w:r>
              <w:rPr>
                <w:b w:val="0"/>
                <w:sz w:val="15"/>
              </w:rPr>
              <w:t>Restaurant/Dining</w:t>
            </w:r>
          </w:p>
        </w:tc>
        <w:tc>
          <w:tcPr>
            <w:tcW w:type="dxa" w:w="1506"/>
            <w:vAlign w:val="top"/>
          </w:tcPr>
          <w:p>
            <w:pPr>
              <w:spacing w:after="0" w:line="240" w:lineRule="auto"/>
            </w:pPr>
            <w:r/>
            <w:r>
              <w:rPr>
                <w:b w:val="0"/>
                <w:sz w:val="15"/>
              </w:rPr>
              <w:t>Restaurant/Dining</w:t>
            </w:r>
          </w:p>
        </w:tc>
        <w:tc>
          <w:tcPr>
            <w:tcW w:type="dxa" w:w="1506"/>
            <w:vAlign w:val="top"/>
          </w:tcPr>
          <w:p>
            <w:pPr>
              <w:spacing w:after="0" w:line="240" w:lineRule="auto"/>
            </w:pPr>
            <w:r/>
            <w:r>
              <w:rPr>
                <w:b w:val="0"/>
                <w:sz w:val="15"/>
              </w:rPr>
              <w:t>Restaurant/Dining</w:t>
            </w:r>
          </w:p>
        </w:tc>
        <w:tc>
          <w:tcPr>
            <w:tcW w:type="dxa" w:w="1506"/>
            <w:vAlign w:val="top"/>
          </w:tcPr>
          <w:p>
            <w:pPr>
              <w:spacing w:after="0" w:line="240" w:lineRule="auto"/>
            </w:pPr>
            <w:r/>
            <w:r>
              <w:rPr>
                <w:b w:val="0"/>
                <w:sz w:val="15"/>
              </w:rPr>
              <w:t>Restaurant/Dining</w:t>
            </w:r>
          </w:p>
        </w:tc>
        <w:tc>
          <w:tcPr>
            <w:tcW w:type="dxa" w:w="1506"/>
            <w:vAlign w:val="top"/>
          </w:tcPr>
          <w:p>
            <w:pPr>
              <w:spacing w:after="0" w:line="240" w:lineRule="auto"/>
            </w:pPr>
            <w:r/>
            <w:r>
              <w:rPr>
                <w:b w:val="0"/>
                <w:sz w:val="15"/>
              </w:rPr>
              <w:t>Restaurant/Dining</w:t>
            </w:r>
          </w:p>
        </w:tc>
      </w:tr>
      <w:tr>
        <w:tc>
          <w:tcPr>
            <w:tcW w:type="dxa" w:w="1506"/>
            <w:vAlign w:val="top"/>
          </w:tcPr>
          <w:p>
            <w:pPr>
              <w:spacing w:after="0" w:line="240" w:lineRule="auto"/>
            </w:pPr>
            <w:r/>
            <w:r>
              <w:rPr>
                <w:b w:val="0"/>
                <w:sz w:val="15"/>
              </w:rPr>
              <w:t>Metals &amp; Mining</w:t>
            </w:r>
          </w:p>
        </w:tc>
        <w:tc>
          <w:tcPr>
            <w:tcW w:type="dxa" w:w="1506"/>
            <w:vAlign w:val="top"/>
          </w:tcPr>
          <w:p>
            <w:pPr>
              <w:spacing w:after="0" w:line="240" w:lineRule="auto"/>
            </w:pPr>
            <w:r/>
            <w:r>
              <w:rPr>
                <w:b w:val="0"/>
                <w:sz w:val="15"/>
              </w:rPr>
              <w:t>Metals &amp; Mining</w:t>
            </w:r>
          </w:p>
        </w:tc>
        <w:tc>
          <w:tcPr>
            <w:tcW w:type="dxa" w:w="1506"/>
            <w:vAlign w:val="top"/>
          </w:tcPr>
          <w:p>
            <w:pPr>
              <w:spacing w:after="0" w:line="240" w:lineRule="auto"/>
            </w:pPr>
            <w:r/>
            <w:r>
              <w:rPr>
                <w:b w:val="0"/>
                <w:sz w:val="15"/>
              </w:rPr>
              <w:t>Metals &amp; Mining</w:t>
            </w:r>
          </w:p>
        </w:tc>
        <w:tc>
          <w:tcPr>
            <w:tcW w:type="dxa" w:w="1506"/>
            <w:vAlign w:val="top"/>
          </w:tcPr>
          <w:p>
            <w:pPr>
              <w:spacing w:after="0" w:line="240" w:lineRule="auto"/>
            </w:pPr>
            <w:r/>
            <w:r>
              <w:rPr>
                <w:b w:val="0"/>
                <w:sz w:val="15"/>
              </w:rPr>
              <w:t>Metals &amp; Mining</w:t>
            </w:r>
          </w:p>
        </w:tc>
        <w:tc>
          <w:tcPr>
            <w:tcW w:type="dxa" w:w="1506"/>
            <w:vAlign w:val="top"/>
          </w:tcPr>
          <w:p>
            <w:pPr>
              <w:spacing w:after="0" w:line="240" w:lineRule="auto"/>
            </w:pPr>
            <w:r/>
            <w:r>
              <w:rPr>
                <w:b w:val="0"/>
                <w:sz w:val="15"/>
              </w:rPr>
              <w:t>Metals &amp; Mining</w:t>
            </w:r>
          </w:p>
        </w:tc>
        <w:tc>
          <w:tcPr>
            <w:tcW w:type="dxa" w:w="1506"/>
            <w:vAlign w:val="top"/>
          </w:tcPr>
          <w:p>
            <w:pPr>
              <w:spacing w:after="0" w:line="240" w:lineRule="auto"/>
            </w:pPr>
            <w:r/>
            <w:r>
              <w:rPr>
                <w:b w:val="0"/>
                <w:sz w:val="15"/>
              </w:rPr>
              <w:t>Metals &amp; Mining</w:t>
            </w:r>
          </w:p>
        </w:tc>
        <w:tc>
          <w:tcPr>
            <w:tcW w:type="dxa" w:w="1506"/>
            <w:vAlign w:val="top"/>
          </w:tcPr>
          <w:p>
            <w:pPr>
              <w:spacing w:after="0" w:line="240" w:lineRule="auto"/>
            </w:pPr>
            <w:r/>
            <w:r>
              <w:rPr>
                <w:b w:val="0"/>
                <w:sz w:val="15"/>
              </w:rPr>
              <w:t>Metals &amp; Mining</w:t>
            </w:r>
          </w:p>
        </w:tc>
      </w:tr>
      <w:tr>
        <w:tc>
          <w:tcPr>
            <w:tcW w:type="dxa" w:w="1506"/>
            <w:vAlign w:val="top"/>
          </w:tcPr>
          <w:p>
            <w:pPr>
              <w:spacing w:after="0" w:line="240" w:lineRule="auto"/>
            </w:pPr>
            <w:r/>
            <w:r>
              <w:rPr>
                <w:b w:val="0"/>
                <w:sz w:val="15"/>
              </w:rPr>
              <w:t>Total Market (without financials)</w:t>
            </w:r>
          </w:p>
        </w:tc>
        <w:tc>
          <w:tcPr>
            <w:tcW w:type="dxa" w:w="1506"/>
            <w:vAlign w:val="top"/>
          </w:tcPr>
          <w:p>
            <w:pPr>
              <w:spacing w:after="0" w:line="240" w:lineRule="auto"/>
            </w:pPr>
            <w:r/>
            <w:r>
              <w:rPr>
                <w:b w:val="0"/>
                <w:sz w:val="15"/>
              </w:rPr>
              <w:t>Reference only</w:t>
            </w:r>
          </w:p>
        </w:tc>
        <w:tc>
          <w:tcPr>
            <w:tcW w:type="dxa" w:w="1506"/>
            <w:vAlign w:val="top"/>
          </w:tcPr>
          <w:p>
            <w:pPr>
              <w:spacing w:after="0" w:line="240" w:lineRule="auto"/>
            </w:pPr>
            <w:r/>
            <w:r>
              <w:rPr>
                <w:b w:val="0"/>
                <w:sz w:val="15"/>
              </w:rPr>
              <w:t>Reference only</w:t>
            </w:r>
          </w:p>
        </w:tc>
        <w:tc>
          <w:tcPr>
            <w:tcW w:type="dxa" w:w="1506"/>
            <w:vAlign w:val="top"/>
          </w:tcPr>
          <w:p>
            <w:pPr>
              <w:spacing w:after="0" w:line="240" w:lineRule="auto"/>
            </w:pPr>
            <w:r/>
            <w:r>
              <w:rPr>
                <w:b w:val="0"/>
                <w:sz w:val="15"/>
              </w:rPr>
              <w:t>Reference only</w:t>
            </w:r>
          </w:p>
        </w:tc>
        <w:tc>
          <w:tcPr>
            <w:tcW w:type="dxa" w:w="1506"/>
            <w:vAlign w:val="top"/>
          </w:tcPr>
          <w:p>
            <w:pPr>
              <w:spacing w:after="0" w:line="240" w:lineRule="auto"/>
            </w:pPr>
            <w:r/>
            <w:r>
              <w:rPr>
                <w:b w:val="0"/>
                <w:sz w:val="15"/>
              </w:rPr>
              <w:t>Reference only</w:t>
            </w:r>
          </w:p>
        </w:tc>
        <w:tc>
          <w:tcPr>
            <w:tcW w:type="dxa" w:w="1506"/>
            <w:vAlign w:val="top"/>
          </w:tcPr>
          <w:p>
            <w:pPr>
              <w:spacing w:after="0" w:line="240" w:lineRule="auto"/>
            </w:pPr>
            <w:r/>
            <w:r>
              <w:rPr>
                <w:b w:val="0"/>
                <w:sz w:val="15"/>
              </w:rPr>
              <w:t>Reference only</w:t>
            </w:r>
          </w:p>
        </w:tc>
        <w:tc>
          <w:tcPr>
            <w:tcW w:type="dxa" w:w="1506"/>
            <w:vAlign w:val="top"/>
          </w:tcPr>
          <w:p>
            <w:pPr>
              <w:spacing w:after="0" w:line="240" w:lineRule="auto"/>
            </w:pPr>
            <w:r/>
            <w:r>
              <w:rPr>
                <w:b w:val="0"/>
                <w:sz w:val="15"/>
              </w:rPr>
              <w:t>Reference only</w:t>
            </w:r>
          </w:p>
        </w:tc>
      </w:tr>
    </w:tbl>
    <w:p/>
    <w:p>
      <w:pPr>
        <w:pStyle w:val="Heading1"/>
      </w:pPr>
      <w:r>
        <w:t>21. Terminal Value</w:t>
      </w:r>
    </w:p>
    <w:p>
      <w:r>
        <w:t>Official terminal value is Gordon FCFF Terminal Value. Terminal value may start only when stable state is reached or analytically defensible. Stable state requires growth, margin, tax, ROC, reinvestment, beta, WACC, currency and FCFF to be stable or explainable.</w:t>
      </w:r>
    </w:p>
    <w:p>
      <w:pPr>
        <w:pStyle w:val="TableTitle"/>
      </w:pPr>
      <w:r>
        <w:rPr>
          <w:b/>
        </w:rPr>
        <w:t>Table - Terminal Value Logic</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6"/>
              </w:rPr>
              <w:t>Component</w:t>
            </w:r>
          </w:p>
        </w:tc>
        <w:tc>
          <w:tcPr>
            <w:tcW w:type="dxa" w:w="5270"/>
            <w:vAlign w:val="top"/>
            <w:shd w:fill="D9EAF7"/>
          </w:tcPr>
          <w:p>
            <w:pPr>
              <w:spacing w:after="0" w:line="240" w:lineRule="auto"/>
            </w:pPr>
            <w:r/>
            <w:r>
              <w:rPr>
                <w:b/>
                <w:sz w:val="16"/>
              </w:rPr>
              <w:t>Rule</w:t>
            </w:r>
          </w:p>
        </w:tc>
      </w:tr>
      <w:tr>
        <w:tc>
          <w:tcPr>
            <w:tcW w:type="dxa" w:w="5270"/>
            <w:vAlign w:val="top"/>
          </w:tcPr>
          <w:p>
            <w:pPr>
              <w:spacing w:after="0" w:line="240" w:lineRule="auto"/>
            </w:pPr>
            <w:r/>
            <w:r>
              <w:rPr>
                <w:b w:val="0"/>
                <w:sz w:val="15"/>
              </w:rPr>
              <w:t>Terminal FCFF</w:t>
            </w:r>
          </w:p>
        </w:tc>
        <w:tc>
          <w:tcPr>
            <w:tcW w:type="dxa" w:w="5270"/>
            <w:vAlign w:val="top"/>
          </w:tcPr>
          <w:p>
            <w:pPr>
              <w:spacing w:after="0" w:line="240" w:lineRule="auto"/>
            </w:pPr>
            <w:r/>
            <w:r>
              <w:rPr>
                <w:b w:val="0"/>
                <w:sz w:val="15"/>
              </w:rPr>
              <w:t>FCFF in first stable year after stable reinvestment.</w:t>
            </w:r>
          </w:p>
        </w:tc>
      </w:tr>
      <w:tr>
        <w:tc>
          <w:tcPr>
            <w:tcW w:type="dxa" w:w="5270"/>
            <w:vAlign w:val="top"/>
          </w:tcPr>
          <w:p>
            <w:pPr>
              <w:spacing w:after="0" w:line="240" w:lineRule="auto"/>
            </w:pPr>
            <w:r/>
            <w:r>
              <w:rPr>
                <w:b w:val="0"/>
                <w:sz w:val="15"/>
              </w:rPr>
              <w:t>Terminal Value</w:t>
            </w:r>
          </w:p>
        </w:tc>
        <w:tc>
          <w:tcPr>
            <w:tcW w:type="dxa" w:w="5270"/>
            <w:vAlign w:val="top"/>
          </w:tcPr>
          <w:p>
            <w:pPr>
              <w:spacing w:after="0" w:line="240" w:lineRule="auto"/>
            </w:pPr>
            <w:r/>
            <w:r>
              <w:rPr>
                <w:b w:val="0"/>
                <w:sz w:val="15"/>
              </w:rPr>
              <w:t>Terminal FCFF / (Stable WACC - Stable Growth).</w:t>
            </w:r>
          </w:p>
        </w:tc>
      </w:tr>
      <w:tr>
        <w:tc>
          <w:tcPr>
            <w:tcW w:type="dxa" w:w="5270"/>
            <w:vAlign w:val="top"/>
          </w:tcPr>
          <w:p>
            <w:pPr>
              <w:spacing w:after="0" w:line="240" w:lineRule="auto"/>
            </w:pPr>
            <w:r/>
            <w:r>
              <w:rPr>
                <w:b w:val="0"/>
                <w:sz w:val="15"/>
              </w:rPr>
              <w:t>Stable Growth</w:t>
            </w:r>
          </w:p>
        </w:tc>
        <w:tc>
          <w:tcPr>
            <w:tcW w:type="dxa" w:w="5270"/>
            <w:vAlign w:val="top"/>
          </w:tcPr>
          <w:p>
            <w:pPr>
              <w:spacing w:after="0" w:line="240" w:lineRule="auto"/>
            </w:pPr>
            <w:r/>
            <w:r>
              <w:rPr>
                <w:b w:val="0"/>
                <w:sz w:val="15"/>
              </w:rPr>
              <w:t>Normally linked to long-term nominal growth / riskfree / inflation in Valuation Currency.</w:t>
            </w:r>
          </w:p>
        </w:tc>
      </w:tr>
      <w:tr>
        <w:tc>
          <w:tcPr>
            <w:tcW w:type="dxa" w:w="5270"/>
            <w:vAlign w:val="top"/>
          </w:tcPr>
          <w:p>
            <w:pPr>
              <w:spacing w:after="0" w:line="240" w:lineRule="auto"/>
            </w:pPr>
            <w:r/>
            <w:r>
              <w:rPr>
                <w:b w:val="0"/>
                <w:sz w:val="15"/>
              </w:rPr>
              <w:t>Stable Reinvestment</w:t>
            </w:r>
          </w:p>
        </w:tc>
        <w:tc>
          <w:tcPr>
            <w:tcW w:type="dxa" w:w="5270"/>
            <w:vAlign w:val="top"/>
          </w:tcPr>
          <w:p>
            <w:pPr>
              <w:spacing w:after="0" w:line="240" w:lineRule="auto"/>
            </w:pPr>
            <w:r/>
            <w:r>
              <w:rPr>
                <w:b w:val="0"/>
                <w:sz w:val="15"/>
              </w:rPr>
              <w:t>Must be consistent with Stable Growth / Stable ROC.</w:t>
            </w:r>
          </w:p>
        </w:tc>
      </w:tr>
      <w:tr>
        <w:tc>
          <w:tcPr>
            <w:tcW w:type="dxa" w:w="5270"/>
            <w:vAlign w:val="top"/>
          </w:tcPr>
          <w:p>
            <w:pPr>
              <w:spacing w:after="0" w:line="240" w:lineRule="auto"/>
            </w:pPr>
            <w:r/>
            <w:r>
              <w:rPr>
                <w:b w:val="0"/>
                <w:sz w:val="15"/>
              </w:rPr>
              <w:t>Stable ROC</w:t>
            </w:r>
          </w:p>
        </w:tc>
        <w:tc>
          <w:tcPr>
            <w:tcW w:type="dxa" w:w="5270"/>
            <w:vAlign w:val="top"/>
          </w:tcPr>
          <w:p>
            <w:pPr>
              <w:spacing w:after="0" w:line="240" w:lineRule="auto"/>
            </w:pPr>
            <w:r/>
            <w:r>
              <w:rPr>
                <w:b w:val="0"/>
                <w:sz w:val="15"/>
              </w:rPr>
              <w:t>Must be positive and economically reasonable before using stable g/ROC.</w:t>
            </w:r>
          </w:p>
        </w:tc>
      </w:tr>
      <w:tr>
        <w:tc>
          <w:tcPr>
            <w:tcW w:type="dxa" w:w="5270"/>
            <w:vAlign w:val="top"/>
          </w:tcPr>
          <w:p>
            <w:pPr>
              <w:spacing w:after="0" w:line="240" w:lineRule="auto"/>
            </w:pPr>
            <w:r/>
            <w:r>
              <w:rPr>
                <w:b w:val="0"/>
                <w:sz w:val="15"/>
              </w:rPr>
              <w:t>Stable WACC</w:t>
            </w:r>
          </w:p>
        </w:tc>
        <w:tc>
          <w:tcPr>
            <w:tcW w:type="dxa" w:w="5270"/>
            <w:vAlign w:val="top"/>
          </w:tcPr>
          <w:p>
            <w:pPr>
              <w:spacing w:after="0" w:line="240" w:lineRule="auto"/>
            </w:pPr>
            <w:r/>
            <w:r>
              <w:rPr>
                <w:b w:val="0"/>
                <w:sz w:val="15"/>
              </w:rPr>
              <w:t>Separate from Current WACC and WACC by forecast year.</w:t>
            </w:r>
          </w:p>
        </w:tc>
      </w:tr>
      <w:tr>
        <w:tc>
          <w:tcPr>
            <w:tcW w:type="dxa" w:w="5270"/>
            <w:vAlign w:val="top"/>
          </w:tcPr>
          <w:p>
            <w:pPr>
              <w:spacing w:after="0" w:line="240" w:lineRule="auto"/>
            </w:pPr>
            <w:r/>
            <w:r>
              <w:rPr>
                <w:b w:val="0"/>
                <w:sz w:val="15"/>
              </w:rPr>
              <w:t>Review blocker</w:t>
            </w:r>
          </w:p>
        </w:tc>
        <w:tc>
          <w:tcPr>
            <w:tcW w:type="dxa" w:w="5270"/>
            <w:vAlign w:val="top"/>
          </w:tcPr>
          <w:p>
            <w:pPr>
              <w:spacing w:after="0" w:line="240" w:lineRule="auto"/>
            </w:pPr>
            <w:r/>
            <w:r>
              <w:rPr>
                <w:b w:val="0"/>
                <w:sz w:val="15"/>
              </w:rPr>
              <w:t>Stable Growth &gt;= Stable WACC makes normal terminal value unsafe / Not Ready.</w:t>
            </w:r>
          </w:p>
        </w:tc>
      </w:tr>
    </w:tbl>
    <w:p/>
    <w:p>
      <w:pPr>
        <w:pStyle w:val="Heading1"/>
      </w:pPr>
      <w:r>
        <w:t>22. Value of Operating Assets</w:t>
      </w:r>
    </w:p>
    <w:p>
      <w:r>
        <w:t>Value of Operating Assets equals the present value of explicit forecast FCFF plus present value of terminal value. It excludes excess cash, debt, lease debt, preferred equity, minority interest and other non-operating claims that belong in the Firm-to-Equity Bridge.</w:t>
      </w:r>
    </w:p>
    <w:p>
      <w:pPr>
        <w:pStyle w:val="TableTitle"/>
      </w:pPr>
      <w:r>
        <w:rPr>
          <w:b/>
        </w:rPr>
        <w:t>Table - Value of Operating Assets</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6"/>
              </w:rPr>
              <w:t>Formula component</w:t>
            </w:r>
          </w:p>
        </w:tc>
        <w:tc>
          <w:tcPr>
            <w:tcW w:type="dxa" w:w="5270"/>
            <w:vAlign w:val="top"/>
            <w:shd w:fill="D9EAF7"/>
          </w:tcPr>
          <w:p>
            <w:pPr>
              <w:spacing w:after="0" w:line="240" w:lineRule="auto"/>
            </w:pPr>
            <w:r/>
            <w:r>
              <w:rPr>
                <w:b/>
                <w:sz w:val="16"/>
              </w:rPr>
              <w:t>Logic</w:t>
            </w:r>
          </w:p>
        </w:tc>
      </w:tr>
      <w:tr>
        <w:tc>
          <w:tcPr>
            <w:tcW w:type="dxa" w:w="5270"/>
            <w:vAlign w:val="top"/>
          </w:tcPr>
          <w:p>
            <w:pPr>
              <w:spacing w:after="0" w:line="240" w:lineRule="auto"/>
            </w:pPr>
            <w:r/>
            <w:r>
              <w:rPr>
                <w:b w:val="0"/>
                <w:sz w:val="15"/>
              </w:rPr>
              <w:t>PV Explicit FCFF</w:t>
            </w:r>
          </w:p>
        </w:tc>
        <w:tc>
          <w:tcPr>
            <w:tcW w:type="dxa" w:w="5270"/>
            <w:vAlign w:val="top"/>
          </w:tcPr>
          <w:p>
            <w:pPr>
              <w:spacing w:after="0" w:line="240" w:lineRule="auto"/>
            </w:pPr>
            <w:r/>
            <w:r>
              <w:rPr>
                <w:b w:val="0"/>
                <w:sz w:val="15"/>
              </w:rPr>
              <w:t>Sum of forecast FCFF discounted by WACC path.</w:t>
            </w:r>
          </w:p>
        </w:tc>
      </w:tr>
      <w:tr>
        <w:tc>
          <w:tcPr>
            <w:tcW w:type="dxa" w:w="5270"/>
            <w:vAlign w:val="top"/>
          </w:tcPr>
          <w:p>
            <w:pPr>
              <w:spacing w:after="0" w:line="240" w:lineRule="auto"/>
            </w:pPr>
            <w:r/>
            <w:r>
              <w:rPr>
                <w:b w:val="0"/>
                <w:sz w:val="15"/>
              </w:rPr>
              <w:t>PV Terminal Value</w:t>
            </w:r>
          </w:p>
        </w:tc>
        <w:tc>
          <w:tcPr>
            <w:tcW w:type="dxa" w:w="5270"/>
            <w:vAlign w:val="top"/>
          </w:tcPr>
          <w:p>
            <w:pPr>
              <w:spacing w:after="0" w:line="240" w:lineRule="auto"/>
            </w:pPr>
            <w:r/>
            <w:r>
              <w:rPr>
                <w:b w:val="0"/>
                <w:sz w:val="15"/>
              </w:rPr>
              <w:t>Terminal value discounted to valuation date.</w:t>
            </w:r>
          </w:p>
        </w:tc>
      </w:tr>
      <w:tr>
        <w:tc>
          <w:tcPr>
            <w:tcW w:type="dxa" w:w="5270"/>
            <w:vAlign w:val="top"/>
          </w:tcPr>
          <w:p>
            <w:pPr>
              <w:spacing w:after="0" w:line="240" w:lineRule="auto"/>
            </w:pPr>
            <w:r/>
            <w:r>
              <w:rPr>
                <w:b w:val="0"/>
                <w:sz w:val="15"/>
              </w:rPr>
              <w:t>Value of Operating Assets</w:t>
            </w:r>
          </w:p>
        </w:tc>
        <w:tc>
          <w:tcPr>
            <w:tcW w:type="dxa" w:w="5270"/>
            <w:vAlign w:val="top"/>
          </w:tcPr>
          <w:p>
            <w:pPr>
              <w:spacing w:after="0" w:line="240" w:lineRule="auto"/>
            </w:pPr>
            <w:r/>
            <w:r>
              <w:rPr>
                <w:b w:val="0"/>
                <w:sz w:val="15"/>
              </w:rPr>
              <w:t>PV Explicit FCFF + PV Terminal Value.</w:t>
            </w:r>
          </w:p>
        </w:tc>
      </w:tr>
    </w:tbl>
    <w:p/>
    <w:p>
      <w:pPr>
        <w:pStyle w:val="Heading1"/>
      </w:pPr>
      <w:r>
        <w:t>23. Firm-to-Equity Bridge</w:t>
      </w:r>
    </w:p>
    <w:p>
      <w:r>
        <w:t>Firm-to-Equity Bridge converts Value of Operating Assets to Equity Value. Bridge items must not be pushed into FCFF or WACC formulas manually.</w:t>
      </w:r>
    </w:p>
    <w:p>
      <w:pPr>
        <w:pStyle w:val="TableTitle"/>
      </w:pPr>
      <w:r>
        <w:rPr>
          <w:b/>
        </w:rPr>
        <w:t>Table - Firm-to-Equity Bridge</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6"/>
              </w:rPr>
              <w:t>Bridge item</w:t>
            </w:r>
          </w:p>
        </w:tc>
        <w:tc>
          <w:tcPr>
            <w:tcW w:type="dxa" w:w="5270"/>
            <w:vAlign w:val="top"/>
            <w:shd w:fill="D9EAF7"/>
          </w:tcPr>
          <w:p>
            <w:pPr>
              <w:spacing w:after="0" w:line="240" w:lineRule="auto"/>
            </w:pPr>
            <w:r/>
            <w:r>
              <w:rPr>
                <w:b/>
                <w:sz w:val="16"/>
              </w:rPr>
              <w:t>Typical treatment</w:t>
            </w:r>
          </w:p>
        </w:tc>
      </w:tr>
      <w:tr>
        <w:tc>
          <w:tcPr>
            <w:tcW w:type="dxa" w:w="5270"/>
            <w:vAlign w:val="top"/>
          </w:tcPr>
          <w:p>
            <w:pPr>
              <w:spacing w:after="0" w:line="240" w:lineRule="auto"/>
            </w:pPr>
            <w:r/>
            <w:r>
              <w:rPr>
                <w:b w:val="0"/>
                <w:sz w:val="15"/>
              </w:rPr>
              <w:t>Cash and cash equivalents</w:t>
            </w:r>
          </w:p>
        </w:tc>
        <w:tc>
          <w:tcPr>
            <w:tcW w:type="dxa" w:w="5270"/>
            <w:vAlign w:val="top"/>
          </w:tcPr>
          <w:p>
            <w:pPr>
              <w:spacing w:after="0" w:line="240" w:lineRule="auto"/>
            </w:pPr>
            <w:r/>
            <w:r>
              <w:rPr>
                <w:b w:val="0"/>
                <w:sz w:val="15"/>
              </w:rPr>
              <w:t>Add, if excess/non-operating cash or bridge policy includes it.</w:t>
            </w:r>
          </w:p>
        </w:tc>
      </w:tr>
      <w:tr>
        <w:tc>
          <w:tcPr>
            <w:tcW w:type="dxa" w:w="5270"/>
            <w:vAlign w:val="top"/>
          </w:tcPr>
          <w:p>
            <w:pPr>
              <w:spacing w:after="0" w:line="240" w:lineRule="auto"/>
            </w:pPr>
            <w:r/>
            <w:r>
              <w:rPr>
                <w:b w:val="0"/>
                <w:sz w:val="15"/>
              </w:rPr>
              <w:t>Marketable securities / non-operating assets</w:t>
            </w:r>
          </w:p>
        </w:tc>
        <w:tc>
          <w:tcPr>
            <w:tcW w:type="dxa" w:w="5270"/>
            <w:vAlign w:val="top"/>
          </w:tcPr>
          <w:p>
            <w:pPr>
              <w:spacing w:after="0" w:line="240" w:lineRule="auto"/>
            </w:pPr>
            <w:r/>
            <w:r>
              <w:rPr>
                <w:b w:val="0"/>
                <w:sz w:val="15"/>
              </w:rPr>
              <w:t>Add if not already part of operating asset value.</w:t>
            </w:r>
          </w:p>
        </w:tc>
      </w:tr>
      <w:tr>
        <w:tc>
          <w:tcPr>
            <w:tcW w:type="dxa" w:w="5270"/>
            <w:vAlign w:val="top"/>
          </w:tcPr>
          <w:p>
            <w:pPr>
              <w:spacing w:after="0" w:line="240" w:lineRule="auto"/>
            </w:pPr>
            <w:r/>
            <w:r>
              <w:rPr>
                <w:b w:val="0"/>
                <w:sz w:val="15"/>
              </w:rPr>
              <w:t>Gross debt</w:t>
            </w:r>
          </w:p>
        </w:tc>
        <w:tc>
          <w:tcPr>
            <w:tcW w:type="dxa" w:w="5270"/>
            <w:vAlign w:val="top"/>
          </w:tcPr>
          <w:p>
            <w:pPr>
              <w:spacing w:after="0" w:line="240" w:lineRule="auto"/>
            </w:pPr>
            <w:r/>
            <w:r>
              <w:rPr>
                <w:b w:val="0"/>
                <w:sz w:val="15"/>
              </w:rPr>
              <w:t>Subtract.</w:t>
            </w:r>
          </w:p>
        </w:tc>
      </w:tr>
      <w:tr>
        <w:tc>
          <w:tcPr>
            <w:tcW w:type="dxa" w:w="5270"/>
            <w:vAlign w:val="top"/>
          </w:tcPr>
          <w:p>
            <w:pPr>
              <w:spacing w:after="0" w:line="240" w:lineRule="auto"/>
            </w:pPr>
            <w:r/>
            <w:r>
              <w:rPr>
                <w:b w:val="0"/>
                <w:sz w:val="15"/>
              </w:rPr>
              <w:t>Lease debt / lease liabilities</w:t>
            </w:r>
          </w:p>
        </w:tc>
        <w:tc>
          <w:tcPr>
            <w:tcW w:type="dxa" w:w="5270"/>
            <w:vAlign w:val="top"/>
          </w:tcPr>
          <w:p>
            <w:pPr>
              <w:spacing w:after="0" w:line="240" w:lineRule="auto"/>
            </w:pPr>
            <w:r/>
            <w:r>
              <w:rPr>
                <w:b w:val="0"/>
                <w:sz w:val="15"/>
              </w:rPr>
              <w:t>Subtract or treat as debt-like claims where relevant.</w:t>
            </w:r>
          </w:p>
        </w:tc>
      </w:tr>
      <w:tr>
        <w:tc>
          <w:tcPr>
            <w:tcW w:type="dxa" w:w="5270"/>
            <w:vAlign w:val="top"/>
          </w:tcPr>
          <w:p>
            <w:pPr>
              <w:spacing w:after="0" w:line="240" w:lineRule="auto"/>
            </w:pPr>
            <w:r/>
            <w:r>
              <w:rPr>
                <w:b w:val="0"/>
                <w:sz w:val="15"/>
              </w:rPr>
              <w:t>Preferred equity</w:t>
            </w:r>
          </w:p>
        </w:tc>
        <w:tc>
          <w:tcPr>
            <w:tcW w:type="dxa" w:w="5270"/>
            <w:vAlign w:val="top"/>
          </w:tcPr>
          <w:p>
            <w:pPr>
              <w:spacing w:after="0" w:line="240" w:lineRule="auto"/>
            </w:pPr>
            <w:r/>
            <w:r>
              <w:rPr>
                <w:b w:val="0"/>
                <w:sz w:val="15"/>
              </w:rPr>
              <w:t>Subtract.</w:t>
            </w:r>
          </w:p>
        </w:tc>
      </w:tr>
      <w:tr>
        <w:tc>
          <w:tcPr>
            <w:tcW w:type="dxa" w:w="5270"/>
            <w:vAlign w:val="top"/>
          </w:tcPr>
          <w:p>
            <w:pPr>
              <w:spacing w:after="0" w:line="240" w:lineRule="auto"/>
            </w:pPr>
            <w:r/>
            <w:r>
              <w:rPr>
                <w:b w:val="0"/>
                <w:sz w:val="15"/>
              </w:rPr>
              <w:t>Minority interest / NCI</w:t>
            </w:r>
          </w:p>
        </w:tc>
        <w:tc>
          <w:tcPr>
            <w:tcW w:type="dxa" w:w="5270"/>
            <w:vAlign w:val="top"/>
          </w:tcPr>
          <w:p>
            <w:pPr>
              <w:spacing w:after="0" w:line="240" w:lineRule="auto"/>
            </w:pPr>
            <w:r/>
            <w:r>
              <w:rPr>
                <w:b w:val="0"/>
                <w:sz w:val="15"/>
              </w:rPr>
              <w:t>Subtract where relevant.</w:t>
            </w:r>
          </w:p>
        </w:tc>
      </w:tr>
      <w:tr>
        <w:tc>
          <w:tcPr>
            <w:tcW w:type="dxa" w:w="5270"/>
            <w:vAlign w:val="top"/>
          </w:tcPr>
          <w:p>
            <w:pPr>
              <w:spacing w:after="0" w:line="240" w:lineRule="auto"/>
            </w:pPr>
            <w:r/>
            <w:r>
              <w:rPr>
                <w:b w:val="0"/>
                <w:sz w:val="15"/>
              </w:rPr>
              <w:t>Associates / JVs</w:t>
            </w:r>
          </w:p>
        </w:tc>
        <w:tc>
          <w:tcPr>
            <w:tcW w:type="dxa" w:w="5270"/>
            <w:vAlign w:val="top"/>
          </w:tcPr>
          <w:p>
            <w:pPr>
              <w:spacing w:after="0" w:line="240" w:lineRule="auto"/>
            </w:pPr>
            <w:r/>
            <w:r>
              <w:rPr>
                <w:b w:val="0"/>
                <w:sz w:val="15"/>
              </w:rPr>
              <w:t>Add or adjust separately based on policy and data availability.</w:t>
            </w:r>
          </w:p>
        </w:tc>
      </w:tr>
      <w:tr>
        <w:tc>
          <w:tcPr>
            <w:tcW w:type="dxa" w:w="5270"/>
            <w:vAlign w:val="top"/>
          </w:tcPr>
          <w:p>
            <w:pPr>
              <w:spacing w:after="0" w:line="240" w:lineRule="auto"/>
            </w:pPr>
            <w:r/>
            <w:r>
              <w:rPr>
                <w:b w:val="0"/>
                <w:sz w:val="15"/>
              </w:rPr>
              <w:t>Options / equity claims</w:t>
            </w:r>
          </w:p>
        </w:tc>
        <w:tc>
          <w:tcPr>
            <w:tcW w:type="dxa" w:w="5270"/>
            <w:vAlign w:val="top"/>
          </w:tcPr>
          <w:p>
            <w:pPr>
              <w:spacing w:after="0" w:line="240" w:lineRule="auto"/>
            </w:pPr>
            <w:r/>
            <w:r>
              <w:rPr>
                <w:b w:val="0"/>
                <w:sz w:val="15"/>
              </w:rPr>
              <w:t>Adjust if material and method supported.</w:t>
            </w:r>
          </w:p>
        </w:tc>
      </w:tr>
      <w:tr>
        <w:tc>
          <w:tcPr>
            <w:tcW w:type="dxa" w:w="5270"/>
            <w:vAlign w:val="top"/>
          </w:tcPr>
          <w:p>
            <w:pPr>
              <w:spacing w:after="0" w:line="240" w:lineRule="auto"/>
            </w:pPr>
            <w:r/>
            <w:r>
              <w:rPr>
                <w:b w:val="0"/>
                <w:sz w:val="15"/>
              </w:rPr>
              <w:t>Other debt-like claims</w:t>
            </w:r>
          </w:p>
        </w:tc>
        <w:tc>
          <w:tcPr>
            <w:tcW w:type="dxa" w:w="5270"/>
            <w:vAlign w:val="top"/>
          </w:tcPr>
          <w:p>
            <w:pPr>
              <w:spacing w:after="0" w:line="240" w:lineRule="auto"/>
            </w:pPr>
            <w:r/>
            <w:r>
              <w:rPr>
                <w:b w:val="0"/>
                <w:sz w:val="15"/>
              </w:rPr>
              <w:t>Subtract with notes and review.</w:t>
            </w:r>
          </w:p>
        </w:tc>
      </w:tr>
    </w:tbl>
    <w:p/>
    <w:p>
      <w:pPr>
        <w:pStyle w:val="Heading1"/>
      </w:pPr>
      <w:r>
        <w:t>24. Share Count</w:t>
      </w:r>
    </w:p>
    <w:p>
      <w:r>
        <w:t>Selected Diluted Shares is the denominator for Official Intrinsic Value per Share. The standard chain is Manual Share Count Override if filled; otherwise Market-Implied Shares = Market Cap / Current Price from Google Finance where possible. If market-implied shares are wrong, the user enters a manual override with note. Reported Diluted Shares is not a separate fallback input in the base specification.</w:t>
      </w:r>
    </w:p>
    <w:p>
      <w:pPr>
        <w:pStyle w:val="TableTitle"/>
      </w:pPr>
      <w:r>
        <w:rPr>
          <w:b/>
        </w:rPr>
        <w:t>Table - Share Count Logic</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6"/>
              </w:rPr>
              <w:t>Step</w:t>
            </w:r>
          </w:p>
        </w:tc>
        <w:tc>
          <w:tcPr>
            <w:tcW w:type="dxa" w:w="5270"/>
            <w:vAlign w:val="top"/>
            <w:shd w:fill="D9EAF7"/>
          </w:tcPr>
          <w:p>
            <w:pPr>
              <w:spacing w:after="0" w:line="240" w:lineRule="auto"/>
            </w:pPr>
            <w:r/>
            <w:r>
              <w:rPr>
                <w:b/>
                <w:sz w:val="16"/>
              </w:rPr>
              <w:t>Logic</w:t>
            </w:r>
          </w:p>
        </w:tc>
      </w:tr>
      <w:tr>
        <w:tc>
          <w:tcPr>
            <w:tcW w:type="dxa" w:w="5270"/>
            <w:vAlign w:val="top"/>
          </w:tcPr>
          <w:p>
            <w:pPr>
              <w:spacing w:after="0" w:line="240" w:lineRule="auto"/>
            </w:pPr>
            <w:r/>
            <w:r>
              <w:rPr>
                <w:b w:val="0"/>
                <w:sz w:val="15"/>
              </w:rPr>
              <w:t>1</w:t>
            </w:r>
          </w:p>
        </w:tc>
        <w:tc>
          <w:tcPr>
            <w:tcW w:type="dxa" w:w="5270"/>
            <w:vAlign w:val="top"/>
          </w:tcPr>
          <w:p>
            <w:pPr>
              <w:spacing w:after="0" w:line="240" w:lineRule="auto"/>
            </w:pPr>
            <w:r/>
            <w:r>
              <w:rPr>
                <w:b w:val="0"/>
                <w:sz w:val="15"/>
              </w:rPr>
              <w:t>If Manual Share Count Override is filled, use it.</w:t>
            </w:r>
          </w:p>
        </w:tc>
      </w:tr>
      <w:tr>
        <w:tc>
          <w:tcPr>
            <w:tcW w:type="dxa" w:w="5270"/>
            <w:vAlign w:val="top"/>
          </w:tcPr>
          <w:p>
            <w:pPr>
              <w:spacing w:after="0" w:line="240" w:lineRule="auto"/>
            </w:pPr>
            <w:r/>
            <w:r>
              <w:rPr>
                <w:b w:val="0"/>
                <w:sz w:val="15"/>
              </w:rPr>
              <w:t>2</w:t>
            </w:r>
          </w:p>
        </w:tc>
        <w:tc>
          <w:tcPr>
            <w:tcW w:type="dxa" w:w="5270"/>
            <w:vAlign w:val="top"/>
          </w:tcPr>
          <w:p>
            <w:pPr>
              <w:spacing w:after="0" w:line="240" w:lineRule="auto"/>
            </w:pPr>
            <w:r/>
            <w:r>
              <w:rPr>
                <w:b w:val="0"/>
                <w:sz w:val="15"/>
              </w:rPr>
              <w:t>Otherwise use Market-Implied Shares = Market Cap / Current Price where both are available and currency-consistent.</w:t>
            </w:r>
          </w:p>
        </w:tc>
      </w:tr>
      <w:tr>
        <w:tc>
          <w:tcPr>
            <w:tcW w:type="dxa" w:w="5270"/>
            <w:vAlign w:val="top"/>
          </w:tcPr>
          <w:p>
            <w:pPr>
              <w:spacing w:after="0" w:line="240" w:lineRule="auto"/>
            </w:pPr>
            <w:r/>
            <w:r>
              <w:rPr>
                <w:b w:val="0"/>
                <w:sz w:val="15"/>
              </w:rPr>
              <w:t>3</w:t>
            </w:r>
          </w:p>
        </w:tc>
        <w:tc>
          <w:tcPr>
            <w:tcW w:type="dxa" w:w="5270"/>
            <w:vAlign w:val="top"/>
          </w:tcPr>
          <w:p>
            <w:pPr>
              <w:spacing w:after="0" w:line="240" w:lineRule="auto"/>
            </w:pPr>
            <w:r/>
            <w:r>
              <w:rPr>
                <w:b w:val="0"/>
                <w:sz w:val="15"/>
              </w:rPr>
              <w:t>If neither is available, flag Share Count Review / Not Ready.</w:t>
            </w:r>
          </w:p>
        </w:tc>
      </w:tr>
      <w:tr>
        <w:tc>
          <w:tcPr>
            <w:tcW w:type="dxa" w:w="5270"/>
            <w:vAlign w:val="top"/>
          </w:tcPr>
          <w:p>
            <w:pPr>
              <w:spacing w:after="0" w:line="240" w:lineRule="auto"/>
            </w:pPr>
            <w:r/>
            <w:r>
              <w:rPr>
                <w:b w:val="0"/>
                <w:sz w:val="15"/>
              </w:rPr>
              <w:t>4</w:t>
            </w:r>
          </w:p>
        </w:tc>
        <w:tc>
          <w:tcPr>
            <w:tcW w:type="dxa" w:w="5270"/>
            <w:vAlign w:val="top"/>
          </w:tcPr>
          <w:p>
            <w:pPr>
              <w:spacing w:after="0" w:line="240" w:lineRule="auto"/>
            </w:pPr>
            <w:r/>
            <w:r>
              <w:rPr>
                <w:b w:val="0"/>
                <w:sz w:val="15"/>
              </w:rPr>
              <w:t>Official Intrinsic Value per Share = Equity Value / Selected Diluted Shares.</w:t>
            </w:r>
          </w:p>
        </w:tc>
      </w:tr>
    </w:tbl>
    <w:p/>
    <w:p>
      <w:pPr>
        <w:pStyle w:val="Heading1"/>
      </w:pPr>
      <w:r>
        <w:t>25. MOS / Entry / Exit / Decision Layer</w:t>
      </w:r>
    </w:p>
    <w:p>
      <w:r>
        <w:t>MOS, Entry Price, Exit Price and Decision Status are decision support. They do not change Official Intrinsic Value per Share. More complex cases, weak data, cyclical normalization, high terminal value share, turnaround logic or severe review flags should require higher margin of safety or stronger review wording.</w:t>
      </w:r>
    </w:p>
    <w:p>
      <w:pPr>
        <w:pStyle w:val="TableTitle"/>
      </w:pPr>
      <w:r>
        <w:rPr>
          <w:b/>
        </w:rPr>
        <w:t>Table - Decision Layer Outputs</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6"/>
              </w:rPr>
              <w:t>Output</w:t>
            </w:r>
          </w:p>
        </w:tc>
        <w:tc>
          <w:tcPr>
            <w:tcW w:type="dxa" w:w="5270"/>
            <w:vAlign w:val="top"/>
            <w:shd w:fill="D9EAF7"/>
          </w:tcPr>
          <w:p>
            <w:pPr>
              <w:spacing w:after="0" w:line="240" w:lineRule="auto"/>
            </w:pPr>
            <w:r/>
            <w:r>
              <w:rPr>
                <w:b/>
                <w:sz w:val="16"/>
              </w:rPr>
              <w:t>Role</w:t>
            </w:r>
          </w:p>
        </w:tc>
      </w:tr>
      <w:tr>
        <w:tc>
          <w:tcPr>
            <w:tcW w:type="dxa" w:w="5270"/>
            <w:vAlign w:val="top"/>
          </w:tcPr>
          <w:p>
            <w:pPr>
              <w:spacing w:after="0" w:line="240" w:lineRule="auto"/>
            </w:pPr>
            <w:r/>
            <w:r>
              <w:rPr>
                <w:b w:val="0"/>
                <w:sz w:val="15"/>
              </w:rPr>
              <w:t>Final MOS</w:t>
            </w:r>
          </w:p>
        </w:tc>
        <w:tc>
          <w:tcPr>
            <w:tcW w:type="dxa" w:w="5270"/>
            <w:vAlign w:val="top"/>
          </w:tcPr>
          <w:p>
            <w:pPr>
              <w:spacing w:after="0" w:line="240" w:lineRule="auto"/>
            </w:pPr>
            <w:r/>
            <w:r>
              <w:rPr>
                <w:b w:val="0"/>
                <w:sz w:val="15"/>
              </w:rPr>
              <w:t>Required margin of safety based on settings and review context.</w:t>
            </w:r>
          </w:p>
        </w:tc>
      </w:tr>
      <w:tr>
        <w:tc>
          <w:tcPr>
            <w:tcW w:type="dxa" w:w="5270"/>
            <w:vAlign w:val="top"/>
          </w:tcPr>
          <w:p>
            <w:pPr>
              <w:spacing w:after="0" w:line="240" w:lineRule="auto"/>
            </w:pPr>
            <w:r/>
            <w:r>
              <w:rPr>
                <w:b w:val="0"/>
                <w:sz w:val="15"/>
              </w:rPr>
              <w:t>Entry Price</w:t>
            </w:r>
          </w:p>
        </w:tc>
        <w:tc>
          <w:tcPr>
            <w:tcW w:type="dxa" w:w="5270"/>
            <w:vAlign w:val="top"/>
          </w:tcPr>
          <w:p>
            <w:pPr>
              <w:spacing w:after="0" w:line="240" w:lineRule="auto"/>
            </w:pPr>
            <w:r/>
            <w:r>
              <w:rPr>
                <w:b w:val="0"/>
                <w:sz w:val="15"/>
              </w:rPr>
              <w:t>Price level derived from intrinsic value and MOS.</w:t>
            </w:r>
          </w:p>
        </w:tc>
      </w:tr>
      <w:tr>
        <w:tc>
          <w:tcPr>
            <w:tcW w:type="dxa" w:w="5270"/>
            <w:vAlign w:val="top"/>
          </w:tcPr>
          <w:p>
            <w:pPr>
              <w:spacing w:after="0" w:line="240" w:lineRule="auto"/>
            </w:pPr>
            <w:r/>
            <w:r>
              <w:rPr>
                <w:b w:val="0"/>
                <w:sz w:val="15"/>
              </w:rPr>
              <w:t>Exit / Target Support</w:t>
            </w:r>
          </w:p>
        </w:tc>
        <w:tc>
          <w:tcPr>
            <w:tcW w:type="dxa" w:w="5270"/>
            <w:vAlign w:val="top"/>
          </w:tcPr>
          <w:p>
            <w:pPr>
              <w:spacing w:after="0" w:line="240" w:lineRule="auto"/>
            </w:pPr>
            <w:r/>
            <w:r>
              <w:rPr>
                <w:b w:val="0"/>
                <w:sz w:val="15"/>
              </w:rPr>
              <w:t>Support output, not official intrinsic value.</w:t>
            </w:r>
          </w:p>
        </w:tc>
      </w:tr>
      <w:tr>
        <w:tc>
          <w:tcPr>
            <w:tcW w:type="dxa" w:w="5270"/>
            <w:vAlign w:val="top"/>
          </w:tcPr>
          <w:p>
            <w:pPr>
              <w:spacing w:after="0" w:line="240" w:lineRule="auto"/>
            </w:pPr>
            <w:r/>
            <w:r>
              <w:rPr>
                <w:b w:val="0"/>
                <w:sz w:val="15"/>
              </w:rPr>
              <w:t>Decision Status</w:t>
            </w:r>
          </w:p>
        </w:tc>
        <w:tc>
          <w:tcPr>
            <w:tcW w:type="dxa" w:w="5270"/>
            <w:vAlign w:val="top"/>
          </w:tcPr>
          <w:p>
            <w:pPr>
              <w:spacing w:after="0" w:line="240" w:lineRule="auto"/>
            </w:pPr>
            <w:r/>
            <w:r>
              <w:rPr>
                <w:b w:val="0"/>
                <w:sz w:val="15"/>
              </w:rPr>
              <w:t>Practical decision status based on value, MOS, review and status rules.</w:t>
            </w:r>
          </w:p>
        </w:tc>
      </w:tr>
      <w:tr>
        <w:tc>
          <w:tcPr>
            <w:tcW w:type="dxa" w:w="5270"/>
            <w:vAlign w:val="top"/>
          </w:tcPr>
          <w:p>
            <w:pPr>
              <w:spacing w:after="0" w:line="240" w:lineRule="auto"/>
            </w:pPr>
            <w:r/>
            <w:r>
              <w:rPr>
                <w:b w:val="0"/>
                <w:sz w:val="15"/>
              </w:rPr>
              <w:t>Status Note</w:t>
            </w:r>
          </w:p>
        </w:tc>
        <w:tc>
          <w:tcPr>
            <w:tcW w:type="dxa" w:w="5270"/>
            <w:vAlign w:val="top"/>
          </w:tcPr>
          <w:p>
            <w:pPr>
              <w:spacing w:after="0" w:line="240" w:lineRule="auto"/>
            </w:pPr>
            <w:r/>
            <w:r>
              <w:rPr>
                <w:b w:val="0"/>
                <w:sz w:val="15"/>
              </w:rPr>
              <w:t>Short explanation of key issue or conclusion.</w:t>
            </w:r>
          </w:p>
        </w:tc>
      </w:tr>
    </w:tbl>
    <w:p/>
    <w:p>
      <w:pPr>
        <w:pStyle w:val="Heading1"/>
      </w:pPr>
      <w:r>
        <w:t>26. Quality / Review Checks</w:t>
      </w:r>
    </w:p>
    <w:p>
      <w:r>
        <w:t>Quality / Review Checks should use a flag-based architecture. Worst material flag wins before advanced scoring is trusted. Review flags explain whether output is OK, Watch, Review Required, Not Ready or Excluded / Special Review.</w:t>
      </w:r>
    </w:p>
    <w:p>
      <w:pPr>
        <w:pStyle w:val="TableTitle"/>
      </w:pPr>
      <w:r>
        <w:rPr>
          <w:b/>
        </w:rPr>
        <w:t>Table - Review Flag Families</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6"/>
              </w:rPr>
              <w:t>Flag family</w:t>
            </w:r>
          </w:p>
        </w:tc>
        <w:tc>
          <w:tcPr>
            <w:tcW w:type="dxa" w:w="5270"/>
            <w:vAlign w:val="top"/>
            <w:shd w:fill="D9EAF7"/>
          </w:tcPr>
          <w:p>
            <w:pPr>
              <w:spacing w:after="0" w:line="240" w:lineRule="auto"/>
            </w:pPr>
            <w:r/>
            <w:r>
              <w:rPr>
                <w:b/>
                <w:sz w:val="16"/>
              </w:rPr>
              <w:t>Examples</w:t>
            </w:r>
          </w:p>
        </w:tc>
      </w:tr>
      <w:tr>
        <w:tc>
          <w:tcPr>
            <w:tcW w:type="dxa" w:w="5270"/>
            <w:vAlign w:val="top"/>
          </w:tcPr>
          <w:p>
            <w:pPr>
              <w:spacing w:after="0" w:line="240" w:lineRule="auto"/>
            </w:pPr>
            <w:r/>
            <w:r>
              <w:rPr>
                <w:b w:val="0"/>
                <w:sz w:val="15"/>
              </w:rPr>
              <w:t>Benchmark / Industry</w:t>
            </w:r>
          </w:p>
        </w:tc>
        <w:tc>
          <w:tcPr>
            <w:tcW w:type="dxa" w:w="5270"/>
            <w:vAlign w:val="top"/>
          </w:tcPr>
          <w:p>
            <w:pPr>
              <w:spacing w:after="0" w:line="240" w:lineRule="auto"/>
            </w:pPr>
            <w:r/>
            <w:r>
              <w:rPr>
                <w:b w:val="0"/>
                <w:sz w:val="15"/>
              </w:rPr>
              <w:t>Benchmark Missing, Benchmark Excluded, Benchmark Special Review, Benchmark Data Missing, Benchmark Assumption Deviation.</w:t>
            </w:r>
          </w:p>
        </w:tc>
      </w:tr>
      <w:tr>
        <w:tc>
          <w:tcPr>
            <w:tcW w:type="dxa" w:w="5270"/>
            <w:vAlign w:val="top"/>
          </w:tcPr>
          <w:p>
            <w:pPr>
              <w:spacing w:after="0" w:line="240" w:lineRule="auto"/>
            </w:pPr>
            <w:r/>
            <w:r>
              <w:rPr>
                <w:b w:val="0"/>
                <w:sz w:val="15"/>
              </w:rPr>
              <w:t>Forecast</w:t>
            </w:r>
          </w:p>
        </w:tc>
        <w:tc>
          <w:tcPr>
            <w:tcW w:type="dxa" w:w="5270"/>
            <w:vAlign w:val="top"/>
          </w:tcPr>
          <w:p>
            <w:pPr>
              <w:spacing w:after="0" w:line="240" w:lineRule="auto"/>
            </w:pPr>
            <w:r/>
            <w:r>
              <w:rPr>
                <w:b w:val="0"/>
                <w:sz w:val="15"/>
              </w:rPr>
              <w:t>Forecast Missing, Forecast Weak, Low Analyst Count, Unreasonable Growth, Margin Jump Review.</w:t>
            </w:r>
          </w:p>
        </w:tc>
      </w:tr>
      <w:tr>
        <w:tc>
          <w:tcPr>
            <w:tcW w:type="dxa" w:w="5270"/>
            <w:vAlign w:val="top"/>
          </w:tcPr>
          <w:p>
            <w:pPr>
              <w:spacing w:after="0" w:line="240" w:lineRule="auto"/>
            </w:pPr>
            <w:r/>
            <w:r>
              <w:rPr>
                <w:b w:val="0"/>
                <w:sz w:val="15"/>
              </w:rPr>
              <w:t>Reinvestment</w:t>
            </w:r>
          </w:p>
        </w:tc>
        <w:tc>
          <w:tcPr>
            <w:tcW w:type="dxa" w:w="5270"/>
            <w:vAlign w:val="top"/>
          </w:tcPr>
          <w:p>
            <w:pPr>
              <w:spacing w:after="0" w:line="240" w:lineRule="auto"/>
            </w:pPr>
            <w:r/>
            <w:r>
              <w:rPr>
                <w:b w:val="0"/>
                <w:sz w:val="15"/>
              </w:rPr>
              <w:t>Growth without Reinvestment, Negative Reinvestment with Growth, Stable Reinvestment inconsistent with g/ROC.</w:t>
            </w:r>
          </w:p>
        </w:tc>
      </w:tr>
      <w:tr>
        <w:tc>
          <w:tcPr>
            <w:tcW w:type="dxa" w:w="5270"/>
            <w:vAlign w:val="top"/>
          </w:tcPr>
          <w:p>
            <w:pPr>
              <w:spacing w:after="0" w:line="240" w:lineRule="auto"/>
            </w:pPr>
            <w:r/>
            <w:r>
              <w:rPr>
                <w:b w:val="0"/>
                <w:sz w:val="15"/>
              </w:rPr>
              <w:t>Risk / WACC</w:t>
            </w:r>
          </w:p>
        </w:tc>
        <w:tc>
          <w:tcPr>
            <w:tcW w:type="dxa" w:w="5270"/>
            <w:vAlign w:val="top"/>
          </w:tcPr>
          <w:p>
            <w:pPr>
              <w:spacing w:after="0" w:line="240" w:lineRule="auto"/>
            </w:pPr>
            <w:r/>
            <w:r>
              <w:rPr>
                <w:b w:val="0"/>
                <w:sz w:val="15"/>
              </w:rPr>
              <w:t>Missing Riskfree Rate, ERP Missing, Beta Missing, Large Beta Gap, Cost of Debt Review.</w:t>
            </w:r>
          </w:p>
        </w:tc>
      </w:tr>
      <w:tr>
        <w:tc>
          <w:tcPr>
            <w:tcW w:type="dxa" w:w="5270"/>
            <w:vAlign w:val="top"/>
          </w:tcPr>
          <w:p>
            <w:pPr>
              <w:spacing w:after="0" w:line="240" w:lineRule="auto"/>
            </w:pPr>
            <w:r/>
            <w:r>
              <w:rPr>
                <w:b w:val="0"/>
                <w:sz w:val="15"/>
              </w:rPr>
              <w:t>Terminal</w:t>
            </w:r>
          </w:p>
        </w:tc>
        <w:tc>
          <w:tcPr>
            <w:tcW w:type="dxa" w:w="5270"/>
            <w:vAlign w:val="top"/>
          </w:tcPr>
          <w:p>
            <w:pPr>
              <w:spacing w:after="0" w:line="240" w:lineRule="auto"/>
            </w:pPr>
            <w:r/>
            <w:r>
              <w:rPr>
                <w:b w:val="0"/>
                <w:sz w:val="15"/>
              </w:rPr>
              <w:t>Stable Growth &gt;= Stable WACC, ROC &lt;= 0 in stable state, terminal value too dominant.</w:t>
            </w:r>
          </w:p>
        </w:tc>
      </w:tr>
      <w:tr>
        <w:tc>
          <w:tcPr>
            <w:tcW w:type="dxa" w:w="5270"/>
            <w:vAlign w:val="top"/>
          </w:tcPr>
          <w:p>
            <w:pPr>
              <w:spacing w:after="0" w:line="240" w:lineRule="auto"/>
            </w:pPr>
            <w:r/>
            <w:r>
              <w:rPr>
                <w:b w:val="0"/>
                <w:sz w:val="15"/>
              </w:rPr>
              <w:t>Currency</w:t>
            </w:r>
          </w:p>
        </w:tc>
        <w:tc>
          <w:tcPr>
            <w:tcW w:type="dxa" w:w="5270"/>
            <w:vAlign w:val="top"/>
          </w:tcPr>
          <w:p>
            <w:pPr>
              <w:spacing w:after="0" w:line="240" w:lineRule="auto"/>
            </w:pPr>
            <w:r/>
            <w:r>
              <w:rPr>
                <w:b w:val="0"/>
                <w:sz w:val="15"/>
              </w:rPr>
              <w:t>Missing FX, reporting/valuation/trading mismatch without confirmed conversion.</w:t>
            </w:r>
          </w:p>
        </w:tc>
      </w:tr>
      <w:tr>
        <w:tc>
          <w:tcPr>
            <w:tcW w:type="dxa" w:w="5270"/>
            <w:vAlign w:val="top"/>
          </w:tcPr>
          <w:p>
            <w:pPr>
              <w:spacing w:after="0" w:line="240" w:lineRule="auto"/>
            </w:pPr>
            <w:r/>
            <w:r>
              <w:rPr>
                <w:b w:val="0"/>
                <w:sz w:val="15"/>
              </w:rPr>
              <w:t>Bridge / Share Count</w:t>
            </w:r>
          </w:p>
        </w:tc>
        <w:tc>
          <w:tcPr>
            <w:tcW w:type="dxa" w:w="5270"/>
            <w:vAlign w:val="top"/>
          </w:tcPr>
          <w:p>
            <w:pPr>
              <w:spacing w:after="0" w:line="240" w:lineRule="auto"/>
            </w:pPr>
            <w:r/>
            <w:r>
              <w:rPr>
                <w:b w:val="0"/>
                <w:sz w:val="15"/>
              </w:rPr>
              <w:t>Cash/debt/claims missing, selected shares missing.</w:t>
            </w:r>
          </w:p>
        </w:tc>
      </w:tr>
      <w:tr>
        <w:tc>
          <w:tcPr>
            <w:tcW w:type="dxa" w:w="5270"/>
            <w:vAlign w:val="top"/>
          </w:tcPr>
          <w:p>
            <w:pPr>
              <w:spacing w:after="0" w:line="240" w:lineRule="auto"/>
            </w:pPr>
            <w:r/>
            <w:r>
              <w:rPr>
                <w:b w:val="0"/>
                <w:sz w:val="15"/>
              </w:rPr>
              <w:t>Scope</w:t>
            </w:r>
          </w:p>
        </w:tc>
        <w:tc>
          <w:tcPr>
            <w:tcW w:type="dxa" w:w="5270"/>
            <w:vAlign w:val="top"/>
          </w:tcPr>
          <w:p>
            <w:pPr>
              <w:spacing w:after="0" w:line="240" w:lineRule="auto"/>
            </w:pPr>
            <w:r/>
            <w:r>
              <w:rPr>
                <w:b w:val="0"/>
                <w:sz w:val="15"/>
              </w:rPr>
              <w:t>Financial/insurance/REIT/NAV-like company.</w:t>
            </w:r>
          </w:p>
        </w:tc>
      </w:tr>
    </w:tbl>
    <w:p/>
    <w:p>
      <w:pPr>
        <w:pStyle w:val="Heading1"/>
      </w:pPr>
      <w:r>
        <w:t>27. Company Snapshot</w:t>
      </w:r>
    </w:p>
    <w:p>
      <w:r>
        <w:t>Company Snapshot is the top presentation layer in each company sheet. It displays official outputs and important review status. It must not calculate valuation independently. It reads from formula outputs and output keys.</w:t>
      </w:r>
    </w:p>
    <w:p>
      <w:pPr>
        <w:pStyle w:val="TableTitle"/>
      </w:pPr>
      <w:r>
        <w:rPr>
          <w:b/>
        </w:rPr>
        <w:t>Table - Company Snapshot Fields</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6"/>
              </w:rPr>
              <w:t>Field</w:t>
            </w:r>
          </w:p>
        </w:tc>
        <w:tc>
          <w:tcPr>
            <w:tcW w:type="dxa" w:w="5270"/>
            <w:vAlign w:val="top"/>
            <w:shd w:fill="D9EAF7"/>
          </w:tcPr>
          <w:p>
            <w:pPr>
              <w:spacing w:after="0" w:line="240" w:lineRule="auto"/>
            </w:pPr>
            <w:r/>
            <w:r>
              <w:rPr>
                <w:b/>
                <w:sz w:val="16"/>
              </w:rPr>
              <w:t>Role</w:t>
            </w:r>
          </w:p>
        </w:tc>
      </w:tr>
      <w:tr>
        <w:tc>
          <w:tcPr>
            <w:tcW w:type="dxa" w:w="5270"/>
            <w:vAlign w:val="top"/>
          </w:tcPr>
          <w:p>
            <w:pPr>
              <w:spacing w:after="0" w:line="240" w:lineRule="auto"/>
            </w:pPr>
            <w:r/>
            <w:r>
              <w:rPr>
                <w:b w:val="0"/>
                <w:sz w:val="15"/>
              </w:rPr>
              <w:t>Company Name</w:t>
            </w:r>
          </w:p>
        </w:tc>
        <w:tc>
          <w:tcPr>
            <w:tcW w:type="dxa" w:w="5270"/>
            <w:vAlign w:val="top"/>
          </w:tcPr>
          <w:p>
            <w:pPr>
              <w:spacing w:after="0" w:line="240" w:lineRule="auto"/>
            </w:pPr>
            <w:r/>
            <w:r>
              <w:rPr>
                <w:b w:val="0"/>
                <w:sz w:val="15"/>
              </w:rPr>
              <w:t>Identity display.</w:t>
            </w:r>
          </w:p>
        </w:tc>
      </w:tr>
      <w:tr>
        <w:tc>
          <w:tcPr>
            <w:tcW w:type="dxa" w:w="5270"/>
            <w:vAlign w:val="top"/>
          </w:tcPr>
          <w:p>
            <w:pPr>
              <w:spacing w:after="0" w:line="240" w:lineRule="auto"/>
            </w:pPr>
            <w:r/>
            <w:r>
              <w:rPr>
                <w:b w:val="0"/>
                <w:sz w:val="15"/>
              </w:rPr>
              <w:t>Full Ticker</w:t>
            </w:r>
          </w:p>
        </w:tc>
        <w:tc>
          <w:tcPr>
            <w:tcW w:type="dxa" w:w="5270"/>
            <w:vAlign w:val="top"/>
          </w:tcPr>
          <w:p>
            <w:pPr>
              <w:spacing w:after="0" w:line="240" w:lineRule="auto"/>
            </w:pPr>
            <w:r/>
            <w:r>
              <w:rPr>
                <w:b w:val="0"/>
                <w:sz w:val="15"/>
              </w:rPr>
              <w:t>Visible ticker identity.</w:t>
            </w:r>
          </w:p>
        </w:tc>
      </w:tr>
      <w:tr>
        <w:tc>
          <w:tcPr>
            <w:tcW w:type="dxa" w:w="5270"/>
            <w:vAlign w:val="top"/>
          </w:tcPr>
          <w:p>
            <w:pPr>
              <w:spacing w:after="0" w:line="240" w:lineRule="auto"/>
            </w:pPr>
            <w:r/>
            <w:r>
              <w:rPr>
                <w:b w:val="0"/>
                <w:sz w:val="15"/>
              </w:rPr>
              <w:t>Exchange</w:t>
            </w:r>
          </w:p>
        </w:tc>
        <w:tc>
          <w:tcPr>
            <w:tcW w:type="dxa" w:w="5270"/>
            <w:vAlign w:val="top"/>
          </w:tcPr>
          <w:p>
            <w:pPr>
              <w:spacing w:after="0" w:line="240" w:lineRule="auto"/>
            </w:pPr>
            <w:r/>
            <w:r>
              <w:rPr>
                <w:b w:val="0"/>
                <w:sz w:val="15"/>
              </w:rPr>
              <w:t>Exchange display/filter.</w:t>
            </w:r>
          </w:p>
        </w:tc>
      </w:tr>
      <w:tr>
        <w:tc>
          <w:tcPr>
            <w:tcW w:type="dxa" w:w="5270"/>
            <w:vAlign w:val="top"/>
          </w:tcPr>
          <w:p>
            <w:pPr>
              <w:spacing w:after="0" w:line="240" w:lineRule="auto"/>
            </w:pPr>
            <w:r/>
            <w:r>
              <w:rPr>
                <w:b w:val="0"/>
                <w:sz w:val="15"/>
              </w:rPr>
              <w:t>Industry</w:t>
            </w:r>
          </w:p>
        </w:tc>
        <w:tc>
          <w:tcPr>
            <w:tcW w:type="dxa" w:w="5270"/>
            <w:vAlign w:val="top"/>
          </w:tcPr>
          <w:p>
            <w:pPr>
              <w:spacing w:after="0" w:line="240" w:lineRule="auto"/>
            </w:pPr>
            <w:r/>
            <w:r>
              <w:rPr>
                <w:b w:val="0"/>
                <w:sz w:val="15"/>
              </w:rPr>
              <w:t>Selected Damodaran Industrial Benchmark.</w:t>
            </w:r>
          </w:p>
        </w:tc>
      </w:tr>
      <w:tr>
        <w:tc>
          <w:tcPr>
            <w:tcW w:type="dxa" w:w="5270"/>
            <w:vAlign w:val="top"/>
          </w:tcPr>
          <w:p>
            <w:pPr>
              <w:spacing w:after="0" w:line="240" w:lineRule="auto"/>
            </w:pPr>
            <w:r/>
            <w:r>
              <w:rPr>
                <w:b w:val="0"/>
                <w:sz w:val="15"/>
              </w:rPr>
              <w:t>ISM-sector</w:t>
            </w:r>
          </w:p>
        </w:tc>
        <w:tc>
          <w:tcPr>
            <w:tcW w:type="dxa" w:w="5270"/>
            <w:vAlign w:val="top"/>
          </w:tcPr>
          <w:p>
            <w:pPr>
              <w:spacing w:after="0" w:line="240" w:lineRule="auto"/>
            </w:pPr>
            <w:r/>
            <w:r>
              <w:rPr>
                <w:b w:val="0"/>
                <w:sz w:val="15"/>
              </w:rPr>
              <w:t>Derived display-only field.</w:t>
            </w:r>
          </w:p>
        </w:tc>
      </w:tr>
      <w:tr>
        <w:tc>
          <w:tcPr>
            <w:tcW w:type="dxa" w:w="5270"/>
            <w:vAlign w:val="top"/>
          </w:tcPr>
          <w:p>
            <w:pPr>
              <w:spacing w:after="0" w:line="240" w:lineRule="auto"/>
            </w:pPr>
            <w:r/>
            <w:r>
              <w:rPr>
                <w:b w:val="0"/>
                <w:sz w:val="15"/>
              </w:rPr>
              <w:t>Valuation Currency</w:t>
            </w:r>
          </w:p>
        </w:tc>
        <w:tc>
          <w:tcPr>
            <w:tcW w:type="dxa" w:w="5270"/>
            <w:vAlign w:val="top"/>
          </w:tcPr>
          <w:p>
            <w:pPr>
              <w:spacing w:after="0" w:line="240" w:lineRule="auto"/>
            </w:pPr>
            <w:r/>
            <w:r>
              <w:rPr>
                <w:b w:val="0"/>
                <w:sz w:val="15"/>
              </w:rPr>
              <w:t>Currency of intrinsic value.</w:t>
            </w:r>
          </w:p>
        </w:tc>
      </w:tr>
      <w:tr>
        <w:tc>
          <w:tcPr>
            <w:tcW w:type="dxa" w:w="5270"/>
            <w:vAlign w:val="top"/>
          </w:tcPr>
          <w:p>
            <w:pPr>
              <w:spacing w:after="0" w:line="240" w:lineRule="auto"/>
            </w:pPr>
            <w:r/>
            <w:r>
              <w:rPr>
                <w:b w:val="0"/>
                <w:sz w:val="15"/>
              </w:rPr>
              <w:t>Current Price in Valuation Currency</w:t>
            </w:r>
          </w:p>
        </w:tc>
        <w:tc>
          <w:tcPr>
            <w:tcW w:type="dxa" w:w="5270"/>
            <w:vAlign w:val="top"/>
          </w:tcPr>
          <w:p>
            <w:pPr>
              <w:spacing w:after="0" w:line="240" w:lineRule="auto"/>
            </w:pPr>
            <w:r/>
            <w:r>
              <w:rPr>
                <w:b w:val="0"/>
                <w:sz w:val="15"/>
              </w:rPr>
              <w:t>Market price converted if needed.</w:t>
            </w:r>
          </w:p>
        </w:tc>
      </w:tr>
      <w:tr>
        <w:tc>
          <w:tcPr>
            <w:tcW w:type="dxa" w:w="5270"/>
            <w:vAlign w:val="top"/>
          </w:tcPr>
          <w:p>
            <w:pPr>
              <w:spacing w:after="0" w:line="240" w:lineRule="auto"/>
            </w:pPr>
            <w:r/>
            <w:r>
              <w:rPr>
                <w:b w:val="0"/>
                <w:sz w:val="15"/>
              </w:rPr>
              <w:t>Official Intrinsic Value per Share</w:t>
            </w:r>
          </w:p>
        </w:tc>
        <w:tc>
          <w:tcPr>
            <w:tcW w:type="dxa" w:w="5270"/>
            <w:vAlign w:val="top"/>
          </w:tcPr>
          <w:p>
            <w:pPr>
              <w:spacing w:after="0" w:line="240" w:lineRule="auto"/>
            </w:pPr>
            <w:r/>
            <w:r>
              <w:rPr>
                <w:b w:val="0"/>
                <w:sz w:val="15"/>
              </w:rPr>
              <w:t>Official valuation output.</w:t>
            </w:r>
          </w:p>
        </w:tc>
      </w:tr>
      <w:tr>
        <w:tc>
          <w:tcPr>
            <w:tcW w:type="dxa" w:w="5270"/>
            <w:vAlign w:val="top"/>
          </w:tcPr>
          <w:p>
            <w:pPr>
              <w:spacing w:after="0" w:line="240" w:lineRule="auto"/>
            </w:pPr>
            <w:r/>
            <w:r>
              <w:rPr>
                <w:b w:val="0"/>
                <w:sz w:val="15"/>
              </w:rPr>
              <w:t>Upside / Downside</w:t>
            </w:r>
          </w:p>
        </w:tc>
        <w:tc>
          <w:tcPr>
            <w:tcW w:type="dxa" w:w="5270"/>
            <w:vAlign w:val="top"/>
          </w:tcPr>
          <w:p>
            <w:pPr>
              <w:spacing w:after="0" w:line="240" w:lineRule="auto"/>
            </w:pPr>
            <w:r/>
            <w:r>
              <w:rPr>
                <w:b w:val="0"/>
                <w:sz w:val="15"/>
              </w:rPr>
              <w:t>Price vs intrinsic value.</w:t>
            </w:r>
          </w:p>
        </w:tc>
      </w:tr>
      <w:tr>
        <w:tc>
          <w:tcPr>
            <w:tcW w:type="dxa" w:w="5270"/>
            <w:vAlign w:val="top"/>
          </w:tcPr>
          <w:p>
            <w:pPr>
              <w:spacing w:after="0" w:line="240" w:lineRule="auto"/>
            </w:pPr>
            <w:r/>
            <w:r>
              <w:rPr>
                <w:b w:val="0"/>
                <w:sz w:val="15"/>
              </w:rPr>
              <w:t>Final MOS / Entry Price</w:t>
            </w:r>
          </w:p>
        </w:tc>
        <w:tc>
          <w:tcPr>
            <w:tcW w:type="dxa" w:w="5270"/>
            <w:vAlign w:val="top"/>
          </w:tcPr>
          <w:p>
            <w:pPr>
              <w:spacing w:after="0" w:line="240" w:lineRule="auto"/>
            </w:pPr>
            <w:r/>
            <w:r>
              <w:rPr>
                <w:b w:val="0"/>
                <w:sz w:val="15"/>
              </w:rPr>
              <w:t>Decision support.</w:t>
            </w:r>
          </w:p>
        </w:tc>
      </w:tr>
      <w:tr>
        <w:tc>
          <w:tcPr>
            <w:tcW w:type="dxa" w:w="5270"/>
            <w:vAlign w:val="top"/>
          </w:tcPr>
          <w:p>
            <w:pPr>
              <w:spacing w:after="0" w:line="240" w:lineRule="auto"/>
            </w:pPr>
            <w:r/>
            <w:r>
              <w:rPr>
                <w:b w:val="0"/>
                <w:sz w:val="15"/>
              </w:rPr>
              <w:t>Review Flag / Decision Status / Status Note</w:t>
            </w:r>
          </w:p>
        </w:tc>
        <w:tc>
          <w:tcPr>
            <w:tcW w:type="dxa" w:w="5270"/>
            <w:vAlign w:val="top"/>
          </w:tcPr>
          <w:p>
            <w:pPr>
              <w:spacing w:after="0" w:line="240" w:lineRule="auto"/>
            </w:pPr>
            <w:r/>
            <w:r>
              <w:rPr>
                <w:b w:val="0"/>
                <w:sz w:val="15"/>
              </w:rPr>
              <w:t>Quality and decision summary.</w:t>
            </w:r>
          </w:p>
        </w:tc>
      </w:tr>
      <w:tr>
        <w:tc>
          <w:tcPr>
            <w:tcW w:type="dxa" w:w="5270"/>
            <w:vAlign w:val="top"/>
          </w:tcPr>
          <w:p>
            <w:pPr>
              <w:spacing w:after="0" w:line="240" w:lineRule="auto"/>
            </w:pPr>
            <w:r/>
            <w:r>
              <w:rPr>
                <w:b w:val="0"/>
                <w:sz w:val="15"/>
              </w:rPr>
              <w:t>Logo Image</w:t>
            </w:r>
          </w:p>
        </w:tc>
        <w:tc>
          <w:tcPr>
            <w:tcW w:type="dxa" w:w="5270"/>
            <w:vAlign w:val="top"/>
          </w:tcPr>
          <w:p>
            <w:pPr>
              <w:spacing w:after="0" w:line="240" w:lineRule="auto"/>
            </w:pPr>
            <w:r/>
            <w:r>
              <w:rPr>
                <w:b w:val="0"/>
                <w:sz w:val="15"/>
              </w:rPr>
              <w:t>Presentation only.</w:t>
            </w:r>
          </w:p>
        </w:tc>
      </w:tr>
    </w:tbl>
    <w:p/>
    <w:p>
      <w:pPr>
        <w:pStyle w:val="Heading1"/>
      </w:pPr>
      <w:r>
        <w:t>28. DashBoard</w:t>
      </w:r>
    </w:p>
    <w:p>
      <w:r>
        <w:t>DashBoard is output and navigation only. It reads official outputs from company sheets through Dashboard Config / Output Keys. It must not calculate valuation or become a hidden valuation engine.</w:t>
      </w:r>
    </w:p>
    <w:p>
      <w:pPr>
        <w:pStyle w:val="TableTitle"/>
      </w:pPr>
      <w:r>
        <w:rPr>
          <w:b/>
        </w:rPr>
        <w:t>Table - DashBoard Core Columns</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513"/>
            <w:vAlign w:val="top"/>
            <w:shd w:fill="D9EAF7"/>
          </w:tcPr>
          <w:p>
            <w:pPr>
              <w:spacing w:after="0" w:line="240" w:lineRule="auto"/>
            </w:pPr>
            <w:r/>
            <w:r>
              <w:rPr>
                <w:b/>
                <w:sz w:val="16"/>
              </w:rPr>
              <w:t>Column</w:t>
            </w:r>
          </w:p>
        </w:tc>
        <w:tc>
          <w:tcPr>
            <w:tcW w:type="dxa" w:w="3513"/>
            <w:vAlign w:val="top"/>
            <w:shd w:fill="D9EAF7"/>
          </w:tcPr>
          <w:p>
            <w:pPr>
              <w:spacing w:after="0" w:line="240" w:lineRule="auto"/>
            </w:pPr>
            <w:r/>
            <w:r>
              <w:rPr>
                <w:b/>
                <w:sz w:val="16"/>
              </w:rPr>
              <w:t>Source / Output Key</w:t>
            </w:r>
          </w:p>
        </w:tc>
        <w:tc>
          <w:tcPr>
            <w:tcW w:type="dxa" w:w="3513"/>
            <w:vAlign w:val="top"/>
            <w:shd w:fill="D9EAF7"/>
          </w:tcPr>
          <w:p>
            <w:pPr>
              <w:spacing w:after="0" w:line="240" w:lineRule="auto"/>
            </w:pPr>
            <w:r/>
            <w:r>
              <w:rPr>
                <w:b/>
                <w:sz w:val="16"/>
              </w:rPr>
              <w:t>Notes</w:t>
            </w:r>
          </w:p>
        </w:tc>
      </w:tr>
      <w:tr>
        <w:tc>
          <w:tcPr>
            <w:tcW w:type="dxa" w:w="3513"/>
            <w:vAlign w:val="top"/>
          </w:tcPr>
          <w:p>
            <w:pPr>
              <w:spacing w:after="0" w:line="240" w:lineRule="auto"/>
            </w:pPr>
            <w:r/>
            <w:r>
              <w:rPr>
                <w:b w:val="0"/>
                <w:sz w:val="15"/>
              </w:rPr>
              <w:t>Logo</w:t>
            </w:r>
          </w:p>
        </w:tc>
        <w:tc>
          <w:tcPr>
            <w:tcW w:type="dxa" w:w="3513"/>
            <w:vAlign w:val="top"/>
          </w:tcPr>
          <w:p>
            <w:pPr>
              <w:spacing w:after="0" w:line="240" w:lineRule="auto"/>
            </w:pPr>
            <w:r/>
            <w:r>
              <w:rPr>
                <w:b w:val="0"/>
                <w:sz w:val="15"/>
              </w:rPr>
              <w:t>output_company_logo_url</w:t>
            </w:r>
          </w:p>
        </w:tc>
        <w:tc>
          <w:tcPr>
            <w:tcW w:type="dxa" w:w="3513"/>
            <w:vAlign w:val="top"/>
          </w:tcPr>
          <w:p>
            <w:pPr>
              <w:spacing w:after="0" w:line="240" w:lineRule="auto"/>
            </w:pPr>
            <w:r/>
            <w:r>
              <w:rPr>
                <w:b w:val="0"/>
                <w:sz w:val="15"/>
              </w:rPr>
              <w:t>Displayed with IMAGE; raw URL is source.</w:t>
            </w:r>
          </w:p>
        </w:tc>
      </w:tr>
      <w:tr>
        <w:tc>
          <w:tcPr>
            <w:tcW w:type="dxa" w:w="3513"/>
            <w:vAlign w:val="top"/>
          </w:tcPr>
          <w:p>
            <w:pPr>
              <w:spacing w:after="0" w:line="240" w:lineRule="auto"/>
            </w:pPr>
            <w:r/>
            <w:r>
              <w:rPr>
                <w:b w:val="0"/>
                <w:sz w:val="15"/>
              </w:rPr>
              <w:t>Company Name</w:t>
            </w:r>
          </w:p>
        </w:tc>
        <w:tc>
          <w:tcPr>
            <w:tcW w:type="dxa" w:w="3513"/>
            <w:vAlign w:val="top"/>
          </w:tcPr>
          <w:p>
            <w:pPr>
              <w:spacing w:after="0" w:line="240" w:lineRule="auto"/>
            </w:pPr>
            <w:r/>
            <w:r>
              <w:rPr>
                <w:b w:val="0"/>
                <w:sz w:val="15"/>
              </w:rPr>
              <w:t>output_company_name</w:t>
            </w:r>
          </w:p>
        </w:tc>
        <w:tc>
          <w:tcPr>
            <w:tcW w:type="dxa" w:w="3513"/>
            <w:vAlign w:val="top"/>
          </w:tcPr>
          <w:p>
            <w:pPr>
              <w:spacing w:after="0" w:line="240" w:lineRule="auto"/>
            </w:pPr>
            <w:r/>
            <w:r>
              <w:rPr>
                <w:b w:val="0"/>
                <w:sz w:val="15"/>
              </w:rPr>
              <w:t>Company identity.</w:t>
            </w:r>
          </w:p>
        </w:tc>
      </w:tr>
      <w:tr>
        <w:tc>
          <w:tcPr>
            <w:tcW w:type="dxa" w:w="3513"/>
            <w:vAlign w:val="top"/>
          </w:tcPr>
          <w:p>
            <w:pPr>
              <w:spacing w:after="0" w:line="240" w:lineRule="auto"/>
            </w:pPr>
            <w:r/>
            <w:r>
              <w:rPr>
                <w:b w:val="0"/>
                <w:sz w:val="15"/>
              </w:rPr>
              <w:t>Ticker</w:t>
            </w:r>
          </w:p>
        </w:tc>
        <w:tc>
          <w:tcPr>
            <w:tcW w:type="dxa" w:w="3513"/>
            <w:vAlign w:val="top"/>
          </w:tcPr>
          <w:p>
            <w:pPr>
              <w:spacing w:after="0" w:line="240" w:lineRule="auto"/>
            </w:pPr>
            <w:r/>
            <w:r>
              <w:rPr>
                <w:b w:val="0"/>
                <w:sz w:val="15"/>
              </w:rPr>
              <w:t>output_full_ticker</w:t>
            </w:r>
          </w:p>
        </w:tc>
        <w:tc>
          <w:tcPr>
            <w:tcW w:type="dxa" w:w="3513"/>
            <w:vAlign w:val="top"/>
          </w:tcPr>
          <w:p>
            <w:pPr>
              <w:spacing w:after="0" w:line="240" w:lineRule="auto"/>
            </w:pPr>
            <w:r/>
            <w:r>
              <w:rPr>
                <w:b w:val="0"/>
                <w:sz w:val="15"/>
              </w:rPr>
              <w:t>Full Ticker, not Clean Ticker.</w:t>
            </w:r>
          </w:p>
        </w:tc>
      </w:tr>
      <w:tr>
        <w:tc>
          <w:tcPr>
            <w:tcW w:type="dxa" w:w="3513"/>
            <w:vAlign w:val="top"/>
          </w:tcPr>
          <w:p>
            <w:pPr>
              <w:spacing w:after="0" w:line="240" w:lineRule="auto"/>
            </w:pPr>
            <w:r/>
            <w:r>
              <w:rPr>
                <w:b w:val="0"/>
                <w:sz w:val="15"/>
              </w:rPr>
              <w:t>Exchange</w:t>
            </w:r>
          </w:p>
        </w:tc>
        <w:tc>
          <w:tcPr>
            <w:tcW w:type="dxa" w:w="3513"/>
            <w:vAlign w:val="top"/>
          </w:tcPr>
          <w:p>
            <w:pPr>
              <w:spacing w:after="0" w:line="240" w:lineRule="auto"/>
            </w:pPr>
            <w:r/>
            <w:r>
              <w:rPr>
                <w:b w:val="0"/>
                <w:sz w:val="15"/>
              </w:rPr>
              <w:t>output_exchange</w:t>
            </w:r>
          </w:p>
        </w:tc>
        <w:tc>
          <w:tcPr>
            <w:tcW w:type="dxa" w:w="3513"/>
            <w:vAlign w:val="top"/>
          </w:tcPr>
          <w:p>
            <w:pPr>
              <w:spacing w:after="0" w:line="240" w:lineRule="auto"/>
            </w:pPr>
            <w:r/>
            <w:r>
              <w:rPr>
                <w:b w:val="0"/>
                <w:sz w:val="15"/>
              </w:rPr>
              <w:t>Exchange filter/support.</w:t>
            </w:r>
          </w:p>
        </w:tc>
      </w:tr>
      <w:tr>
        <w:tc>
          <w:tcPr>
            <w:tcW w:type="dxa" w:w="3513"/>
            <w:vAlign w:val="top"/>
          </w:tcPr>
          <w:p>
            <w:pPr>
              <w:spacing w:after="0" w:line="240" w:lineRule="auto"/>
            </w:pPr>
            <w:r/>
            <w:r>
              <w:rPr>
                <w:b w:val="0"/>
                <w:sz w:val="15"/>
              </w:rPr>
              <w:t>Industry</w:t>
            </w:r>
          </w:p>
        </w:tc>
        <w:tc>
          <w:tcPr>
            <w:tcW w:type="dxa" w:w="3513"/>
            <w:vAlign w:val="top"/>
          </w:tcPr>
          <w:p>
            <w:pPr>
              <w:spacing w:after="0" w:line="240" w:lineRule="auto"/>
            </w:pPr>
            <w:r/>
            <w:r>
              <w:rPr>
                <w:b w:val="0"/>
                <w:sz w:val="15"/>
              </w:rPr>
              <w:t>output_industry / output_damodaran_industrial_benchmark</w:t>
            </w:r>
          </w:p>
        </w:tc>
        <w:tc>
          <w:tcPr>
            <w:tcW w:type="dxa" w:w="3513"/>
            <w:vAlign w:val="top"/>
          </w:tcPr>
          <w:p>
            <w:pPr>
              <w:spacing w:after="0" w:line="240" w:lineRule="auto"/>
            </w:pPr>
            <w:r/>
            <w:r>
              <w:rPr>
                <w:b w:val="0"/>
                <w:sz w:val="15"/>
              </w:rPr>
              <w:t>Selected Damodaran Industrial Benchmark.</w:t>
            </w:r>
          </w:p>
        </w:tc>
      </w:tr>
      <w:tr>
        <w:tc>
          <w:tcPr>
            <w:tcW w:type="dxa" w:w="3513"/>
            <w:vAlign w:val="top"/>
          </w:tcPr>
          <w:p>
            <w:pPr>
              <w:spacing w:after="0" w:line="240" w:lineRule="auto"/>
            </w:pPr>
            <w:r/>
            <w:r>
              <w:rPr>
                <w:b w:val="0"/>
                <w:sz w:val="15"/>
              </w:rPr>
              <w:t>ISM-sector</w:t>
            </w:r>
          </w:p>
        </w:tc>
        <w:tc>
          <w:tcPr>
            <w:tcW w:type="dxa" w:w="3513"/>
            <w:vAlign w:val="top"/>
          </w:tcPr>
          <w:p>
            <w:pPr>
              <w:spacing w:after="0" w:line="240" w:lineRule="auto"/>
            </w:pPr>
            <w:r/>
            <w:r>
              <w:rPr>
                <w:b w:val="0"/>
                <w:sz w:val="15"/>
              </w:rPr>
              <w:t>output_ism_sector_display</w:t>
            </w:r>
          </w:p>
        </w:tc>
        <w:tc>
          <w:tcPr>
            <w:tcW w:type="dxa" w:w="3513"/>
            <w:vAlign w:val="top"/>
          </w:tcPr>
          <w:p>
            <w:pPr>
              <w:spacing w:after="0" w:line="240" w:lineRule="auto"/>
            </w:pPr>
            <w:r/>
            <w:r>
              <w:rPr>
                <w:b w:val="0"/>
                <w:sz w:val="15"/>
              </w:rPr>
              <w:t>Display-only derived field.</w:t>
            </w:r>
          </w:p>
        </w:tc>
      </w:tr>
      <w:tr>
        <w:tc>
          <w:tcPr>
            <w:tcW w:type="dxa" w:w="3513"/>
            <w:vAlign w:val="top"/>
          </w:tcPr>
          <w:p>
            <w:pPr>
              <w:spacing w:after="0" w:line="240" w:lineRule="auto"/>
            </w:pPr>
            <w:r/>
            <w:r>
              <w:rPr>
                <w:b w:val="0"/>
                <w:sz w:val="15"/>
              </w:rPr>
              <w:t>Current Price</w:t>
            </w:r>
          </w:p>
        </w:tc>
        <w:tc>
          <w:tcPr>
            <w:tcW w:type="dxa" w:w="3513"/>
            <w:vAlign w:val="top"/>
          </w:tcPr>
          <w:p>
            <w:pPr>
              <w:spacing w:after="0" w:line="240" w:lineRule="auto"/>
            </w:pPr>
            <w:r/>
            <w:r>
              <w:rPr>
                <w:b w:val="0"/>
                <w:sz w:val="15"/>
              </w:rPr>
              <w:t>output_current_price_valuation_currency</w:t>
            </w:r>
          </w:p>
        </w:tc>
        <w:tc>
          <w:tcPr>
            <w:tcW w:type="dxa" w:w="3513"/>
            <w:vAlign w:val="top"/>
          </w:tcPr>
          <w:p>
            <w:pPr>
              <w:spacing w:after="0" w:line="240" w:lineRule="auto"/>
            </w:pPr>
            <w:r/>
            <w:r>
              <w:rPr>
                <w:b w:val="0"/>
                <w:sz w:val="15"/>
              </w:rPr>
              <w:t>Price in valuation currency.</w:t>
            </w:r>
          </w:p>
        </w:tc>
      </w:tr>
      <w:tr>
        <w:tc>
          <w:tcPr>
            <w:tcW w:type="dxa" w:w="3513"/>
            <w:vAlign w:val="top"/>
          </w:tcPr>
          <w:p>
            <w:pPr>
              <w:spacing w:after="0" w:line="240" w:lineRule="auto"/>
            </w:pPr>
            <w:r/>
            <w:r>
              <w:rPr>
                <w:b w:val="0"/>
                <w:sz w:val="15"/>
              </w:rPr>
              <w:t>Market Cap</w:t>
            </w:r>
          </w:p>
        </w:tc>
        <w:tc>
          <w:tcPr>
            <w:tcW w:type="dxa" w:w="3513"/>
            <w:vAlign w:val="top"/>
          </w:tcPr>
          <w:p>
            <w:pPr>
              <w:spacing w:after="0" w:line="240" w:lineRule="auto"/>
            </w:pPr>
            <w:r/>
            <w:r>
              <w:rPr>
                <w:b w:val="0"/>
                <w:sz w:val="15"/>
              </w:rPr>
              <w:t>output_market_cap</w:t>
            </w:r>
          </w:p>
        </w:tc>
        <w:tc>
          <w:tcPr>
            <w:tcW w:type="dxa" w:w="3513"/>
            <w:vAlign w:val="top"/>
          </w:tcPr>
          <w:p>
            <w:pPr>
              <w:spacing w:after="0" w:line="240" w:lineRule="auto"/>
            </w:pPr>
            <w:r/>
            <w:r>
              <w:rPr>
                <w:b w:val="0"/>
                <w:sz w:val="15"/>
              </w:rPr>
              <w:t>Market data/info.</w:t>
            </w:r>
          </w:p>
        </w:tc>
      </w:tr>
      <w:tr>
        <w:tc>
          <w:tcPr>
            <w:tcW w:type="dxa" w:w="3513"/>
            <w:vAlign w:val="top"/>
          </w:tcPr>
          <w:p>
            <w:pPr>
              <w:spacing w:after="0" w:line="240" w:lineRule="auto"/>
            </w:pPr>
            <w:r/>
            <w:r>
              <w:rPr>
                <w:b w:val="0"/>
                <w:sz w:val="15"/>
              </w:rPr>
              <w:t>Valuation Currency</w:t>
            </w:r>
          </w:p>
        </w:tc>
        <w:tc>
          <w:tcPr>
            <w:tcW w:type="dxa" w:w="3513"/>
            <w:vAlign w:val="top"/>
          </w:tcPr>
          <w:p>
            <w:pPr>
              <w:spacing w:after="0" w:line="240" w:lineRule="auto"/>
            </w:pPr>
            <w:r/>
            <w:r>
              <w:rPr>
                <w:b w:val="0"/>
                <w:sz w:val="15"/>
              </w:rPr>
              <w:t>output_valuation_currency</w:t>
            </w:r>
          </w:p>
        </w:tc>
        <w:tc>
          <w:tcPr>
            <w:tcW w:type="dxa" w:w="3513"/>
            <w:vAlign w:val="top"/>
          </w:tcPr>
          <w:p>
            <w:pPr>
              <w:spacing w:after="0" w:line="240" w:lineRule="auto"/>
            </w:pPr>
            <w:r/>
            <w:r>
              <w:rPr>
                <w:b w:val="0"/>
                <w:sz w:val="15"/>
              </w:rPr>
              <w:t>Currency of valuation output.</w:t>
            </w:r>
          </w:p>
        </w:tc>
      </w:tr>
      <w:tr>
        <w:tc>
          <w:tcPr>
            <w:tcW w:type="dxa" w:w="3513"/>
            <w:vAlign w:val="top"/>
          </w:tcPr>
          <w:p>
            <w:pPr>
              <w:spacing w:after="0" w:line="240" w:lineRule="auto"/>
            </w:pPr>
            <w:r/>
            <w:r>
              <w:rPr>
                <w:b w:val="0"/>
                <w:sz w:val="15"/>
              </w:rPr>
              <w:t>Intrinsic Value</w:t>
            </w:r>
          </w:p>
        </w:tc>
        <w:tc>
          <w:tcPr>
            <w:tcW w:type="dxa" w:w="3513"/>
            <w:vAlign w:val="top"/>
          </w:tcPr>
          <w:p>
            <w:pPr>
              <w:spacing w:after="0" w:line="240" w:lineRule="auto"/>
            </w:pPr>
            <w:r/>
            <w:r>
              <w:rPr>
                <w:b w:val="0"/>
                <w:sz w:val="15"/>
              </w:rPr>
              <w:t>output_intrinsic_value_per_share</w:t>
            </w:r>
          </w:p>
        </w:tc>
        <w:tc>
          <w:tcPr>
            <w:tcW w:type="dxa" w:w="3513"/>
            <w:vAlign w:val="top"/>
          </w:tcPr>
          <w:p>
            <w:pPr>
              <w:spacing w:after="0" w:line="240" w:lineRule="auto"/>
            </w:pPr>
            <w:r/>
            <w:r>
              <w:rPr>
                <w:b w:val="0"/>
                <w:sz w:val="15"/>
              </w:rPr>
              <w:t>Official value per share.</w:t>
            </w:r>
          </w:p>
        </w:tc>
      </w:tr>
      <w:tr>
        <w:tc>
          <w:tcPr>
            <w:tcW w:type="dxa" w:w="3513"/>
            <w:vAlign w:val="top"/>
          </w:tcPr>
          <w:p>
            <w:pPr>
              <w:spacing w:after="0" w:line="240" w:lineRule="auto"/>
            </w:pPr>
            <w:r/>
            <w:r>
              <w:rPr>
                <w:b w:val="0"/>
                <w:sz w:val="15"/>
              </w:rPr>
              <w:t>Upside / Downside</w:t>
            </w:r>
          </w:p>
        </w:tc>
        <w:tc>
          <w:tcPr>
            <w:tcW w:type="dxa" w:w="3513"/>
            <w:vAlign w:val="top"/>
          </w:tcPr>
          <w:p>
            <w:pPr>
              <w:spacing w:after="0" w:line="240" w:lineRule="auto"/>
            </w:pPr>
            <w:r/>
            <w:r>
              <w:rPr>
                <w:b w:val="0"/>
                <w:sz w:val="15"/>
              </w:rPr>
              <w:t>output_upside_downside</w:t>
            </w:r>
          </w:p>
        </w:tc>
        <w:tc>
          <w:tcPr>
            <w:tcW w:type="dxa" w:w="3513"/>
            <w:vAlign w:val="top"/>
          </w:tcPr>
          <w:p>
            <w:pPr>
              <w:spacing w:after="0" w:line="240" w:lineRule="auto"/>
            </w:pPr>
            <w:r/>
            <w:r>
              <w:rPr>
                <w:b w:val="0"/>
                <w:sz w:val="15"/>
              </w:rPr>
              <w:t>Price vs official value.</w:t>
            </w:r>
          </w:p>
        </w:tc>
      </w:tr>
      <w:tr>
        <w:tc>
          <w:tcPr>
            <w:tcW w:type="dxa" w:w="3513"/>
            <w:vAlign w:val="top"/>
          </w:tcPr>
          <w:p>
            <w:pPr>
              <w:spacing w:after="0" w:line="240" w:lineRule="auto"/>
            </w:pPr>
            <w:r/>
            <w:r>
              <w:rPr>
                <w:b w:val="0"/>
                <w:sz w:val="15"/>
              </w:rPr>
              <w:t>Final MOS</w:t>
            </w:r>
          </w:p>
        </w:tc>
        <w:tc>
          <w:tcPr>
            <w:tcW w:type="dxa" w:w="3513"/>
            <w:vAlign w:val="top"/>
          </w:tcPr>
          <w:p>
            <w:pPr>
              <w:spacing w:after="0" w:line="240" w:lineRule="auto"/>
            </w:pPr>
            <w:r/>
            <w:r>
              <w:rPr>
                <w:b w:val="0"/>
                <w:sz w:val="15"/>
              </w:rPr>
              <w:t>output_final_mos</w:t>
            </w:r>
          </w:p>
        </w:tc>
        <w:tc>
          <w:tcPr>
            <w:tcW w:type="dxa" w:w="3513"/>
            <w:vAlign w:val="top"/>
          </w:tcPr>
          <w:p>
            <w:pPr>
              <w:spacing w:after="0" w:line="240" w:lineRule="auto"/>
            </w:pPr>
            <w:r/>
            <w:r>
              <w:rPr>
                <w:b w:val="0"/>
                <w:sz w:val="15"/>
              </w:rPr>
              <w:t>Decision support.</w:t>
            </w:r>
          </w:p>
        </w:tc>
      </w:tr>
      <w:tr>
        <w:tc>
          <w:tcPr>
            <w:tcW w:type="dxa" w:w="3513"/>
            <w:vAlign w:val="top"/>
          </w:tcPr>
          <w:p>
            <w:pPr>
              <w:spacing w:after="0" w:line="240" w:lineRule="auto"/>
            </w:pPr>
            <w:r/>
            <w:r>
              <w:rPr>
                <w:b w:val="0"/>
                <w:sz w:val="15"/>
              </w:rPr>
              <w:t>Entry Price</w:t>
            </w:r>
          </w:p>
        </w:tc>
        <w:tc>
          <w:tcPr>
            <w:tcW w:type="dxa" w:w="3513"/>
            <w:vAlign w:val="top"/>
          </w:tcPr>
          <w:p>
            <w:pPr>
              <w:spacing w:after="0" w:line="240" w:lineRule="auto"/>
            </w:pPr>
            <w:r/>
            <w:r>
              <w:rPr>
                <w:b w:val="0"/>
                <w:sz w:val="15"/>
              </w:rPr>
              <w:t>output_entry_price</w:t>
            </w:r>
          </w:p>
        </w:tc>
        <w:tc>
          <w:tcPr>
            <w:tcW w:type="dxa" w:w="3513"/>
            <w:vAlign w:val="top"/>
          </w:tcPr>
          <w:p>
            <w:pPr>
              <w:spacing w:after="0" w:line="240" w:lineRule="auto"/>
            </w:pPr>
            <w:r/>
            <w:r>
              <w:rPr>
                <w:b w:val="0"/>
                <w:sz w:val="15"/>
              </w:rPr>
              <w:t>Decision support.</w:t>
            </w:r>
          </w:p>
        </w:tc>
      </w:tr>
      <w:tr>
        <w:tc>
          <w:tcPr>
            <w:tcW w:type="dxa" w:w="3513"/>
            <w:vAlign w:val="top"/>
          </w:tcPr>
          <w:p>
            <w:pPr>
              <w:spacing w:after="0" w:line="240" w:lineRule="auto"/>
            </w:pPr>
            <w:r/>
            <w:r>
              <w:rPr>
                <w:b w:val="0"/>
                <w:sz w:val="15"/>
              </w:rPr>
              <w:t>Decision Status</w:t>
            </w:r>
          </w:p>
        </w:tc>
        <w:tc>
          <w:tcPr>
            <w:tcW w:type="dxa" w:w="3513"/>
            <w:vAlign w:val="top"/>
          </w:tcPr>
          <w:p>
            <w:pPr>
              <w:spacing w:after="0" w:line="240" w:lineRule="auto"/>
            </w:pPr>
            <w:r/>
            <w:r>
              <w:rPr>
                <w:b w:val="0"/>
                <w:sz w:val="15"/>
              </w:rPr>
              <w:t>output_decision_status</w:t>
            </w:r>
          </w:p>
        </w:tc>
        <w:tc>
          <w:tcPr>
            <w:tcW w:type="dxa" w:w="3513"/>
            <w:vAlign w:val="top"/>
          </w:tcPr>
          <w:p>
            <w:pPr>
              <w:spacing w:after="0" w:line="240" w:lineRule="auto"/>
            </w:pPr>
            <w:r/>
            <w:r>
              <w:rPr>
                <w:b w:val="0"/>
                <w:sz w:val="15"/>
              </w:rPr>
              <w:t>Practical decision status.</w:t>
            </w:r>
          </w:p>
        </w:tc>
      </w:tr>
      <w:tr>
        <w:tc>
          <w:tcPr>
            <w:tcW w:type="dxa" w:w="3513"/>
            <w:vAlign w:val="top"/>
          </w:tcPr>
          <w:p>
            <w:pPr>
              <w:spacing w:after="0" w:line="240" w:lineRule="auto"/>
            </w:pPr>
            <w:r/>
            <w:r>
              <w:rPr>
                <w:b w:val="0"/>
                <w:sz w:val="15"/>
              </w:rPr>
              <w:t>Review Flag</w:t>
            </w:r>
          </w:p>
        </w:tc>
        <w:tc>
          <w:tcPr>
            <w:tcW w:type="dxa" w:w="3513"/>
            <w:vAlign w:val="top"/>
          </w:tcPr>
          <w:p>
            <w:pPr>
              <w:spacing w:after="0" w:line="240" w:lineRule="auto"/>
            </w:pPr>
            <w:r/>
            <w:r>
              <w:rPr>
                <w:b w:val="0"/>
                <w:sz w:val="15"/>
              </w:rPr>
              <w:t>output_review_flag</w:t>
            </w:r>
          </w:p>
        </w:tc>
        <w:tc>
          <w:tcPr>
            <w:tcW w:type="dxa" w:w="3513"/>
            <w:vAlign w:val="top"/>
          </w:tcPr>
          <w:p>
            <w:pPr>
              <w:spacing w:after="0" w:line="240" w:lineRule="auto"/>
            </w:pPr>
            <w:r/>
            <w:r>
              <w:rPr>
                <w:b w:val="0"/>
                <w:sz w:val="15"/>
              </w:rPr>
              <w:t>Quality status.</w:t>
            </w:r>
          </w:p>
        </w:tc>
      </w:tr>
      <w:tr>
        <w:tc>
          <w:tcPr>
            <w:tcW w:type="dxa" w:w="3513"/>
            <w:vAlign w:val="top"/>
          </w:tcPr>
          <w:p>
            <w:pPr>
              <w:spacing w:after="0" w:line="240" w:lineRule="auto"/>
            </w:pPr>
            <w:r/>
            <w:r>
              <w:rPr>
                <w:b w:val="0"/>
                <w:sz w:val="15"/>
              </w:rPr>
              <w:t>Status Note</w:t>
            </w:r>
          </w:p>
        </w:tc>
        <w:tc>
          <w:tcPr>
            <w:tcW w:type="dxa" w:w="3513"/>
            <w:vAlign w:val="top"/>
          </w:tcPr>
          <w:p>
            <w:pPr>
              <w:spacing w:after="0" w:line="240" w:lineRule="auto"/>
            </w:pPr>
            <w:r/>
            <w:r>
              <w:rPr>
                <w:b w:val="0"/>
                <w:sz w:val="15"/>
              </w:rPr>
              <w:t>output_status_note</w:t>
            </w:r>
          </w:p>
        </w:tc>
        <w:tc>
          <w:tcPr>
            <w:tcW w:type="dxa" w:w="3513"/>
            <w:vAlign w:val="top"/>
          </w:tcPr>
          <w:p>
            <w:pPr>
              <w:spacing w:after="0" w:line="240" w:lineRule="auto"/>
            </w:pPr>
            <w:r/>
            <w:r>
              <w:rPr>
                <w:b w:val="0"/>
                <w:sz w:val="15"/>
              </w:rPr>
              <w:t>Short explanation.</w:t>
            </w:r>
          </w:p>
        </w:tc>
      </w:tr>
      <w:tr>
        <w:tc>
          <w:tcPr>
            <w:tcW w:type="dxa" w:w="3513"/>
            <w:vAlign w:val="top"/>
          </w:tcPr>
          <w:p>
            <w:pPr>
              <w:spacing w:after="0" w:line="240" w:lineRule="auto"/>
            </w:pPr>
            <w:r/>
            <w:r>
              <w:rPr>
                <w:b w:val="0"/>
                <w:sz w:val="15"/>
              </w:rPr>
              <w:t>Open Sheet</w:t>
            </w:r>
          </w:p>
        </w:tc>
        <w:tc>
          <w:tcPr>
            <w:tcW w:type="dxa" w:w="3513"/>
            <w:vAlign w:val="top"/>
          </w:tcPr>
          <w:p>
            <w:pPr>
              <w:spacing w:after="0" w:line="240" w:lineRule="auto"/>
            </w:pPr>
            <w:r/>
            <w:r>
              <w:rPr>
                <w:b w:val="0"/>
                <w:sz w:val="15"/>
              </w:rPr>
              <w:t>output_open_sheet_link</w:t>
            </w:r>
          </w:p>
        </w:tc>
        <w:tc>
          <w:tcPr>
            <w:tcW w:type="dxa" w:w="3513"/>
            <w:vAlign w:val="top"/>
          </w:tcPr>
          <w:p>
            <w:pPr>
              <w:spacing w:after="0" w:line="240" w:lineRule="auto"/>
            </w:pPr>
            <w:r/>
            <w:r>
              <w:rPr>
                <w:b w:val="0"/>
                <w:sz w:val="15"/>
              </w:rPr>
              <w:t>Navigation.</w:t>
            </w:r>
          </w:p>
        </w:tc>
      </w:tr>
    </w:tbl>
    <w:p/>
    <w:p>
      <w:pPr>
        <w:pStyle w:val="Heading1"/>
      </w:pPr>
      <w:r>
        <w:t>29. Scenario &amp; Sensitivity</w:t>
      </w:r>
    </w:p>
    <w:p>
      <w:r>
        <w:t>Scenario and sensitivity may be used as support/sanity checks. They must not replace the official FCFF/WACC valuation engine or feed Official Intrinsic Value per Share directly. Scenario and sensitivity can help understand value drivers, but official value must remain traceable to the base FCFF/WACC chain.</w:t>
      </w:r>
    </w:p>
    <w:p>
      <w:pPr>
        <w:pStyle w:val="Heading1"/>
      </w:pPr>
      <w:r>
        <w:t>30. Financial Health</w:t>
      </w:r>
    </w:p>
    <w:p>
      <w:r>
        <w:t>Financial Health supports risk and review context. It can review leverage, interest coverage, liquidity, distress risk, debt maturity/cost and balance-sheet constraints. It should inform review/MOS/Decision Status but should not rewrite intrinsic value directly.</w:t>
      </w:r>
    </w:p>
    <w:p>
      <w:pPr>
        <w:pStyle w:val="TableTitle"/>
      </w:pPr>
      <w:r>
        <w:rPr>
          <w:b/>
        </w:rPr>
        <w:t>Table - Financial Health Checks</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6"/>
              </w:rPr>
              <w:t>Check</w:t>
            </w:r>
          </w:p>
        </w:tc>
        <w:tc>
          <w:tcPr>
            <w:tcW w:type="dxa" w:w="5270"/>
            <w:vAlign w:val="top"/>
            <w:shd w:fill="D9EAF7"/>
          </w:tcPr>
          <w:p>
            <w:pPr>
              <w:spacing w:after="0" w:line="240" w:lineRule="auto"/>
            </w:pPr>
            <w:r/>
            <w:r>
              <w:rPr>
                <w:b/>
                <w:sz w:val="16"/>
              </w:rPr>
              <w:t>Purpose</w:t>
            </w:r>
          </w:p>
        </w:tc>
      </w:tr>
      <w:tr>
        <w:tc>
          <w:tcPr>
            <w:tcW w:type="dxa" w:w="5270"/>
            <w:vAlign w:val="top"/>
          </w:tcPr>
          <w:p>
            <w:pPr>
              <w:spacing w:after="0" w:line="240" w:lineRule="auto"/>
            </w:pPr>
            <w:r/>
            <w:r>
              <w:rPr>
                <w:b w:val="0"/>
                <w:sz w:val="15"/>
              </w:rPr>
              <w:t>Interest Coverage</w:t>
            </w:r>
          </w:p>
        </w:tc>
        <w:tc>
          <w:tcPr>
            <w:tcW w:type="dxa" w:w="5270"/>
            <w:vAlign w:val="top"/>
          </w:tcPr>
          <w:p>
            <w:pPr>
              <w:spacing w:after="0" w:line="240" w:lineRule="auto"/>
            </w:pPr>
            <w:r/>
            <w:r>
              <w:rPr>
                <w:b w:val="0"/>
                <w:sz w:val="15"/>
              </w:rPr>
              <w:t>Support synthetic rating / Cost of Debt review.</w:t>
            </w:r>
          </w:p>
        </w:tc>
      </w:tr>
      <w:tr>
        <w:tc>
          <w:tcPr>
            <w:tcW w:type="dxa" w:w="5270"/>
            <w:vAlign w:val="top"/>
          </w:tcPr>
          <w:p>
            <w:pPr>
              <w:spacing w:after="0" w:line="240" w:lineRule="auto"/>
            </w:pPr>
            <w:r/>
            <w:r>
              <w:rPr>
                <w:b w:val="0"/>
                <w:sz w:val="15"/>
              </w:rPr>
              <w:t>Debt / Capital</w:t>
            </w:r>
          </w:p>
        </w:tc>
        <w:tc>
          <w:tcPr>
            <w:tcW w:type="dxa" w:w="5270"/>
            <w:vAlign w:val="top"/>
          </w:tcPr>
          <w:p>
            <w:pPr>
              <w:spacing w:after="0" w:line="240" w:lineRule="auto"/>
            </w:pPr>
            <w:r/>
            <w:r>
              <w:rPr>
                <w:b w:val="0"/>
                <w:sz w:val="15"/>
              </w:rPr>
              <w:t>Support WACC weights and leverage review.</w:t>
            </w:r>
          </w:p>
        </w:tc>
      </w:tr>
      <w:tr>
        <w:tc>
          <w:tcPr>
            <w:tcW w:type="dxa" w:w="5270"/>
            <w:vAlign w:val="top"/>
          </w:tcPr>
          <w:p>
            <w:pPr>
              <w:spacing w:after="0" w:line="240" w:lineRule="auto"/>
            </w:pPr>
            <w:r/>
            <w:r>
              <w:rPr>
                <w:b w:val="0"/>
                <w:sz w:val="15"/>
              </w:rPr>
              <w:t>Net Debt / EBIT or EBITDA</w:t>
            </w:r>
          </w:p>
        </w:tc>
        <w:tc>
          <w:tcPr>
            <w:tcW w:type="dxa" w:w="5270"/>
            <w:vAlign w:val="top"/>
          </w:tcPr>
          <w:p>
            <w:pPr>
              <w:spacing w:after="0" w:line="240" w:lineRule="auto"/>
            </w:pPr>
            <w:r/>
            <w:r>
              <w:rPr>
                <w:b w:val="0"/>
                <w:sz w:val="15"/>
              </w:rPr>
              <w:t>Leverage reasonableness and distress watch.</w:t>
            </w:r>
          </w:p>
        </w:tc>
      </w:tr>
      <w:tr>
        <w:tc>
          <w:tcPr>
            <w:tcW w:type="dxa" w:w="5270"/>
            <w:vAlign w:val="top"/>
          </w:tcPr>
          <w:p>
            <w:pPr>
              <w:spacing w:after="0" w:line="240" w:lineRule="auto"/>
            </w:pPr>
            <w:r/>
            <w:r>
              <w:rPr>
                <w:b w:val="0"/>
                <w:sz w:val="15"/>
              </w:rPr>
              <w:t>Liquidity / Cash</w:t>
            </w:r>
          </w:p>
        </w:tc>
        <w:tc>
          <w:tcPr>
            <w:tcW w:type="dxa" w:w="5270"/>
            <w:vAlign w:val="top"/>
          </w:tcPr>
          <w:p>
            <w:pPr>
              <w:spacing w:after="0" w:line="240" w:lineRule="auto"/>
            </w:pPr>
            <w:r/>
            <w:r>
              <w:rPr>
                <w:b w:val="0"/>
                <w:sz w:val="15"/>
              </w:rPr>
              <w:t>Bridge and survival-risk review.</w:t>
            </w:r>
          </w:p>
        </w:tc>
      </w:tr>
      <w:tr>
        <w:tc>
          <w:tcPr>
            <w:tcW w:type="dxa" w:w="5270"/>
            <w:vAlign w:val="top"/>
          </w:tcPr>
          <w:p>
            <w:pPr>
              <w:spacing w:after="0" w:line="240" w:lineRule="auto"/>
            </w:pPr>
            <w:r/>
            <w:r>
              <w:rPr>
                <w:b w:val="0"/>
                <w:sz w:val="15"/>
              </w:rPr>
              <w:t>Lease Debt / Debt-like Claims</w:t>
            </w:r>
          </w:p>
        </w:tc>
        <w:tc>
          <w:tcPr>
            <w:tcW w:type="dxa" w:w="5270"/>
            <w:vAlign w:val="top"/>
          </w:tcPr>
          <w:p>
            <w:pPr>
              <w:spacing w:after="0" w:line="240" w:lineRule="auto"/>
            </w:pPr>
            <w:r/>
            <w:r>
              <w:rPr>
                <w:b w:val="0"/>
                <w:sz w:val="15"/>
              </w:rPr>
              <w:t>Debt treatment consistency.</w:t>
            </w:r>
          </w:p>
        </w:tc>
      </w:tr>
    </w:tbl>
    <w:p/>
    <w:p>
      <w:pPr>
        <w:pStyle w:val="Heading1"/>
      </w:pPr>
      <w:r>
        <w:t>31. Business Quality</w:t>
      </w:r>
    </w:p>
    <w:p>
      <w:r>
        <w:t>Business Quality is support/review logic. It may evaluate margin stability, revenue durability, ROIC/ROC, reinvestment efficiency, cyclicality, competitive position and data quality. It should not create circular logic that mechanically changes forecast outputs.</w:t>
      </w:r>
    </w:p>
    <w:p>
      <w:pPr>
        <w:pStyle w:val="Heading1"/>
      </w:pPr>
      <w:r>
        <w:t>32. Assumption Quality</w:t>
      </w:r>
    </w:p>
    <w:p>
      <w:r>
        <w:t>Assumption Quality checks whether user/company assumptions are internally consistent, supported by history, analyst data and benchmark context. The role is to flag assumptions that need review, not to force them to equal industry averages.</w:t>
      </w:r>
    </w:p>
    <w:p>
      <w:pPr>
        <w:pStyle w:val="ListBullet"/>
      </w:pPr>
      <w:r>
        <w:t>Revenue growth should be plausible vs history, analyst anchors and industry context.</w:t>
      </w:r>
    </w:p>
    <w:p>
      <w:pPr>
        <w:pStyle w:val="ListBullet"/>
      </w:pPr>
      <w:r>
        <w:t>Margin assumptions should be plausible vs history and Damodaran benchmark support.</w:t>
      </w:r>
    </w:p>
    <w:p>
      <w:pPr>
        <w:pStyle w:val="ListBullet"/>
      </w:pPr>
      <w:r>
        <w:t>Growth should be funded by reinvestment.</w:t>
      </w:r>
    </w:p>
    <w:p>
      <w:pPr>
        <w:pStyle w:val="ListBullet"/>
      </w:pPr>
      <w:r>
        <w:t>Stable growth, stable ROC, stable reinvestment and stable WACC must be internally consistent.</w:t>
      </w:r>
    </w:p>
    <w:p>
      <w:pPr>
        <w:pStyle w:val="ListBullet"/>
      </w:pPr>
      <w:r>
        <w:t>Override inputs require visible notes and review flags.</w:t>
      </w:r>
    </w:p>
    <w:p>
      <w:pPr>
        <w:pStyle w:val="Heading1"/>
      </w:pPr>
      <w:r>
        <w:t>33. Integrated Valuation Flow / Module Dependency Map</w:t>
      </w:r>
    </w:p>
    <w:p>
      <w:pPr>
        <w:pStyle w:val="TableTitle"/>
      </w:pPr>
      <w:r>
        <w:rPr>
          <w:b/>
        </w:rPr>
        <w:t>Table - Module Dependency Map</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513"/>
            <w:vAlign w:val="top"/>
            <w:shd w:fill="D9EAF7"/>
          </w:tcPr>
          <w:p>
            <w:pPr>
              <w:spacing w:after="0" w:line="240" w:lineRule="auto"/>
            </w:pPr>
            <w:r/>
            <w:r>
              <w:rPr>
                <w:b/>
                <w:sz w:val="16"/>
              </w:rPr>
              <w:t>Input / Source</w:t>
            </w:r>
          </w:p>
        </w:tc>
        <w:tc>
          <w:tcPr>
            <w:tcW w:type="dxa" w:w="3513"/>
            <w:vAlign w:val="top"/>
            <w:shd w:fill="D9EAF7"/>
          </w:tcPr>
          <w:p>
            <w:pPr>
              <w:spacing w:after="0" w:line="240" w:lineRule="auto"/>
            </w:pPr>
            <w:r/>
            <w:r>
              <w:rPr>
                <w:b/>
                <w:sz w:val="16"/>
              </w:rPr>
              <w:t>System / Engine</w:t>
            </w:r>
          </w:p>
        </w:tc>
        <w:tc>
          <w:tcPr>
            <w:tcW w:type="dxa" w:w="3513"/>
            <w:vAlign w:val="top"/>
            <w:shd w:fill="D9EAF7"/>
          </w:tcPr>
          <w:p>
            <w:pPr>
              <w:spacing w:after="0" w:line="240" w:lineRule="auto"/>
            </w:pPr>
            <w:r/>
            <w:r>
              <w:rPr>
                <w:b/>
                <w:sz w:val="16"/>
              </w:rPr>
              <w:t>Output / Use</w:t>
            </w:r>
          </w:p>
        </w:tc>
      </w:tr>
      <w:tr>
        <w:tc>
          <w:tcPr>
            <w:tcW w:type="dxa" w:w="3513"/>
            <w:vAlign w:val="top"/>
          </w:tcPr>
          <w:p>
            <w:pPr>
              <w:spacing w:after="0" w:line="240" w:lineRule="auto"/>
            </w:pPr>
            <w:r/>
            <w:r>
              <w:rPr>
                <w:b w:val="0"/>
                <w:sz w:val="15"/>
              </w:rPr>
              <w:t>Full Ticker</w:t>
            </w:r>
          </w:p>
        </w:tc>
        <w:tc>
          <w:tcPr>
            <w:tcW w:type="dxa" w:w="3513"/>
            <w:vAlign w:val="top"/>
          </w:tcPr>
          <w:p>
            <w:pPr>
              <w:spacing w:after="0" w:line="240" w:lineRule="auto"/>
            </w:pPr>
            <w:r/>
            <w:r>
              <w:rPr>
                <w:b w:val="0"/>
                <w:sz w:val="15"/>
              </w:rPr>
              <w:t>Company Identity / Google Finance</w:t>
            </w:r>
          </w:p>
        </w:tc>
        <w:tc>
          <w:tcPr>
            <w:tcW w:type="dxa" w:w="3513"/>
            <w:vAlign w:val="top"/>
          </w:tcPr>
          <w:p>
            <w:pPr>
              <w:spacing w:after="0" w:line="240" w:lineRule="auto"/>
            </w:pPr>
            <w:r/>
            <w:r>
              <w:rPr>
                <w:b w:val="0"/>
                <w:sz w:val="15"/>
              </w:rPr>
              <w:t>Company name, price, market cap, exchange, dashboard identity.</w:t>
            </w:r>
          </w:p>
        </w:tc>
      </w:tr>
      <w:tr>
        <w:tc>
          <w:tcPr>
            <w:tcW w:type="dxa" w:w="3513"/>
            <w:vAlign w:val="top"/>
          </w:tcPr>
          <w:p>
            <w:pPr>
              <w:spacing w:after="0" w:line="240" w:lineRule="auto"/>
            </w:pPr>
            <w:r/>
            <w:r>
              <w:rPr>
                <w:b w:val="0"/>
                <w:sz w:val="15"/>
              </w:rPr>
              <w:t>Selected Damodaran Industrial Benchmark</w:t>
            </w:r>
          </w:p>
        </w:tc>
        <w:tc>
          <w:tcPr>
            <w:tcW w:type="dxa" w:w="3513"/>
            <w:vAlign w:val="top"/>
          </w:tcPr>
          <w:p>
            <w:pPr>
              <w:spacing w:after="0" w:line="240" w:lineRule="auto"/>
            </w:pPr>
            <w:r/>
            <w:r>
              <w:rPr>
                <w:b w:val="0"/>
                <w:sz w:val="15"/>
              </w:rPr>
              <w:t>Industry Benchmark Config</w:t>
            </w:r>
          </w:p>
        </w:tc>
        <w:tc>
          <w:tcPr>
            <w:tcW w:type="dxa" w:w="3513"/>
            <w:vAlign w:val="top"/>
          </w:tcPr>
          <w:p>
            <w:pPr>
              <w:spacing w:after="0" w:line="240" w:lineRule="auto"/>
            </w:pPr>
            <w:r/>
            <w:r>
              <w:rPr>
                <w:b w:val="0"/>
                <w:sz w:val="15"/>
              </w:rPr>
              <w:t>Industry status, stage support, cyclicality, history recommendation and benchmark data keys.</w:t>
            </w:r>
          </w:p>
        </w:tc>
      </w:tr>
      <w:tr>
        <w:tc>
          <w:tcPr>
            <w:tcW w:type="dxa" w:w="3513"/>
            <w:vAlign w:val="top"/>
          </w:tcPr>
          <w:p>
            <w:pPr>
              <w:spacing w:after="0" w:line="240" w:lineRule="auto"/>
            </w:pPr>
            <w:r/>
            <w:r>
              <w:rPr>
                <w:b w:val="0"/>
                <w:sz w:val="15"/>
              </w:rPr>
              <w:t>Selected Damodaran Industrial Benchmark</w:t>
            </w:r>
          </w:p>
        </w:tc>
        <w:tc>
          <w:tcPr>
            <w:tcW w:type="dxa" w:w="3513"/>
            <w:vAlign w:val="top"/>
          </w:tcPr>
          <w:p>
            <w:pPr>
              <w:spacing w:after="0" w:line="240" w:lineRule="auto"/>
            </w:pPr>
            <w:r/>
            <w:r>
              <w:rPr>
                <w:b w:val="0"/>
                <w:sz w:val="15"/>
              </w:rPr>
              <w:t>Damodaran Data</w:t>
            </w:r>
          </w:p>
        </w:tc>
        <w:tc>
          <w:tcPr>
            <w:tcW w:type="dxa" w:w="3513"/>
            <w:vAlign w:val="top"/>
          </w:tcPr>
          <w:p>
            <w:pPr>
              <w:spacing w:after="0" w:line="240" w:lineRule="auto"/>
            </w:pPr>
            <w:r/>
            <w:r>
              <w:rPr>
                <w:b w:val="0"/>
                <w:sz w:val="15"/>
              </w:rPr>
              <w:t>Industry beta, margin, ROC, reinvestment, sales-to-capital, tax and cost-of-capital support.</w:t>
            </w:r>
          </w:p>
        </w:tc>
      </w:tr>
      <w:tr>
        <w:tc>
          <w:tcPr>
            <w:tcW w:type="dxa" w:w="3513"/>
            <w:vAlign w:val="top"/>
          </w:tcPr>
          <w:p>
            <w:pPr>
              <w:spacing w:after="0" w:line="240" w:lineRule="auto"/>
            </w:pPr>
            <w:r/>
            <w:r>
              <w:rPr>
                <w:b w:val="0"/>
                <w:sz w:val="15"/>
              </w:rPr>
              <w:t>Valuation Currency</w:t>
            </w:r>
          </w:p>
        </w:tc>
        <w:tc>
          <w:tcPr>
            <w:tcW w:type="dxa" w:w="3513"/>
            <w:vAlign w:val="top"/>
          </w:tcPr>
          <w:p>
            <w:pPr>
              <w:spacing w:after="0" w:line="240" w:lineRule="auto"/>
            </w:pPr>
            <w:r/>
            <w:r>
              <w:rPr>
                <w:b w:val="0"/>
                <w:sz w:val="15"/>
              </w:rPr>
              <w:t>Riskfree Rates</w:t>
            </w:r>
          </w:p>
        </w:tc>
        <w:tc>
          <w:tcPr>
            <w:tcW w:type="dxa" w:w="3513"/>
            <w:vAlign w:val="top"/>
          </w:tcPr>
          <w:p>
            <w:pPr>
              <w:spacing w:after="0" w:line="240" w:lineRule="auto"/>
            </w:pPr>
            <w:r/>
            <w:r>
              <w:rPr>
                <w:b w:val="0"/>
                <w:sz w:val="15"/>
              </w:rPr>
              <w:t>Selected Riskfree Rate for Cost of Equity/WACC.</w:t>
            </w:r>
          </w:p>
        </w:tc>
      </w:tr>
      <w:tr>
        <w:tc>
          <w:tcPr>
            <w:tcW w:type="dxa" w:w="3513"/>
            <w:vAlign w:val="top"/>
          </w:tcPr>
          <w:p>
            <w:pPr>
              <w:spacing w:after="0" w:line="240" w:lineRule="auto"/>
            </w:pPr>
            <w:r/>
            <w:r>
              <w:rPr>
                <w:b w:val="0"/>
                <w:sz w:val="15"/>
              </w:rPr>
              <w:t>Revenue Exposure</w:t>
            </w:r>
          </w:p>
        </w:tc>
        <w:tc>
          <w:tcPr>
            <w:tcW w:type="dxa" w:w="3513"/>
            <w:vAlign w:val="top"/>
          </w:tcPr>
          <w:p>
            <w:pPr>
              <w:spacing w:after="0" w:line="240" w:lineRule="auto"/>
            </w:pPr>
            <w:r/>
            <w:r>
              <w:rPr>
                <w:b w:val="0"/>
                <w:sz w:val="15"/>
              </w:rPr>
              <w:t>Country Risk / ERP</w:t>
            </w:r>
          </w:p>
        </w:tc>
        <w:tc>
          <w:tcPr>
            <w:tcW w:type="dxa" w:w="3513"/>
            <w:vAlign w:val="top"/>
          </w:tcPr>
          <w:p>
            <w:pPr>
              <w:spacing w:after="0" w:line="240" w:lineRule="auto"/>
            </w:pPr>
            <w:r/>
            <w:r>
              <w:rPr>
                <w:b w:val="0"/>
                <w:sz w:val="15"/>
              </w:rPr>
              <w:t>Weighted ERP for Cost of Equity.</w:t>
            </w:r>
          </w:p>
        </w:tc>
      </w:tr>
      <w:tr>
        <w:tc>
          <w:tcPr>
            <w:tcW w:type="dxa" w:w="3513"/>
            <w:vAlign w:val="top"/>
          </w:tcPr>
          <w:p>
            <w:pPr>
              <w:spacing w:after="0" w:line="240" w:lineRule="auto"/>
            </w:pPr>
            <w:r/>
            <w:r>
              <w:rPr>
                <w:b w:val="0"/>
                <w:sz w:val="15"/>
              </w:rPr>
              <w:t>Trading / Reporting / Valuation Currency</w:t>
            </w:r>
          </w:p>
        </w:tc>
        <w:tc>
          <w:tcPr>
            <w:tcW w:type="dxa" w:w="3513"/>
            <w:vAlign w:val="top"/>
          </w:tcPr>
          <w:p>
            <w:pPr>
              <w:spacing w:after="0" w:line="240" w:lineRule="auto"/>
            </w:pPr>
            <w:r/>
            <w:r>
              <w:rPr>
                <w:b w:val="0"/>
                <w:sz w:val="15"/>
              </w:rPr>
              <w:t>FX Rates</w:t>
            </w:r>
          </w:p>
        </w:tc>
        <w:tc>
          <w:tcPr>
            <w:tcW w:type="dxa" w:w="3513"/>
            <w:vAlign w:val="top"/>
          </w:tcPr>
          <w:p>
            <w:pPr>
              <w:spacing w:after="0" w:line="240" w:lineRule="auto"/>
            </w:pPr>
            <w:r/>
            <w:r>
              <w:rPr>
                <w:b w:val="0"/>
                <w:sz w:val="15"/>
              </w:rPr>
              <w:t>Price conversion and currency review.</w:t>
            </w:r>
          </w:p>
        </w:tc>
      </w:tr>
      <w:tr>
        <w:tc>
          <w:tcPr>
            <w:tcW w:type="dxa" w:w="3513"/>
            <w:vAlign w:val="top"/>
          </w:tcPr>
          <w:p>
            <w:pPr>
              <w:spacing w:after="0" w:line="240" w:lineRule="auto"/>
            </w:pPr>
            <w:r/>
            <w:r>
              <w:rPr>
                <w:b w:val="0"/>
                <w:sz w:val="15"/>
              </w:rPr>
              <w:t>Benchmark + beta inputs</w:t>
            </w:r>
          </w:p>
        </w:tc>
        <w:tc>
          <w:tcPr>
            <w:tcW w:type="dxa" w:w="3513"/>
            <w:vAlign w:val="top"/>
          </w:tcPr>
          <w:p>
            <w:pPr>
              <w:spacing w:after="0" w:line="240" w:lineRule="auto"/>
            </w:pPr>
            <w:r/>
            <w:r>
              <w:rPr>
                <w:b w:val="0"/>
                <w:sz w:val="15"/>
              </w:rPr>
              <w:t>Beta Engine</w:t>
            </w:r>
          </w:p>
        </w:tc>
        <w:tc>
          <w:tcPr>
            <w:tcW w:type="dxa" w:w="3513"/>
            <w:vAlign w:val="top"/>
          </w:tcPr>
          <w:p>
            <w:pPr>
              <w:spacing w:after="0" w:line="240" w:lineRule="auto"/>
            </w:pPr>
            <w:r/>
            <w:r>
              <w:rPr>
                <w:b w:val="0"/>
                <w:sz w:val="15"/>
              </w:rPr>
              <w:t>Selected Current Beta and Selected Stable Beta.</w:t>
            </w:r>
          </w:p>
        </w:tc>
      </w:tr>
      <w:tr>
        <w:tc>
          <w:tcPr>
            <w:tcW w:type="dxa" w:w="3513"/>
            <w:vAlign w:val="top"/>
          </w:tcPr>
          <w:p>
            <w:pPr>
              <w:spacing w:after="0" w:line="240" w:lineRule="auto"/>
            </w:pPr>
            <w:r/>
            <w:r>
              <w:rPr>
                <w:b w:val="0"/>
                <w:sz w:val="15"/>
              </w:rPr>
              <w:t>Historical + forecast inputs</w:t>
            </w:r>
          </w:p>
        </w:tc>
        <w:tc>
          <w:tcPr>
            <w:tcW w:type="dxa" w:w="3513"/>
            <w:vAlign w:val="top"/>
          </w:tcPr>
          <w:p>
            <w:pPr>
              <w:spacing w:after="0" w:line="240" w:lineRule="auto"/>
            </w:pPr>
            <w:r/>
            <w:r>
              <w:rPr>
                <w:b w:val="0"/>
                <w:sz w:val="15"/>
              </w:rPr>
              <w:t>Forecast &amp; Fade Engine</w:t>
            </w:r>
          </w:p>
        </w:tc>
        <w:tc>
          <w:tcPr>
            <w:tcW w:type="dxa" w:w="3513"/>
            <w:vAlign w:val="top"/>
          </w:tcPr>
          <w:p>
            <w:pPr>
              <w:spacing w:after="0" w:line="240" w:lineRule="auto"/>
            </w:pPr>
            <w:r/>
            <w:r>
              <w:rPr>
                <w:b w:val="0"/>
                <w:sz w:val="15"/>
              </w:rPr>
              <w:t>Revenue, EBIT, tax, fade path and terminal readiness.</w:t>
            </w:r>
          </w:p>
        </w:tc>
      </w:tr>
      <w:tr>
        <w:tc>
          <w:tcPr>
            <w:tcW w:type="dxa" w:w="3513"/>
            <w:vAlign w:val="top"/>
          </w:tcPr>
          <w:p>
            <w:pPr>
              <w:spacing w:after="0" w:line="240" w:lineRule="auto"/>
            </w:pPr>
            <w:r/>
            <w:r>
              <w:rPr>
                <w:b w:val="0"/>
                <w:sz w:val="15"/>
              </w:rPr>
              <w:t>CapEx / D&amp;A / NWC / Sales-to-Capital</w:t>
            </w:r>
          </w:p>
        </w:tc>
        <w:tc>
          <w:tcPr>
            <w:tcW w:type="dxa" w:w="3513"/>
            <w:vAlign w:val="top"/>
          </w:tcPr>
          <w:p>
            <w:pPr>
              <w:spacing w:after="0" w:line="240" w:lineRule="auto"/>
            </w:pPr>
            <w:r/>
            <w:r>
              <w:rPr>
                <w:b w:val="0"/>
                <w:sz w:val="15"/>
              </w:rPr>
              <w:t>Reinvestment &amp; FCFF</w:t>
            </w:r>
          </w:p>
        </w:tc>
        <w:tc>
          <w:tcPr>
            <w:tcW w:type="dxa" w:w="3513"/>
            <w:vAlign w:val="top"/>
          </w:tcPr>
          <w:p>
            <w:pPr>
              <w:spacing w:after="0" w:line="240" w:lineRule="auto"/>
            </w:pPr>
            <w:r/>
            <w:r>
              <w:rPr>
                <w:b w:val="0"/>
                <w:sz w:val="15"/>
              </w:rPr>
              <w:t>Reinvestment, NOPAT and FCFF.</w:t>
            </w:r>
          </w:p>
        </w:tc>
      </w:tr>
      <w:tr>
        <w:tc>
          <w:tcPr>
            <w:tcW w:type="dxa" w:w="3513"/>
            <w:vAlign w:val="top"/>
          </w:tcPr>
          <w:p>
            <w:pPr>
              <w:spacing w:after="0" w:line="240" w:lineRule="auto"/>
            </w:pPr>
            <w:r/>
            <w:r>
              <w:rPr>
                <w:b w:val="0"/>
                <w:sz w:val="15"/>
              </w:rPr>
              <w:t>Riskfree / ERP / beta / debt / tax / weights</w:t>
            </w:r>
          </w:p>
        </w:tc>
        <w:tc>
          <w:tcPr>
            <w:tcW w:type="dxa" w:w="3513"/>
            <w:vAlign w:val="top"/>
          </w:tcPr>
          <w:p>
            <w:pPr>
              <w:spacing w:after="0" w:line="240" w:lineRule="auto"/>
            </w:pPr>
            <w:r/>
            <w:r>
              <w:rPr>
                <w:b w:val="0"/>
                <w:sz w:val="15"/>
              </w:rPr>
              <w:t>Risk / WACC</w:t>
            </w:r>
          </w:p>
        </w:tc>
        <w:tc>
          <w:tcPr>
            <w:tcW w:type="dxa" w:w="3513"/>
            <w:vAlign w:val="top"/>
          </w:tcPr>
          <w:p>
            <w:pPr>
              <w:spacing w:after="0" w:line="240" w:lineRule="auto"/>
            </w:pPr>
            <w:r/>
            <w:r>
              <w:rPr>
                <w:b w:val="0"/>
                <w:sz w:val="15"/>
              </w:rPr>
              <w:t>Current WACC, Stable WACC and WACC by forecast year.</w:t>
            </w:r>
          </w:p>
        </w:tc>
      </w:tr>
      <w:tr>
        <w:tc>
          <w:tcPr>
            <w:tcW w:type="dxa" w:w="3513"/>
            <w:vAlign w:val="top"/>
          </w:tcPr>
          <w:p>
            <w:pPr>
              <w:spacing w:after="0" w:line="240" w:lineRule="auto"/>
            </w:pPr>
            <w:r/>
            <w:r>
              <w:rPr>
                <w:b w:val="0"/>
                <w:sz w:val="15"/>
              </w:rPr>
              <w:t>Stable assumptions</w:t>
            </w:r>
          </w:p>
        </w:tc>
        <w:tc>
          <w:tcPr>
            <w:tcW w:type="dxa" w:w="3513"/>
            <w:vAlign w:val="top"/>
          </w:tcPr>
          <w:p>
            <w:pPr>
              <w:spacing w:after="0" w:line="240" w:lineRule="auto"/>
            </w:pPr>
            <w:r/>
            <w:r>
              <w:rPr>
                <w:b w:val="0"/>
                <w:sz w:val="15"/>
              </w:rPr>
              <w:t>Terminal Value</w:t>
            </w:r>
          </w:p>
        </w:tc>
        <w:tc>
          <w:tcPr>
            <w:tcW w:type="dxa" w:w="3513"/>
            <w:vAlign w:val="top"/>
          </w:tcPr>
          <w:p>
            <w:pPr>
              <w:spacing w:after="0" w:line="240" w:lineRule="auto"/>
            </w:pPr>
            <w:r/>
            <w:r>
              <w:rPr>
                <w:b w:val="0"/>
                <w:sz w:val="15"/>
              </w:rPr>
              <w:t>Gordon FCFF Terminal Value.</w:t>
            </w:r>
          </w:p>
        </w:tc>
      </w:tr>
      <w:tr>
        <w:tc>
          <w:tcPr>
            <w:tcW w:type="dxa" w:w="3513"/>
            <w:vAlign w:val="top"/>
          </w:tcPr>
          <w:p>
            <w:pPr>
              <w:spacing w:after="0" w:line="240" w:lineRule="auto"/>
            </w:pPr>
            <w:r/>
            <w:r>
              <w:rPr>
                <w:b w:val="0"/>
                <w:sz w:val="15"/>
              </w:rPr>
              <w:t>Cash / debt / claims</w:t>
            </w:r>
          </w:p>
        </w:tc>
        <w:tc>
          <w:tcPr>
            <w:tcW w:type="dxa" w:w="3513"/>
            <w:vAlign w:val="top"/>
          </w:tcPr>
          <w:p>
            <w:pPr>
              <w:spacing w:after="0" w:line="240" w:lineRule="auto"/>
            </w:pPr>
            <w:r/>
            <w:r>
              <w:rPr>
                <w:b w:val="0"/>
                <w:sz w:val="15"/>
              </w:rPr>
              <w:t>Firm-to-Equity Bridge</w:t>
            </w:r>
          </w:p>
        </w:tc>
        <w:tc>
          <w:tcPr>
            <w:tcW w:type="dxa" w:w="3513"/>
            <w:vAlign w:val="top"/>
          </w:tcPr>
          <w:p>
            <w:pPr>
              <w:spacing w:after="0" w:line="240" w:lineRule="auto"/>
            </w:pPr>
            <w:r/>
            <w:r>
              <w:rPr>
                <w:b w:val="0"/>
                <w:sz w:val="15"/>
              </w:rPr>
              <w:t>Equity Value.</w:t>
            </w:r>
          </w:p>
        </w:tc>
      </w:tr>
      <w:tr>
        <w:tc>
          <w:tcPr>
            <w:tcW w:type="dxa" w:w="3513"/>
            <w:vAlign w:val="top"/>
          </w:tcPr>
          <w:p>
            <w:pPr>
              <w:spacing w:after="0" w:line="240" w:lineRule="auto"/>
            </w:pPr>
            <w:r/>
            <w:r>
              <w:rPr>
                <w:b w:val="0"/>
                <w:sz w:val="15"/>
              </w:rPr>
              <w:t>Share count logic</w:t>
            </w:r>
          </w:p>
        </w:tc>
        <w:tc>
          <w:tcPr>
            <w:tcW w:type="dxa" w:w="3513"/>
            <w:vAlign w:val="top"/>
          </w:tcPr>
          <w:p>
            <w:pPr>
              <w:spacing w:after="0" w:line="240" w:lineRule="auto"/>
            </w:pPr>
            <w:r/>
            <w:r>
              <w:rPr>
                <w:b w:val="0"/>
                <w:sz w:val="15"/>
              </w:rPr>
              <w:t>Per-share output</w:t>
            </w:r>
          </w:p>
        </w:tc>
        <w:tc>
          <w:tcPr>
            <w:tcW w:type="dxa" w:w="3513"/>
            <w:vAlign w:val="top"/>
          </w:tcPr>
          <w:p>
            <w:pPr>
              <w:spacing w:after="0" w:line="240" w:lineRule="auto"/>
            </w:pPr>
            <w:r/>
            <w:r>
              <w:rPr>
                <w:b w:val="0"/>
                <w:sz w:val="15"/>
              </w:rPr>
              <w:t>Official Intrinsic Value per Share.</w:t>
            </w:r>
          </w:p>
        </w:tc>
      </w:tr>
      <w:tr>
        <w:tc>
          <w:tcPr>
            <w:tcW w:type="dxa" w:w="3513"/>
            <w:vAlign w:val="top"/>
          </w:tcPr>
          <w:p>
            <w:pPr>
              <w:spacing w:after="0" w:line="240" w:lineRule="auto"/>
            </w:pPr>
            <w:r/>
            <w:r>
              <w:rPr>
                <w:b w:val="0"/>
                <w:sz w:val="15"/>
              </w:rPr>
              <w:t>Output keys</w:t>
            </w:r>
          </w:p>
        </w:tc>
        <w:tc>
          <w:tcPr>
            <w:tcW w:type="dxa" w:w="3513"/>
            <w:vAlign w:val="top"/>
          </w:tcPr>
          <w:p>
            <w:pPr>
              <w:spacing w:after="0" w:line="240" w:lineRule="auto"/>
            </w:pPr>
            <w:r/>
            <w:r>
              <w:rPr>
                <w:b w:val="0"/>
                <w:sz w:val="15"/>
              </w:rPr>
              <w:t>DashBoard</w:t>
            </w:r>
          </w:p>
        </w:tc>
        <w:tc>
          <w:tcPr>
            <w:tcW w:type="dxa" w:w="3513"/>
            <w:vAlign w:val="top"/>
          </w:tcPr>
          <w:p>
            <w:pPr>
              <w:spacing w:after="0" w:line="240" w:lineRule="auto"/>
            </w:pPr>
            <w:r/>
            <w:r>
              <w:rPr>
                <w:b w:val="0"/>
                <w:sz w:val="15"/>
              </w:rPr>
              <w:t>Presentation and navigation only.</w:t>
            </w:r>
          </w:p>
        </w:tc>
      </w:tr>
    </w:tbl>
    <w:p/>
    <w:p>
      <w:pPr>
        <w:pStyle w:val="Heading1"/>
      </w:pPr>
      <w:r>
        <w:t>34. Formula &amp; Calculation Specification</w:t>
      </w:r>
    </w:p>
    <w:p>
      <w:pPr>
        <w:pStyle w:val="TableTitle"/>
      </w:pPr>
      <w:r>
        <w:rPr>
          <w:b/>
        </w:rPr>
        <w:t>Table - Core Formulas</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6"/>
              </w:rPr>
              <w:t>Formula</w:t>
            </w:r>
          </w:p>
        </w:tc>
        <w:tc>
          <w:tcPr>
            <w:tcW w:type="dxa" w:w="5270"/>
            <w:vAlign w:val="top"/>
            <w:shd w:fill="D9EAF7"/>
          </w:tcPr>
          <w:p>
            <w:pPr>
              <w:spacing w:after="0" w:line="240" w:lineRule="auto"/>
            </w:pPr>
            <w:r/>
            <w:r>
              <w:rPr>
                <w:b/>
                <w:sz w:val="16"/>
              </w:rPr>
              <w:t>Definition / notes</w:t>
            </w:r>
          </w:p>
        </w:tc>
      </w:tr>
      <w:tr>
        <w:tc>
          <w:tcPr>
            <w:tcW w:type="dxa" w:w="5270"/>
            <w:vAlign w:val="top"/>
          </w:tcPr>
          <w:p>
            <w:pPr>
              <w:spacing w:after="0" w:line="240" w:lineRule="auto"/>
            </w:pPr>
            <w:r/>
            <w:r>
              <w:rPr>
                <w:b w:val="0"/>
                <w:sz w:val="15"/>
              </w:rPr>
              <w:t>NOPAT</w:t>
            </w:r>
          </w:p>
        </w:tc>
        <w:tc>
          <w:tcPr>
            <w:tcW w:type="dxa" w:w="5270"/>
            <w:vAlign w:val="top"/>
          </w:tcPr>
          <w:p>
            <w:pPr>
              <w:spacing w:after="0" w:line="240" w:lineRule="auto"/>
            </w:pPr>
            <w:r/>
            <w:r>
              <w:rPr>
                <w:b w:val="0"/>
                <w:sz w:val="15"/>
              </w:rPr>
              <w:t>EBIT x (1 - Tax Rate).</w:t>
            </w:r>
          </w:p>
        </w:tc>
      </w:tr>
      <w:tr>
        <w:tc>
          <w:tcPr>
            <w:tcW w:type="dxa" w:w="5270"/>
            <w:vAlign w:val="top"/>
          </w:tcPr>
          <w:p>
            <w:pPr>
              <w:spacing w:after="0" w:line="240" w:lineRule="auto"/>
            </w:pPr>
            <w:r/>
            <w:r>
              <w:rPr>
                <w:b w:val="0"/>
                <w:sz w:val="15"/>
              </w:rPr>
              <w:t>Direct Reinvestment</w:t>
            </w:r>
          </w:p>
        </w:tc>
        <w:tc>
          <w:tcPr>
            <w:tcW w:type="dxa" w:w="5270"/>
            <w:vAlign w:val="top"/>
          </w:tcPr>
          <w:p>
            <w:pPr>
              <w:spacing w:after="0" w:line="240" w:lineRule="auto"/>
            </w:pPr>
            <w:r/>
            <w:r>
              <w:rPr>
                <w:b w:val="0"/>
                <w:sz w:val="15"/>
              </w:rPr>
              <w:t>CapEx - D&amp;A + Change in Non-Cash Working Capital.</w:t>
            </w:r>
          </w:p>
        </w:tc>
      </w:tr>
      <w:tr>
        <w:tc>
          <w:tcPr>
            <w:tcW w:type="dxa" w:w="5270"/>
            <w:vAlign w:val="top"/>
          </w:tcPr>
          <w:p>
            <w:pPr>
              <w:spacing w:after="0" w:line="240" w:lineRule="auto"/>
            </w:pPr>
            <w:r/>
            <w:r>
              <w:rPr>
                <w:b w:val="0"/>
                <w:sz w:val="15"/>
              </w:rPr>
              <w:t>Sales-to-Capital Reinvestment</w:t>
            </w:r>
          </w:p>
        </w:tc>
        <w:tc>
          <w:tcPr>
            <w:tcW w:type="dxa" w:w="5270"/>
            <w:vAlign w:val="top"/>
          </w:tcPr>
          <w:p>
            <w:pPr>
              <w:spacing w:after="0" w:line="240" w:lineRule="auto"/>
            </w:pPr>
            <w:r/>
            <w:r>
              <w:rPr>
                <w:b w:val="0"/>
                <w:sz w:val="15"/>
              </w:rPr>
              <w:t>Change in Revenue / Sales-to-Capital Ratio.</w:t>
            </w:r>
          </w:p>
        </w:tc>
      </w:tr>
      <w:tr>
        <w:tc>
          <w:tcPr>
            <w:tcW w:type="dxa" w:w="5270"/>
            <w:vAlign w:val="top"/>
          </w:tcPr>
          <w:p>
            <w:pPr>
              <w:spacing w:after="0" w:line="240" w:lineRule="auto"/>
            </w:pPr>
            <w:r/>
            <w:r>
              <w:rPr>
                <w:b w:val="0"/>
                <w:sz w:val="15"/>
              </w:rPr>
              <w:t>Stable Reinvestment Rate</w:t>
            </w:r>
          </w:p>
        </w:tc>
        <w:tc>
          <w:tcPr>
            <w:tcW w:type="dxa" w:w="5270"/>
            <w:vAlign w:val="top"/>
          </w:tcPr>
          <w:p>
            <w:pPr>
              <w:spacing w:after="0" w:line="240" w:lineRule="auto"/>
            </w:pPr>
            <w:r/>
            <w:r>
              <w:rPr>
                <w:b w:val="0"/>
                <w:sz w:val="15"/>
              </w:rPr>
              <w:t>Stable Growth / Stable ROC.</w:t>
            </w:r>
          </w:p>
        </w:tc>
      </w:tr>
      <w:tr>
        <w:tc>
          <w:tcPr>
            <w:tcW w:type="dxa" w:w="5270"/>
            <w:vAlign w:val="top"/>
          </w:tcPr>
          <w:p>
            <w:pPr>
              <w:spacing w:after="0" w:line="240" w:lineRule="auto"/>
            </w:pPr>
            <w:r/>
            <w:r>
              <w:rPr>
                <w:b w:val="0"/>
                <w:sz w:val="15"/>
              </w:rPr>
              <w:t>Stable Reinvestment</w:t>
            </w:r>
          </w:p>
        </w:tc>
        <w:tc>
          <w:tcPr>
            <w:tcW w:type="dxa" w:w="5270"/>
            <w:vAlign w:val="top"/>
          </w:tcPr>
          <w:p>
            <w:pPr>
              <w:spacing w:after="0" w:line="240" w:lineRule="auto"/>
            </w:pPr>
            <w:r/>
            <w:r>
              <w:rPr>
                <w:b w:val="0"/>
                <w:sz w:val="15"/>
              </w:rPr>
              <w:t>Stable NOPAT x Stable Growth / Stable ROC.</w:t>
            </w:r>
          </w:p>
        </w:tc>
      </w:tr>
      <w:tr>
        <w:tc>
          <w:tcPr>
            <w:tcW w:type="dxa" w:w="5270"/>
            <w:vAlign w:val="top"/>
          </w:tcPr>
          <w:p>
            <w:pPr>
              <w:spacing w:after="0" w:line="240" w:lineRule="auto"/>
            </w:pPr>
            <w:r/>
            <w:r>
              <w:rPr>
                <w:b w:val="0"/>
                <w:sz w:val="15"/>
              </w:rPr>
              <w:t>FCFF</w:t>
            </w:r>
          </w:p>
        </w:tc>
        <w:tc>
          <w:tcPr>
            <w:tcW w:type="dxa" w:w="5270"/>
            <w:vAlign w:val="top"/>
          </w:tcPr>
          <w:p>
            <w:pPr>
              <w:spacing w:after="0" w:line="240" w:lineRule="auto"/>
            </w:pPr>
            <w:r/>
            <w:r>
              <w:rPr>
                <w:b w:val="0"/>
                <w:sz w:val="15"/>
              </w:rPr>
              <w:t>NOPAT - Reinvestment.</w:t>
            </w:r>
          </w:p>
        </w:tc>
      </w:tr>
      <w:tr>
        <w:tc>
          <w:tcPr>
            <w:tcW w:type="dxa" w:w="5270"/>
            <w:vAlign w:val="top"/>
          </w:tcPr>
          <w:p>
            <w:pPr>
              <w:spacing w:after="0" w:line="240" w:lineRule="auto"/>
            </w:pPr>
            <w:r/>
            <w:r>
              <w:rPr>
                <w:b w:val="0"/>
                <w:sz w:val="15"/>
              </w:rPr>
              <w:t>Cost of Equity</w:t>
            </w:r>
          </w:p>
        </w:tc>
        <w:tc>
          <w:tcPr>
            <w:tcW w:type="dxa" w:w="5270"/>
            <w:vAlign w:val="top"/>
          </w:tcPr>
          <w:p>
            <w:pPr>
              <w:spacing w:after="0" w:line="240" w:lineRule="auto"/>
            </w:pPr>
            <w:r/>
            <w:r>
              <w:rPr>
                <w:b w:val="0"/>
                <w:sz w:val="15"/>
              </w:rPr>
              <w:t>Riskfree Rate + Selected Beta x Weighted ERP.</w:t>
            </w:r>
          </w:p>
        </w:tc>
      </w:tr>
      <w:tr>
        <w:tc>
          <w:tcPr>
            <w:tcW w:type="dxa" w:w="5270"/>
            <w:vAlign w:val="top"/>
          </w:tcPr>
          <w:p>
            <w:pPr>
              <w:spacing w:after="0" w:line="240" w:lineRule="auto"/>
            </w:pPr>
            <w:r/>
            <w:r>
              <w:rPr>
                <w:b w:val="0"/>
                <w:sz w:val="15"/>
              </w:rPr>
              <w:t>WACC</w:t>
            </w:r>
          </w:p>
        </w:tc>
        <w:tc>
          <w:tcPr>
            <w:tcW w:type="dxa" w:w="5270"/>
            <w:vAlign w:val="top"/>
          </w:tcPr>
          <w:p>
            <w:pPr>
              <w:spacing w:after="0" w:line="240" w:lineRule="auto"/>
            </w:pPr>
            <w:r/>
            <w:r>
              <w:rPr>
                <w:b w:val="0"/>
                <w:sz w:val="15"/>
              </w:rPr>
              <w:t>Debt Weight x Cost of Debt x (1 - Tax Rate) + Equity Weight x Cost of Equity.</w:t>
            </w:r>
          </w:p>
        </w:tc>
      </w:tr>
      <w:tr>
        <w:tc>
          <w:tcPr>
            <w:tcW w:type="dxa" w:w="5270"/>
            <w:vAlign w:val="top"/>
          </w:tcPr>
          <w:p>
            <w:pPr>
              <w:spacing w:after="0" w:line="240" w:lineRule="auto"/>
            </w:pPr>
            <w:r/>
            <w:r>
              <w:rPr>
                <w:b w:val="0"/>
                <w:sz w:val="15"/>
              </w:rPr>
              <w:t>Terminal Value</w:t>
            </w:r>
          </w:p>
        </w:tc>
        <w:tc>
          <w:tcPr>
            <w:tcW w:type="dxa" w:w="5270"/>
            <w:vAlign w:val="top"/>
          </w:tcPr>
          <w:p>
            <w:pPr>
              <w:spacing w:after="0" w:line="240" w:lineRule="auto"/>
            </w:pPr>
            <w:r/>
            <w:r>
              <w:rPr>
                <w:b w:val="0"/>
                <w:sz w:val="15"/>
              </w:rPr>
              <w:t>Terminal FCFF / (Stable WACC - Stable Growth).</w:t>
            </w:r>
          </w:p>
        </w:tc>
      </w:tr>
      <w:tr>
        <w:tc>
          <w:tcPr>
            <w:tcW w:type="dxa" w:w="5270"/>
            <w:vAlign w:val="top"/>
          </w:tcPr>
          <w:p>
            <w:pPr>
              <w:spacing w:after="0" w:line="240" w:lineRule="auto"/>
            </w:pPr>
            <w:r/>
            <w:r>
              <w:rPr>
                <w:b w:val="0"/>
                <w:sz w:val="15"/>
              </w:rPr>
              <w:t>Value of Operating Assets</w:t>
            </w:r>
          </w:p>
        </w:tc>
        <w:tc>
          <w:tcPr>
            <w:tcW w:type="dxa" w:w="5270"/>
            <w:vAlign w:val="top"/>
          </w:tcPr>
          <w:p>
            <w:pPr>
              <w:spacing w:after="0" w:line="240" w:lineRule="auto"/>
            </w:pPr>
            <w:r/>
            <w:r>
              <w:rPr>
                <w:b w:val="0"/>
                <w:sz w:val="15"/>
              </w:rPr>
              <w:t>PV explicit FCFF + PV Terminal Value.</w:t>
            </w:r>
          </w:p>
        </w:tc>
      </w:tr>
      <w:tr>
        <w:tc>
          <w:tcPr>
            <w:tcW w:type="dxa" w:w="5270"/>
            <w:vAlign w:val="top"/>
          </w:tcPr>
          <w:p>
            <w:pPr>
              <w:spacing w:after="0" w:line="240" w:lineRule="auto"/>
            </w:pPr>
            <w:r/>
            <w:r>
              <w:rPr>
                <w:b w:val="0"/>
                <w:sz w:val="15"/>
              </w:rPr>
              <w:t>Equity Value</w:t>
            </w:r>
          </w:p>
        </w:tc>
        <w:tc>
          <w:tcPr>
            <w:tcW w:type="dxa" w:w="5270"/>
            <w:vAlign w:val="top"/>
          </w:tcPr>
          <w:p>
            <w:pPr>
              <w:spacing w:after="0" w:line="240" w:lineRule="auto"/>
            </w:pPr>
            <w:r/>
            <w:r>
              <w:rPr>
                <w:b w:val="0"/>
                <w:sz w:val="15"/>
              </w:rPr>
              <w:t>Value of Operating Assets + non-operating assets/cash - debt/debt-like claims - other equity claims.</w:t>
            </w:r>
          </w:p>
        </w:tc>
      </w:tr>
      <w:tr>
        <w:tc>
          <w:tcPr>
            <w:tcW w:type="dxa" w:w="5270"/>
            <w:vAlign w:val="top"/>
          </w:tcPr>
          <w:p>
            <w:pPr>
              <w:spacing w:after="0" w:line="240" w:lineRule="auto"/>
            </w:pPr>
            <w:r/>
            <w:r>
              <w:rPr>
                <w:b w:val="0"/>
                <w:sz w:val="15"/>
              </w:rPr>
              <w:t>Official Intrinsic Value per Share</w:t>
            </w:r>
          </w:p>
        </w:tc>
        <w:tc>
          <w:tcPr>
            <w:tcW w:type="dxa" w:w="5270"/>
            <w:vAlign w:val="top"/>
          </w:tcPr>
          <w:p>
            <w:pPr>
              <w:spacing w:after="0" w:line="240" w:lineRule="auto"/>
            </w:pPr>
            <w:r/>
            <w:r>
              <w:rPr>
                <w:b w:val="0"/>
                <w:sz w:val="15"/>
              </w:rPr>
              <w:t>Equity Value / Selected Diluted Shares.</w:t>
            </w:r>
          </w:p>
        </w:tc>
      </w:tr>
    </w:tbl>
    <w:p/>
    <w:p>
      <w:pPr>
        <w:pStyle w:val="Heading1"/>
      </w:pPr>
      <w:r>
        <w:t>35. Dashboard Config / Output Keys</w:t>
      </w:r>
    </w:p>
    <w:p>
      <w:pPr>
        <w:pStyle w:val="TableTitle"/>
      </w:pPr>
      <w:r>
        <w:rPr>
          <w:b/>
        </w:rPr>
        <w:t>Table - Dashboard Output Config</w:t>
      </w:r>
    </w:p>
    <w:tbl>
      <w:tblPr>
        <w:tblStyle w:val="TableGrid"/>
        <w:tblW w:type="auto" w:w="0"/>
        <w:jc w:val="center"/>
        <w:tblLayout w:type="autofit"/>
        <w:tblLook w:firstColumn="1" w:firstRow="1" w:lastColumn="0" w:lastRow="0" w:noHBand="0" w:noVBand="1" w:val="04A0"/>
      </w:tblPr>
      <w:tblGrid>
        <w:gridCol w:w="1506"/>
        <w:gridCol w:w="1506"/>
        <w:gridCol w:w="1506"/>
        <w:gridCol w:w="1506"/>
        <w:gridCol w:w="1506"/>
        <w:gridCol w:w="1506"/>
        <w:gridCol w:w="1506"/>
      </w:tblGrid>
      <w:tr>
        <w:tc>
          <w:tcPr>
            <w:tcW w:type="dxa" w:w="1506"/>
            <w:vAlign w:val="top"/>
            <w:shd w:fill="D9EAF7"/>
          </w:tcPr>
          <w:p>
            <w:pPr>
              <w:spacing w:after="0" w:line="240" w:lineRule="auto"/>
            </w:pPr>
            <w:r/>
            <w:r>
              <w:rPr>
                <w:b/>
                <w:sz w:val="16"/>
              </w:rPr>
              <w:t>Output Key</w:t>
            </w:r>
          </w:p>
        </w:tc>
        <w:tc>
          <w:tcPr>
            <w:tcW w:type="dxa" w:w="1506"/>
            <w:vAlign w:val="top"/>
            <w:shd w:fill="D9EAF7"/>
          </w:tcPr>
          <w:p>
            <w:pPr>
              <w:spacing w:after="0" w:line="240" w:lineRule="auto"/>
            </w:pPr>
            <w:r/>
            <w:r>
              <w:rPr>
                <w:b/>
                <w:sz w:val="16"/>
              </w:rPr>
              <w:t>Display Name</w:t>
            </w:r>
          </w:p>
        </w:tc>
        <w:tc>
          <w:tcPr>
            <w:tcW w:type="dxa" w:w="1506"/>
            <w:vAlign w:val="top"/>
            <w:shd w:fill="D9EAF7"/>
          </w:tcPr>
          <w:p>
            <w:pPr>
              <w:spacing w:after="0" w:line="240" w:lineRule="auto"/>
            </w:pPr>
            <w:r/>
            <w:r>
              <w:rPr>
                <w:b/>
                <w:sz w:val="16"/>
              </w:rPr>
              <w:t>Source Module</w:t>
            </w:r>
          </w:p>
        </w:tc>
        <w:tc>
          <w:tcPr>
            <w:tcW w:type="dxa" w:w="1506"/>
            <w:vAlign w:val="top"/>
            <w:shd w:fill="D9EAF7"/>
          </w:tcPr>
          <w:p>
            <w:pPr>
              <w:spacing w:after="0" w:line="240" w:lineRule="auto"/>
            </w:pPr>
            <w:r/>
            <w:r>
              <w:rPr>
                <w:b/>
                <w:sz w:val="16"/>
              </w:rPr>
              <w:t>Output Type</w:t>
            </w:r>
          </w:p>
        </w:tc>
        <w:tc>
          <w:tcPr>
            <w:tcW w:type="dxa" w:w="1506"/>
            <w:vAlign w:val="top"/>
            <w:shd w:fill="D9EAF7"/>
          </w:tcPr>
          <w:p>
            <w:pPr>
              <w:spacing w:after="0" w:line="240" w:lineRule="auto"/>
            </w:pPr>
            <w:r/>
            <w:r>
              <w:rPr>
                <w:b/>
                <w:sz w:val="16"/>
              </w:rPr>
              <w:t>Visible?</w:t>
            </w:r>
          </w:p>
        </w:tc>
        <w:tc>
          <w:tcPr>
            <w:tcW w:type="dxa" w:w="1506"/>
            <w:vAlign w:val="top"/>
            <w:shd w:fill="D9EAF7"/>
          </w:tcPr>
          <w:p>
            <w:pPr>
              <w:spacing w:after="0" w:line="240" w:lineRule="auto"/>
            </w:pPr>
            <w:r/>
            <w:r>
              <w:rPr>
                <w:b/>
                <w:sz w:val="16"/>
              </w:rPr>
              <w:t>Required?</w:t>
            </w:r>
          </w:p>
        </w:tc>
        <w:tc>
          <w:tcPr>
            <w:tcW w:type="dxa" w:w="1506"/>
            <w:vAlign w:val="top"/>
            <w:shd w:fill="D9EAF7"/>
          </w:tcPr>
          <w:p>
            <w:pPr>
              <w:spacing w:after="0" w:line="240" w:lineRule="auto"/>
            </w:pPr>
            <w:r/>
            <w:r>
              <w:rPr>
                <w:b/>
                <w:sz w:val="16"/>
              </w:rPr>
              <w:t>Notes</w:t>
            </w:r>
          </w:p>
        </w:tc>
      </w:tr>
      <w:tr>
        <w:tc>
          <w:tcPr>
            <w:tcW w:type="dxa" w:w="1506"/>
            <w:vAlign w:val="top"/>
          </w:tcPr>
          <w:p>
            <w:pPr>
              <w:spacing w:after="0" w:line="240" w:lineRule="auto"/>
            </w:pPr>
            <w:r/>
            <w:r>
              <w:rPr>
                <w:b w:val="0"/>
                <w:sz w:val="15"/>
              </w:rPr>
              <w:t>output_company_logo_url</w:t>
            </w:r>
          </w:p>
        </w:tc>
        <w:tc>
          <w:tcPr>
            <w:tcW w:type="dxa" w:w="1506"/>
            <w:vAlign w:val="top"/>
          </w:tcPr>
          <w:p>
            <w:pPr>
              <w:spacing w:after="0" w:line="240" w:lineRule="auto"/>
            </w:pPr>
            <w:r/>
            <w:r>
              <w:rPr>
                <w:b w:val="0"/>
                <w:sz w:val="15"/>
              </w:rPr>
              <w:t>Logo URL</w:t>
            </w:r>
          </w:p>
        </w:tc>
        <w:tc>
          <w:tcPr>
            <w:tcW w:type="dxa" w:w="1506"/>
            <w:vAlign w:val="top"/>
          </w:tcPr>
          <w:p>
            <w:pPr>
              <w:spacing w:after="0" w:line="240" w:lineRule="auto"/>
            </w:pPr>
            <w:r/>
            <w:r>
              <w:rPr>
                <w:b w:val="0"/>
                <w:sz w:val="15"/>
              </w:rPr>
              <w:t>Company Identity</w:t>
            </w:r>
          </w:p>
        </w:tc>
        <w:tc>
          <w:tcPr>
            <w:tcW w:type="dxa" w:w="1506"/>
            <w:vAlign w:val="top"/>
          </w:tcPr>
          <w:p>
            <w:pPr>
              <w:spacing w:after="0" w:line="240" w:lineRule="auto"/>
            </w:pPr>
            <w:r/>
            <w:r>
              <w:rPr>
                <w:b w:val="0"/>
                <w:sz w:val="15"/>
              </w:rPr>
              <w:t>Hidden URL</w:t>
            </w:r>
          </w:p>
        </w:tc>
        <w:tc>
          <w:tcPr>
            <w:tcW w:type="dxa" w:w="1506"/>
            <w:vAlign w:val="top"/>
          </w:tcPr>
          <w:p>
            <w:pPr>
              <w:spacing w:after="0" w:line="240" w:lineRule="auto"/>
            </w:pPr>
            <w:r/>
            <w:r>
              <w:rPr>
                <w:b w:val="0"/>
                <w:sz w:val="15"/>
              </w:rPr>
              <w:t>NO</w:t>
            </w:r>
          </w:p>
        </w:tc>
        <w:tc>
          <w:tcPr>
            <w:tcW w:type="dxa" w:w="1506"/>
            <w:vAlign w:val="top"/>
          </w:tcPr>
          <w:p>
            <w:pPr>
              <w:spacing w:after="0" w:line="240" w:lineRule="auto"/>
            </w:pPr>
            <w:r/>
            <w:r>
              <w:rPr>
                <w:b w:val="0"/>
                <w:sz w:val="15"/>
              </w:rPr>
              <w:t>NO</w:t>
            </w:r>
          </w:p>
        </w:tc>
        <w:tc>
          <w:tcPr>
            <w:tcW w:type="dxa" w:w="1506"/>
            <w:vAlign w:val="top"/>
          </w:tcPr>
          <w:p>
            <w:pPr>
              <w:spacing w:after="0" w:line="240" w:lineRule="auto"/>
            </w:pPr>
            <w:r/>
            <w:r>
              <w:rPr>
                <w:b w:val="0"/>
                <w:sz w:val="15"/>
              </w:rPr>
              <w:t>Raw logo URL for IMAGE display.</w:t>
            </w:r>
          </w:p>
        </w:tc>
      </w:tr>
      <w:tr>
        <w:tc>
          <w:tcPr>
            <w:tcW w:type="dxa" w:w="1506"/>
            <w:vAlign w:val="top"/>
          </w:tcPr>
          <w:p>
            <w:pPr>
              <w:spacing w:after="0" w:line="240" w:lineRule="auto"/>
            </w:pPr>
            <w:r/>
            <w:r>
              <w:rPr>
                <w:b w:val="0"/>
                <w:sz w:val="15"/>
              </w:rPr>
              <w:t>output_company_name</w:t>
            </w:r>
          </w:p>
        </w:tc>
        <w:tc>
          <w:tcPr>
            <w:tcW w:type="dxa" w:w="1506"/>
            <w:vAlign w:val="top"/>
          </w:tcPr>
          <w:p>
            <w:pPr>
              <w:spacing w:after="0" w:line="240" w:lineRule="auto"/>
            </w:pPr>
            <w:r/>
            <w:r>
              <w:rPr>
                <w:b w:val="0"/>
                <w:sz w:val="15"/>
              </w:rPr>
              <w:t>Company Name</w:t>
            </w:r>
          </w:p>
        </w:tc>
        <w:tc>
          <w:tcPr>
            <w:tcW w:type="dxa" w:w="1506"/>
            <w:vAlign w:val="top"/>
          </w:tcPr>
          <w:p>
            <w:pPr>
              <w:spacing w:after="0" w:line="240" w:lineRule="auto"/>
            </w:pPr>
            <w:r/>
            <w:r>
              <w:rPr>
                <w:b w:val="0"/>
                <w:sz w:val="15"/>
              </w:rPr>
              <w:t>Company Identity</w:t>
            </w:r>
          </w:p>
        </w:tc>
        <w:tc>
          <w:tcPr>
            <w:tcW w:type="dxa" w:w="1506"/>
            <w:vAlign w:val="top"/>
          </w:tcPr>
          <w:p>
            <w:pPr>
              <w:spacing w:after="0" w:line="240" w:lineRule="auto"/>
            </w:pPr>
            <w:r/>
            <w:r>
              <w:rPr>
                <w:b w:val="0"/>
                <w:sz w:val="15"/>
              </w:rPr>
              <w:t>Info</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Company name.</w:t>
            </w:r>
          </w:p>
        </w:tc>
      </w:tr>
      <w:tr>
        <w:tc>
          <w:tcPr>
            <w:tcW w:type="dxa" w:w="1506"/>
            <w:vAlign w:val="top"/>
          </w:tcPr>
          <w:p>
            <w:pPr>
              <w:spacing w:after="0" w:line="240" w:lineRule="auto"/>
            </w:pPr>
            <w:r/>
            <w:r>
              <w:rPr>
                <w:b w:val="0"/>
                <w:sz w:val="15"/>
              </w:rPr>
              <w:t>output_full_ticker</w:t>
            </w:r>
          </w:p>
        </w:tc>
        <w:tc>
          <w:tcPr>
            <w:tcW w:type="dxa" w:w="1506"/>
            <w:vAlign w:val="top"/>
          </w:tcPr>
          <w:p>
            <w:pPr>
              <w:spacing w:after="0" w:line="240" w:lineRule="auto"/>
            </w:pPr>
            <w:r/>
            <w:r>
              <w:rPr>
                <w:b w:val="0"/>
                <w:sz w:val="15"/>
              </w:rPr>
              <w:t>Ticker</w:t>
            </w:r>
          </w:p>
        </w:tc>
        <w:tc>
          <w:tcPr>
            <w:tcW w:type="dxa" w:w="1506"/>
            <w:vAlign w:val="top"/>
          </w:tcPr>
          <w:p>
            <w:pPr>
              <w:spacing w:after="0" w:line="240" w:lineRule="auto"/>
            </w:pPr>
            <w:r/>
            <w:r>
              <w:rPr>
                <w:b w:val="0"/>
                <w:sz w:val="15"/>
              </w:rPr>
              <w:t>Company Identity</w:t>
            </w:r>
          </w:p>
        </w:tc>
        <w:tc>
          <w:tcPr>
            <w:tcW w:type="dxa" w:w="1506"/>
            <w:vAlign w:val="top"/>
          </w:tcPr>
          <w:p>
            <w:pPr>
              <w:spacing w:after="0" w:line="240" w:lineRule="auto"/>
            </w:pPr>
            <w:r/>
            <w:r>
              <w:rPr>
                <w:b w:val="0"/>
                <w:sz w:val="15"/>
              </w:rPr>
              <w:t>Info</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Must be Full Ticker.</w:t>
            </w:r>
          </w:p>
        </w:tc>
      </w:tr>
      <w:tr>
        <w:tc>
          <w:tcPr>
            <w:tcW w:type="dxa" w:w="1506"/>
            <w:vAlign w:val="top"/>
          </w:tcPr>
          <w:p>
            <w:pPr>
              <w:spacing w:after="0" w:line="240" w:lineRule="auto"/>
            </w:pPr>
            <w:r/>
            <w:r>
              <w:rPr>
                <w:b w:val="0"/>
                <w:sz w:val="15"/>
              </w:rPr>
              <w:t>output_exchange</w:t>
            </w:r>
          </w:p>
        </w:tc>
        <w:tc>
          <w:tcPr>
            <w:tcW w:type="dxa" w:w="1506"/>
            <w:vAlign w:val="top"/>
          </w:tcPr>
          <w:p>
            <w:pPr>
              <w:spacing w:after="0" w:line="240" w:lineRule="auto"/>
            </w:pPr>
            <w:r/>
            <w:r>
              <w:rPr>
                <w:b w:val="0"/>
                <w:sz w:val="15"/>
              </w:rPr>
              <w:t>Exchange</w:t>
            </w:r>
          </w:p>
        </w:tc>
        <w:tc>
          <w:tcPr>
            <w:tcW w:type="dxa" w:w="1506"/>
            <w:vAlign w:val="top"/>
          </w:tcPr>
          <w:p>
            <w:pPr>
              <w:spacing w:after="0" w:line="240" w:lineRule="auto"/>
            </w:pPr>
            <w:r/>
            <w:r>
              <w:rPr>
                <w:b w:val="0"/>
                <w:sz w:val="15"/>
              </w:rPr>
              <w:t>Company Identity</w:t>
            </w:r>
          </w:p>
        </w:tc>
        <w:tc>
          <w:tcPr>
            <w:tcW w:type="dxa" w:w="1506"/>
            <w:vAlign w:val="top"/>
          </w:tcPr>
          <w:p>
            <w:pPr>
              <w:spacing w:after="0" w:line="240" w:lineRule="auto"/>
            </w:pPr>
            <w:r/>
            <w:r>
              <w:rPr>
                <w:b w:val="0"/>
                <w:sz w:val="15"/>
              </w:rPr>
              <w:t>Info</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Exchange from Full Ticker.</w:t>
            </w:r>
          </w:p>
        </w:tc>
      </w:tr>
      <w:tr>
        <w:tc>
          <w:tcPr>
            <w:tcW w:type="dxa" w:w="1506"/>
            <w:vAlign w:val="top"/>
          </w:tcPr>
          <w:p>
            <w:pPr>
              <w:spacing w:after="0" w:line="240" w:lineRule="auto"/>
            </w:pPr>
            <w:r/>
            <w:r>
              <w:rPr>
                <w:b w:val="0"/>
                <w:sz w:val="15"/>
              </w:rPr>
              <w:t>output_industry</w:t>
            </w:r>
          </w:p>
        </w:tc>
        <w:tc>
          <w:tcPr>
            <w:tcW w:type="dxa" w:w="1506"/>
            <w:vAlign w:val="top"/>
          </w:tcPr>
          <w:p>
            <w:pPr>
              <w:spacing w:after="0" w:line="240" w:lineRule="auto"/>
            </w:pPr>
            <w:r/>
            <w:r>
              <w:rPr>
                <w:b w:val="0"/>
                <w:sz w:val="15"/>
              </w:rPr>
              <w:t>Industry</w:t>
            </w:r>
          </w:p>
        </w:tc>
        <w:tc>
          <w:tcPr>
            <w:tcW w:type="dxa" w:w="1506"/>
            <w:vAlign w:val="top"/>
          </w:tcPr>
          <w:p>
            <w:pPr>
              <w:spacing w:after="0" w:line="240" w:lineRule="auto"/>
            </w:pPr>
            <w:r/>
            <w:r>
              <w:rPr>
                <w:b w:val="0"/>
                <w:sz w:val="15"/>
              </w:rPr>
              <w:t>Industry Benchmark Config</w:t>
            </w:r>
          </w:p>
        </w:tc>
        <w:tc>
          <w:tcPr>
            <w:tcW w:type="dxa" w:w="1506"/>
            <w:vAlign w:val="top"/>
          </w:tcPr>
          <w:p>
            <w:pPr>
              <w:spacing w:after="0" w:line="240" w:lineRule="auto"/>
            </w:pPr>
            <w:r/>
            <w:r>
              <w:rPr>
                <w:b w:val="0"/>
                <w:sz w:val="15"/>
              </w:rPr>
              <w:t>Info / Support</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Selected Damodaran Industrial Benchmark.</w:t>
            </w:r>
          </w:p>
        </w:tc>
      </w:tr>
      <w:tr>
        <w:tc>
          <w:tcPr>
            <w:tcW w:type="dxa" w:w="1506"/>
            <w:vAlign w:val="top"/>
          </w:tcPr>
          <w:p>
            <w:pPr>
              <w:spacing w:after="0" w:line="240" w:lineRule="auto"/>
            </w:pPr>
            <w:r/>
            <w:r>
              <w:rPr>
                <w:b w:val="0"/>
                <w:sz w:val="15"/>
              </w:rPr>
              <w:t>output_damodaran_industrial_benchmark</w:t>
            </w:r>
          </w:p>
        </w:tc>
        <w:tc>
          <w:tcPr>
            <w:tcW w:type="dxa" w:w="1506"/>
            <w:vAlign w:val="top"/>
          </w:tcPr>
          <w:p>
            <w:pPr>
              <w:spacing w:after="0" w:line="240" w:lineRule="auto"/>
            </w:pPr>
            <w:r/>
            <w:r>
              <w:rPr>
                <w:b w:val="0"/>
                <w:sz w:val="15"/>
              </w:rPr>
              <w:t>Damodaran Industrial Benchmark</w:t>
            </w:r>
          </w:p>
        </w:tc>
        <w:tc>
          <w:tcPr>
            <w:tcW w:type="dxa" w:w="1506"/>
            <w:vAlign w:val="top"/>
          </w:tcPr>
          <w:p>
            <w:pPr>
              <w:spacing w:after="0" w:line="240" w:lineRule="auto"/>
            </w:pPr>
            <w:r/>
            <w:r>
              <w:rPr>
                <w:b w:val="0"/>
                <w:sz w:val="15"/>
              </w:rPr>
              <w:t>Industry Benchmark Config</w:t>
            </w:r>
          </w:p>
        </w:tc>
        <w:tc>
          <w:tcPr>
            <w:tcW w:type="dxa" w:w="1506"/>
            <w:vAlign w:val="top"/>
          </w:tcPr>
          <w:p>
            <w:pPr>
              <w:spacing w:after="0" w:line="240" w:lineRule="auto"/>
            </w:pPr>
            <w:r/>
            <w:r>
              <w:rPr>
                <w:b w:val="0"/>
                <w:sz w:val="15"/>
              </w:rPr>
              <w:t>Support</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Can equal output_industry or be hidden depending Dashboard design.</w:t>
            </w:r>
          </w:p>
        </w:tc>
      </w:tr>
      <w:tr>
        <w:tc>
          <w:tcPr>
            <w:tcW w:type="dxa" w:w="1506"/>
            <w:vAlign w:val="top"/>
          </w:tcPr>
          <w:p>
            <w:pPr>
              <w:spacing w:after="0" w:line="240" w:lineRule="auto"/>
            </w:pPr>
            <w:r/>
            <w:r>
              <w:rPr>
                <w:b w:val="0"/>
                <w:sz w:val="15"/>
              </w:rPr>
              <w:t>output_ism_sector_display</w:t>
            </w:r>
          </w:p>
        </w:tc>
        <w:tc>
          <w:tcPr>
            <w:tcW w:type="dxa" w:w="1506"/>
            <w:vAlign w:val="top"/>
          </w:tcPr>
          <w:p>
            <w:pPr>
              <w:spacing w:after="0" w:line="240" w:lineRule="auto"/>
            </w:pPr>
            <w:r/>
            <w:r>
              <w:rPr>
                <w:b w:val="0"/>
                <w:sz w:val="15"/>
              </w:rPr>
              <w:t>ISM-sector</w:t>
            </w:r>
          </w:p>
        </w:tc>
        <w:tc>
          <w:tcPr>
            <w:tcW w:type="dxa" w:w="1506"/>
            <w:vAlign w:val="top"/>
          </w:tcPr>
          <w:p>
            <w:pPr>
              <w:spacing w:after="0" w:line="240" w:lineRule="auto"/>
            </w:pPr>
            <w:r/>
            <w:r>
              <w:rPr>
                <w:b w:val="0"/>
                <w:sz w:val="15"/>
              </w:rPr>
              <w:t>Industry Display Map</w:t>
            </w:r>
          </w:p>
        </w:tc>
        <w:tc>
          <w:tcPr>
            <w:tcW w:type="dxa" w:w="1506"/>
            <w:vAlign w:val="top"/>
          </w:tcPr>
          <w:p>
            <w:pPr>
              <w:spacing w:after="0" w:line="240" w:lineRule="auto"/>
            </w:pPr>
            <w:r/>
            <w:r>
              <w:rPr>
                <w:b w:val="0"/>
                <w:sz w:val="15"/>
              </w:rPr>
              <w:t>Info</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NO</w:t>
            </w:r>
          </w:p>
        </w:tc>
        <w:tc>
          <w:tcPr>
            <w:tcW w:type="dxa" w:w="1506"/>
            <w:vAlign w:val="top"/>
          </w:tcPr>
          <w:p>
            <w:pPr>
              <w:spacing w:after="0" w:line="240" w:lineRule="auto"/>
            </w:pPr>
            <w:r/>
            <w:r>
              <w:rPr>
                <w:b w:val="0"/>
                <w:sz w:val="15"/>
              </w:rPr>
              <w:t>Display-only, derived from benchmark.</w:t>
            </w:r>
          </w:p>
        </w:tc>
      </w:tr>
      <w:tr>
        <w:tc>
          <w:tcPr>
            <w:tcW w:type="dxa" w:w="1506"/>
            <w:vAlign w:val="top"/>
          </w:tcPr>
          <w:p>
            <w:pPr>
              <w:spacing w:after="0" w:line="240" w:lineRule="auto"/>
            </w:pPr>
            <w:r/>
            <w:r>
              <w:rPr>
                <w:b w:val="0"/>
                <w:sz w:val="15"/>
              </w:rPr>
              <w:t>output_current_price_valuation_currency</w:t>
            </w:r>
          </w:p>
        </w:tc>
        <w:tc>
          <w:tcPr>
            <w:tcW w:type="dxa" w:w="1506"/>
            <w:vAlign w:val="top"/>
          </w:tcPr>
          <w:p>
            <w:pPr>
              <w:spacing w:after="0" w:line="240" w:lineRule="auto"/>
            </w:pPr>
            <w:r/>
            <w:r>
              <w:rPr>
                <w:b w:val="0"/>
                <w:sz w:val="15"/>
              </w:rPr>
              <w:t>Current Price</w:t>
            </w:r>
          </w:p>
        </w:tc>
        <w:tc>
          <w:tcPr>
            <w:tcW w:type="dxa" w:w="1506"/>
            <w:vAlign w:val="top"/>
          </w:tcPr>
          <w:p>
            <w:pPr>
              <w:spacing w:after="0" w:line="240" w:lineRule="auto"/>
            </w:pPr>
            <w:r/>
            <w:r>
              <w:rPr>
                <w:b w:val="0"/>
                <w:sz w:val="15"/>
              </w:rPr>
              <w:t>Market Data / FX</w:t>
            </w:r>
          </w:p>
        </w:tc>
        <w:tc>
          <w:tcPr>
            <w:tcW w:type="dxa" w:w="1506"/>
            <w:vAlign w:val="top"/>
          </w:tcPr>
          <w:p>
            <w:pPr>
              <w:spacing w:after="0" w:line="240" w:lineRule="auto"/>
            </w:pPr>
            <w:r/>
            <w:r>
              <w:rPr>
                <w:b w:val="0"/>
                <w:sz w:val="15"/>
              </w:rPr>
              <w:t>Support</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Price converted to Valuation Currency.</w:t>
            </w:r>
          </w:p>
        </w:tc>
      </w:tr>
      <w:tr>
        <w:tc>
          <w:tcPr>
            <w:tcW w:type="dxa" w:w="1506"/>
            <w:vAlign w:val="top"/>
          </w:tcPr>
          <w:p>
            <w:pPr>
              <w:spacing w:after="0" w:line="240" w:lineRule="auto"/>
            </w:pPr>
            <w:r/>
            <w:r>
              <w:rPr>
                <w:b w:val="0"/>
                <w:sz w:val="15"/>
              </w:rPr>
              <w:t>output_market_cap</w:t>
            </w:r>
          </w:p>
        </w:tc>
        <w:tc>
          <w:tcPr>
            <w:tcW w:type="dxa" w:w="1506"/>
            <w:vAlign w:val="top"/>
          </w:tcPr>
          <w:p>
            <w:pPr>
              <w:spacing w:after="0" w:line="240" w:lineRule="auto"/>
            </w:pPr>
            <w:r/>
            <w:r>
              <w:rPr>
                <w:b w:val="0"/>
                <w:sz w:val="15"/>
              </w:rPr>
              <w:t>Market Cap</w:t>
            </w:r>
          </w:p>
        </w:tc>
        <w:tc>
          <w:tcPr>
            <w:tcW w:type="dxa" w:w="1506"/>
            <w:vAlign w:val="top"/>
          </w:tcPr>
          <w:p>
            <w:pPr>
              <w:spacing w:after="0" w:line="240" w:lineRule="auto"/>
            </w:pPr>
            <w:r/>
            <w:r>
              <w:rPr>
                <w:b w:val="0"/>
                <w:sz w:val="15"/>
              </w:rPr>
              <w:t>Market Data</w:t>
            </w:r>
          </w:p>
        </w:tc>
        <w:tc>
          <w:tcPr>
            <w:tcW w:type="dxa" w:w="1506"/>
            <w:vAlign w:val="top"/>
          </w:tcPr>
          <w:p>
            <w:pPr>
              <w:spacing w:after="0" w:line="240" w:lineRule="auto"/>
            </w:pPr>
            <w:r/>
            <w:r>
              <w:rPr>
                <w:b w:val="0"/>
                <w:sz w:val="15"/>
              </w:rPr>
              <w:t>Info</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Market cap.</w:t>
            </w:r>
          </w:p>
        </w:tc>
      </w:tr>
      <w:tr>
        <w:tc>
          <w:tcPr>
            <w:tcW w:type="dxa" w:w="1506"/>
            <w:vAlign w:val="top"/>
          </w:tcPr>
          <w:p>
            <w:pPr>
              <w:spacing w:after="0" w:line="240" w:lineRule="auto"/>
            </w:pPr>
            <w:r/>
            <w:r>
              <w:rPr>
                <w:b w:val="0"/>
                <w:sz w:val="15"/>
              </w:rPr>
              <w:t>output_valuation_currency</w:t>
            </w:r>
          </w:p>
        </w:tc>
        <w:tc>
          <w:tcPr>
            <w:tcW w:type="dxa" w:w="1506"/>
            <w:vAlign w:val="top"/>
          </w:tcPr>
          <w:p>
            <w:pPr>
              <w:spacing w:after="0" w:line="240" w:lineRule="auto"/>
            </w:pPr>
            <w:r/>
            <w:r>
              <w:rPr>
                <w:b w:val="0"/>
                <w:sz w:val="15"/>
              </w:rPr>
              <w:t>Valuation Currency</w:t>
            </w:r>
          </w:p>
        </w:tc>
        <w:tc>
          <w:tcPr>
            <w:tcW w:type="dxa" w:w="1506"/>
            <w:vAlign w:val="top"/>
          </w:tcPr>
          <w:p>
            <w:pPr>
              <w:spacing w:after="0" w:line="240" w:lineRule="auto"/>
            </w:pPr>
            <w:r/>
            <w:r>
              <w:rPr>
                <w:b w:val="0"/>
                <w:sz w:val="15"/>
              </w:rPr>
              <w:t>Currency</w:t>
            </w:r>
          </w:p>
        </w:tc>
        <w:tc>
          <w:tcPr>
            <w:tcW w:type="dxa" w:w="1506"/>
            <w:vAlign w:val="top"/>
          </w:tcPr>
          <w:p>
            <w:pPr>
              <w:spacing w:after="0" w:line="240" w:lineRule="auto"/>
            </w:pPr>
            <w:r/>
            <w:r>
              <w:rPr>
                <w:b w:val="0"/>
                <w:sz w:val="15"/>
              </w:rPr>
              <w:t>Info</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Currency of valuation output.</w:t>
            </w:r>
          </w:p>
        </w:tc>
      </w:tr>
      <w:tr>
        <w:tc>
          <w:tcPr>
            <w:tcW w:type="dxa" w:w="1506"/>
            <w:vAlign w:val="top"/>
          </w:tcPr>
          <w:p>
            <w:pPr>
              <w:spacing w:after="0" w:line="240" w:lineRule="auto"/>
            </w:pPr>
            <w:r/>
            <w:r>
              <w:rPr>
                <w:b w:val="0"/>
                <w:sz w:val="15"/>
              </w:rPr>
              <w:t>output_intrinsic_value_per_share</w:t>
            </w:r>
          </w:p>
        </w:tc>
        <w:tc>
          <w:tcPr>
            <w:tcW w:type="dxa" w:w="1506"/>
            <w:vAlign w:val="top"/>
          </w:tcPr>
          <w:p>
            <w:pPr>
              <w:spacing w:after="0" w:line="240" w:lineRule="auto"/>
            </w:pPr>
            <w:r/>
            <w:r>
              <w:rPr>
                <w:b w:val="0"/>
                <w:sz w:val="15"/>
              </w:rPr>
              <w:t>Intrinsic Value</w:t>
            </w:r>
          </w:p>
        </w:tc>
        <w:tc>
          <w:tcPr>
            <w:tcW w:type="dxa" w:w="1506"/>
            <w:vAlign w:val="top"/>
          </w:tcPr>
          <w:p>
            <w:pPr>
              <w:spacing w:after="0" w:line="240" w:lineRule="auto"/>
            </w:pPr>
            <w:r/>
            <w:r>
              <w:rPr>
                <w:b w:val="0"/>
                <w:sz w:val="15"/>
              </w:rPr>
              <w:t>Valuation Engine</w:t>
            </w:r>
          </w:p>
        </w:tc>
        <w:tc>
          <w:tcPr>
            <w:tcW w:type="dxa" w:w="1506"/>
            <w:vAlign w:val="top"/>
          </w:tcPr>
          <w:p>
            <w:pPr>
              <w:spacing w:after="0" w:line="240" w:lineRule="auto"/>
            </w:pPr>
            <w:r/>
            <w:r>
              <w:rPr>
                <w:b w:val="0"/>
                <w:sz w:val="15"/>
              </w:rPr>
              <w:t>Official</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Official value per share.</w:t>
            </w:r>
          </w:p>
        </w:tc>
      </w:tr>
      <w:tr>
        <w:tc>
          <w:tcPr>
            <w:tcW w:type="dxa" w:w="1506"/>
            <w:vAlign w:val="top"/>
          </w:tcPr>
          <w:p>
            <w:pPr>
              <w:spacing w:after="0" w:line="240" w:lineRule="auto"/>
            </w:pPr>
            <w:r/>
            <w:r>
              <w:rPr>
                <w:b w:val="0"/>
                <w:sz w:val="15"/>
              </w:rPr>
              <w:t>output_final_mos</w:t>
            </w:r>
          </w:p>
        </w:tc>
        <w:tc>
          <w:tcPr>
            <w:tcW w:type="dxa" w:w="1506"/>
            <w:vAlign w:val="top"/>
          </w:tcPr>
          <w:p>
            <w:pPr>
              <w:spacing w:after="0" w:line="240" w:lineRule="auto"/>
            </w:pPr>
            <w:r/>
            <w:r>
              <w:rPr>
                <w:b w:val="0"/>
                <w:sz w:val="15"/>
              </w:rPr>
              <w:t>Final MOS</w:t>
            </w:r>
          </w:p>
        </w:tc>
        <w:tc>
          <w:tcPr>
            <w:tcW w:type="dxa" w:w="1506"/>
            <w:vAlign w:val="top"/>
          </w:tcPr>
          <w:p>
            <w:pPr>
              <w:spacing w:after="0" w:line="240" w:lineRule="auto"/>
            </w:pPr>
            <w:r/>
            <w:r>
              <w:rPr>
                <w:b w:val="0"/>
                <w:sz w:val="15"/>
              </w:rPr>
              <w:t>Decision Layer</w:t>
            </w:r>
          </w:p>
        </w:tc>
        <w:tc>
          <w:tcPr>
            <w:tcW w:type="dxa" w:w="1506"/>
            <w:vAlign w:val="top"/>
          </w:tcPr>
          <w:p>
            <w:pPr>
              <w:spacing w:after="0" w:line="240" w:lineRule="auto"/>
            </w:pPr>
            <w:r/>
            <w:r>
              <w:rPr>
                <w:b w:val="0"/>
                <w:sz w:val="15"/>
              </w:rPr>
              <w:t>Support</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Margin of Safety.</w:t>
            </w:r>
          </w:p>
        </w:tc>
      </w:tr>
      <w:tr>
        <w:tc>
          <w:tcPr>
            <w:tcW w:type="dxa" w:w="1506"/>
            <w:vAlign w:val="top"/>
          </w:tcPr>
          <w:p>
            <w:pPr>
              <w:spacing w:after="0" w:line="240" w:lineRule="auto"/>
            </w:pPr>
            <w:r/>
            <w:r>
              <w:rPr>
                <w:b w:val="0"/>
                <w:sz w:val="15"/>
              </w:rPr>
              <w:t>output_entry_price</w:t>
            </w:r>
          </w:p>
        </w:tc>
        <w:tc>
          <w:tcPr>
            <w:tcW w:type="dxa" w:w="1506"/>
            <w:vAlign w:val="top"/>
          </w:tcPr>
          <w:p>
            <w:pPr>
              <w:spacing w:after="0" w:line="240" w:lineRule="auto"/>
            </w:pPr>
            <w:r/>
            <w:r>
              <w:rPr>
                <w:b w:val="0"/>
                <w:sz w:val="15"/>
              </w:rPr>
              <w:t>Entry Price</w:t>
            </w:r>
          </w:p>
        </w:tc>
        <w:tc>
          <w:tcPr>
            <w:tcW w:type="dxa" w:w="1506"/>
            <w:vAlign w:val="top"/>
          </w:tcPr>
          <w:p>
            <w:pPr>
              <w:spacing w:after="0" w:line="240" w:lineRule="auto"/>
            </w:pPr>
            <w:r/>
            <w:r>
              <w:rPr>
                <w:b w:val="0"/>
                <w:sz w:val="15"/>
              </w:rPr>
              <w:t>Decision Layer</w:t>
            </w:r>
          </w:p>
        </w:tc>
        <w:tc>
          <w:tcPr>
            <w:tcW w:type="dxa" w:w="1506"/>
            <w:vAlign w:val="top"/>
          </w:tcPr>
          <w:p>
            <w:pPr>
              <w:spacing w:after="0" w:line="240" w:lineRule="auto"/>
            </w:pPr>
            <w:r/>
            <w:r>
              <w:rPr>
                <w:b w:val="0"/>
                <w:sz w:val="15"/>
              </w:rPr>
              <w:t>Decision</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Entry price.</w:t>
            </w:r>
          </w:p>
        </w:tc>
      </w:tr>
      <w:tr>
        <w:tc>
          <w:tcPr>
            <w:tcW w:type="dxa" w:w="1506"/>
            <w:vAlign w:val="top"/>
          </w:tcPr>
          <w:p>
            <w:pPr>
              <w:spacing w:after="0" w:line="240" w:lineRule="auto"/>
            </w:pPr>
            <w:r/>
            <w:r>
              <w:rPr>
                <w:b w:val="0"/>
                <w:sz w:val="15"/>
              </w:rPr>
              <w:t>output_decision_status</w:t>
            </w:r>
          </w:p>
        </w:tc>
        <w:tc>
          <w:tcPr>
            <w:tcW w:type="dxa" w:w="1506"/>
            <w:vAlign w:val="top"/>
          </w:tcPr>
          <w:p>
            <w:pPr>
              <w:spacing w:after="0" w:line="240" w:lineRule="auto"/>
            </w:pPr>
            <w:r/>
            <w:r>
              <w:rPr>
                <w:b w:val="0"/>
                <w:sz w:val="15"/>
              </w:rPr>
              <w:t>Decision Status</w:t>
            </w:r>
          </w:p>
        </w:tc>
        <w:tc>
          <w:tcPr>
            <w:tcW w:type="dxa" w:w="1506"/>
            <w:vAlign w:val="top"/>
          </w:tcPr>
          <w:p>
            <w:pPr>
              <w:spacing w:after="0" w:line="240" w:lineRule="auto"/>
            </w:pPr>
            <w:r/>
            <w:r>
              <w:rPr>
                <w:b w:val="0"/>
                <w:sz w:val="15"/>
              </w:rPr>
              <w:t>Decision Layer</w:t>
            </w:r>
          </w:p>
        </w:tc>
        <w:tc>
          <w:tcPr>
            <w:tcW w:type="dxa" w:w="1506"/>
            <w:vAlign w:val="top"/>
          </w:tcPr>
          <w:p>
            <w:pPr>
              <w:spacing w:after="0" w:line="240" w:lineRule="auto"/>
            </w:pPr>
            <w:r/>
            <w:r>
              <w:rPr>
                <w:b w:val="0"/>
                <w:sz w:val="15"/>
              </w:rPr>
              <w:t>Decision</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Practical decision status.</w:t>
            </w:r>
          </w:p>
        </w:tc>
      </w:tr>
      <w:tr>
        <w:tc>
          <w:tcPr>
            <w:tcW w:type="dxa" w:w="1506"/>
            <w:vAlign w:val="top"/>
          </w:tcPr>
          <w:p>
            <w:pPr>
              <w:spacing w:after="0" w:line="240" w:lineRule="auto"/>
            </w:pPr>
            <w:r/>
            <w:r>
              <w:rPr>
                <w:b w:val="0"/>
                <w:sz w:val="15"/>
              </w:rPr>
              <w:t>output_review_flag</w:t>
            </w:r>
          </w:p>
        </w:tc>
        <w:tc>
          <w:tcPr>
            <w:tcW w:type="dxa" w:w="1506"/>
            <w:vAlign w:val="top"/>
          </w:tcPr>
          <w:p>
            <w:pPr>
              <w:spacing w:after="0" w:line="240" w:lineRule="auto"/>
            </w:pPr>
            <w:r/>
            <w:r>
              <w:rPr>
                <w:b w:val="0"/>
                <w:sz w:val="15"/>
              </w:rPr>
              <w:t>Review Flag</w:t>
            </w:r>
          </w:p>
        </w:tc>
        <w:tc>
          <w:tcPr>
            <w:tcW w:type="dxa" w:w="1506"/>
            <w:vAlign w:val="top"/>
          </w:tcPr>
          <w:p>
            <w:pPr>
              <w:spacing w:after="0" w:line="240" w:lineRule="auto"/>
            </w:pPr>
            <w:r/>
            <w:r>
              <w:rPr>
                <w:b w:val="0"/>
                <w:sz w:val="15"/>
              </w:rPr>
              <w:t>Quality / Review Checks</w:t>
            </w:r>
          </w:p>
        </w:tc>
        <w:tc>
          <w:tcPr>
            <w:tcW w:type="dxa" w:w="1506"/>
            <w:vAlign w:val="top"/>
          </w:tcPr>
          <w:p>
            <w:pPr>
              <w:spacing w:after="0" w:line="240" w:lineRule="auto"/>
            </w:pPr>
            <w:r/>
            <w:r>
              <w:rPr>
                <w:b w:val="0"/>
                <w:sz w:val="15"/>
              </w:rPr>
              <w:t>Review</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Quality status.</w:t>
            </w:r>
          </w:p>
        </w:tc>
      </w:tr>
      <w:tr>
        <w:tc>
          <w:tcPr>
            <w:tcW w:type="dxa" w:w="1506"/>
            <w:vAlign w:val="top"/>
          </w:tcPr>
          <w:p>
            <w:pPr>
              <w:spacing w:after="0" w:line="240" w:lineRule="auto"/>
            </w:pPr>
            <w:r/>
            <w:r>
              <w:rPr>
                <w:b w:val="0"/>
                <w:sz w:val="15"/>
              </w:rPr>
              <w:t>output_status_note</w:t>
            </w:r>
          </w:p>
        </w:tc>
        <w:tc>
          <w:tcPr>
            <w:tcW w:type="dxa" w:w="1506"/>
            <w:vAlign w:val="top"/>
          </w:tcPr>
          <w:p>
            <w:pPr>
              <w:spacing w:after="0" w:line="240" w:lineRule="auto"/>
            </w:pPr>
            <w:r/>
            <w:r>
              <w:rPr>
                <w:b w:val="0"/>
                <w:sz w:val="15"/>
              </w:rPr>
              <w:t>Status Note</w:t>
            </w:r>
          </w:p>
        </w:tc>
        <w:tc>
          <w:tcPr>
            <w:tcW w:type="dxa" w:w="1506"/>
            <w:vAlign w:val="top"/>
          </w:tcPr>
          <w:p>
            <w:pPr>
              <w:spacing w:after="0" w:line="240" w:lineRule="auto"/>
            </w:pPr>
            <w:r/>
            <w:r>
              <w:rPr>
                <w:b w:val="0"/>
                <w:sz w:val="15"/>
              </w:rPr>
              <w:t>Quality / Review Checks</w:t>
            </w:r>
          </w:p>
        </w:tc>
        <w:tc>
          <w:tcPr>
            <w:tcW w:type="dxa" w:w="1506"/>
            <w:vAlign w:val="top"/>
          </w:tcPr>
          <w:p>
            <w:pPr>
              <w:spacing w:after="0" w:line="240" w:lineRule="auto"/>
            </w:pPr>
            <w:r/>
            <w:r>
              <w:rPr>
                <w:b w:val="0"/>
                <w:sz w:val="15"/>
              </w:rPr>
              <w:t>Review</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Short explanation.</w:t>
            </w:r>
          </w:p>
        </w:tc>
      </w:tr>
      <w:tr>
        <w:tc>
          <w:tcPr>
            <w:tcW w:type="dxa" w:w="1506"/>
            <w:vAlign w:val="top"/>
          </w:tcPr>
          <w:p>
            <w:pPr>
              <w:spacing w:after="0" w:line="240" w:lineRule="auto"/>
            </w:pPr>
            <w:r/>
            <w:r>
              <w:rPr>
                <w:b w:val="0"/>
                <w:sz w:val="15"/>
              </w:rPr>
              <w:t>output_open_sheet_link</w:t>
            </w:r>
          </w:p>
        </w:tc>
        <w:tc>
          <w:tcPr>
            <w:tcW w:type="dxa" w:w="1506"/>
            <w:vAlign w:val="top"/>
          </w:tcPr>
          <w:p>
            <w:pPr>
              <w:spacing w:after="0" w:line="240" w:lineRule="auto"/>
            </w:pPr>
            <w:r/>
            <w:r>
              <w:rPr>
                <w:b w:val="0"/>
                <w:sz w:val="15"/>
              </w:rPr>
              <w:t>Open Sheet</w:t>
            </w:r>
          </w:p>
        </w:tc>
        <w:tc>
          <w:tcPr>
            <w:tcW w:type="dxa" w:w="1506"/>
            <w:vAlign w:val="top"/>
          </w:tcPr>
          <w:p>
            <w:pPr>
              <w:spacing w:after="0" w:line="240" w:lineRule="auto"/>
            </w:pPr>
            <w:r/>
            <w:r>
              <w:rPr>
                <w:b w:val="0"/>
                <w:sz w:val="15"/>
              </w:rPr>
              <w:t>Navigation</w:t>
            </w:r>
          </w:p>
        </w:tc>
        <w:tc>
          <w:tcPr>
            <w:tcW w:type="dxa" w:w="1506"/>
            <w:vAlign w:val="top"/>
          </w:tcPr>
          <w:p>
            <w:pPr>
              <w:spacing w:after="0" w:line="240" w:lineRule="auto"/>
            </w:pPr>
            <w:r/>
            <w:r>
              <w:rPr>
                <w:b w:val="0"/>
                <w:sz w:val="15"/>
              </w:rPr>
              <w:t>Navigation</w:t>
            </w:r>
          </w:p>
        </w:tc>
        <w:tc>
          <w:tcPr>
            <w:tcW w:type="dxa" w:w="1506"/>
            <w:vAlign w:val="top"/>
          </w:tcPr>
          <w:p>
            <w:pPr>
              <w:spacing w:after="0" w:line="240" w:lineRule="auto"/>
            </w:pPr>
            <w:r/>
            <w:r>
              <w:rPr>
                <w:b w:val="0"/>
                <w:sz w:val="15"/>
              </w:rPr>
              <w:t>YES</w:t>
            </w:r>
          </w:p>
        </w:tc>
        <w:tc>
          <w:tcPr>
            <w:tcW w:type="dxa" w:w="1506"/>
            <w:vAlign w:val="top"/>
          </w:tcPr>
          <w:p>
            <w:pPr>
              <w:spacing w:after="0" w:line="240" w:lineRule="auto"/>
            </w:pPr>
            <w:r/>
            <w:r>
              <w:rPr>
                <w:b w:val="0"/>
                <w:sz w:val="15"/>
              </w:rPr>
              <w:t>NO</w:t>
            </w:r>
          </w:p>
        </w:tc>
        <w:tc>
          <w:tcPr>
            <w:tcW w:type="dxa" w:w="1506"/>
            <w:vAlign w:val="top"/>
          </w:tcPr>
          <w:p>
            <w:pPr>
              <w:spacing w:after="0" w:line="240" w:lineRule="auto"/>
            </w:pPr>
            <w:r/>
            <w:r>
              <w:rPr>
                <w:b w:val="0"/>
                <w:sz w:val="15"/>
              </w:rPr>
              <w:t>Link to company sheet.</w:t>
            </w:r>
          </w:p>
        </w:tc>
      </w:tr>
    </w:tbl>
    <w:p/>
    <w:p>
      <w:pPr>
        <w:pStyle w:val="Heading1"/>
      </w:pPr>
      <w:r>
        <w:t>36. Documentation / Notes</w:t>
      </w:r>
    </w:p>
    <w:p>
      <w:r>
        <w:t>Documentation / Notes should explain the model, source documents, source links, version log, user notes and build notes. It should include user-facing explanations of valuation flow, manual inputs, engine outputs, review flags and dashboard outputs. It should not become a valuation engine.</w:t>
      </w:r>
    </w:p>
    <w:p>
      <w:pPr>
        <w:pStyle w:val="Heading1"/>
      </w:pPr>
      <w:r>
        <w:t>37. Calibration, Testing &amp; Refinement</w:t>
      </w:r>
    </w:p>
    <w:p>
      <w:r>
        <w:t>Calibration begins after the full base template exists. Calibration should use real company sheets created from the standard template, not pilot/test/shadow architecture. Changes during calibration must preserve the Master Specification valuation chain and must be logged and retested.</w:t>
      </w:r>
    </w:p>
    <w:p>
      <w:pPr>
        <w:pStyle w:val="TableTitle"/>
      </w:pPr>
      <w:r>
        <w:rPr>
          <w:b/>
        </w:rPr>
        <w:t>Table - Required Test Case Suite</w:t>
      </w:r>
    </w:p>
    <w:tbl>
      <w:tblPr>
        <w:tblStyle w:val="TableGrid"/>
        <w:tblW w:type="auto" w:w="0"/>
        <w:jc w:val="center"/>
        <w:tblLayout w:type="autofit"/>
        <w:tblLook w:firstColumn="1" w:firstRow="1" w:lastColumn="0" w:lastRow="0" w:noHBand="0" w:noVBand="1" w:val="04A0"/>
      </w:tblPr>
      <w:tblGrid>
        <w:gridCol w:w="2635"/>
        <w:gridCol w:w="2635"/>
        <w:gridCol w:w="2635"/>
        <w:gridCol w:w="2635"/>
      </w:tblGrid>
      <w:tr>
        <w:tc>
          <w:tcPr>
            <w:tcW w:type="dxa" w:w="2635"/>
            <w:vAlign w:val="top"/>
            <w:shd w:fill="D9EAF7"/>
          </w:tcPr>
          <w:p>
            <w:pPr>
              <w:spacing w:after="0" w:line="240" w:lineRule="auto"/>
            </w:pPr>
            <w:r/>
            <w:r>
              <w:rPr>
                <w:b/>
                <w:sz w:val="16"/>
              </w:rPr>
              <w:t>Case ID</w:t>
            </w:r>
          </w:p>
        </w:tc>
        <w:tc>
          <w:tcPr>
            <w:tcW w:type="dxa" w:w="2635"/>
            <w:vAlign w:val="top"/>
            <w:shd w:fill="D9EAF7"/>
          </w:tcPr>
          <w:p>
            <w:pPr>
              <w:spacing w:after="0" w:line="240" w:lineRule="auto"/>
            </w:pPr>
            <w:r/>
            <w:r>
              <w:rPr>
                <w:b/>
                <w:sz w:val="16"/>
              </w:rPr>
              <w:t>Case Type</w:t>
            </w:r>
          </w:p>
        </w:tc>
        <w:tc>
          <w:tcPr>
            <w:tcW w:type="dxa" w:w="2635"/>
            <w:vAlign w:val="top"/>
            <w:shd w:fill="D9EAF7"/>
          </w:tcPr>
          <w:p>
            <w:pPr>
              <w:spacing w:after="0" w:line="240" w:lineRule="auto"/>
            </w:pPr>
            <w:r/>
            <w:r>
              <w:rPr>
                <w:b/>
                <w:sz w:val="16"/>
              </w:rPr>
              <w:t>Recommended Company / Input</w:t>
            </w:r>
          </w:p>
        </w:tc>
        <w:tc>
          <w:tcPr>
            <w:tcW w:type="dxa" w:w="2635"/>
            <w:vAlign w:val="top"/>
            <w:shd w:fill="D9EAF7"/>
          </w:tcPr>
          <w:p>
            <w:pPr>
              <w:spacing w:after="0" w:line="240" w:lineRule="auto"/>
            </w:pPr>
            <w:r/>
            <w:r>
              <w:rPr>
                <w:b/>
                <w:sz w:val="16"/>
              </w:rPr>
              <w:t>Purpose</w:t>
            </w:r>
          </w:p>
        </w:tc>
      </w:tr>
      <w:tr>
        <w:tc>
          <w:tcPr>
            <w:tcW w:type="dxa" w:w="2635"/>
            <w:vAlign w:val="top"/>
          </w:tcPr>
          <w:p>
            <w:pPr>
              <w:spacing w:after="0" w:line="240" w:lineRule="auto"/>
            </w:pPr>
            <w:r/>
            <w:r>
              <w:rPr>
                <w:b w:val="0"/>
                <w:sz w:val="15"/>
              </w:rPr>
              <w:t>TC-01</w:t>
            </w:r>
          </w:p>
        </w:tc>
        <w:tc>
          <w:tcPr>
            <w:tcW w:type="dxa" w:w="2635"/>
            <w:vAlign w:val="top"/>
          </w:tcPr>
          <w:p>
            <w:pPr>
              <w:spacing w:after="0" w:line="240" w:lineRule="auto"/>
            </w:pPr>
            <w:r/>
            <w:r>
              <w:rPr>
                <w:b w:val="0"/>
                <w:sz w:val="15"/>
              </w:rPr>
              <w:t>Mature US operating company</w:t>
            </w:r>
          </w:p>
        </w:tc>
        <w:tc>
          <w:tcPr>
            <w:tcW w:type="dxa" w:w="2635"/>
            <w:vAlign w:val="top"/>
          </w:tcPr>
          <w:p>
            <w:pPr>
              <w:spacing w:after="0" w:line="240" w:lineRule="auto"/>
            </w:pPr>
            <w:r/>
            <w:r>
              <w:rPr>
                <w:b w:val="0"/>
                <w:sz w:val="15"/>
              </w:rPr>
              <w:t>NASDAQ:MSFT</w:t>
            </w:r>
          </w:p>
        </w:tc>
        <w:tc>
          <w:tcPr>
            <w:tcW w:type="dxa" w:w="2635"/>
            <w:vAlign w:val="top"/>
          </w:tcPr>
          <w:p>
            <w:pPr>
              <w:spacing w:after="0" w:line="240" w:lineRule="auto"/>
            </w:pPr>
            <w:r/>
            <w:r>
              <w:rPr>
                <w:b w:val="0"/>
                <w:sz w:val="15"/>
              </w:rPr>
              <w:t>Core USD FCFF/WACC chain, software benchmark and Dashboard.</w:t>
            </w:r>
          </w:p>
        </w:tc>
      </w:tr>
      <w:tr>
        <w:tc>
          <w:tcPr>
            <w:tcW w:type="dxa" w:w="2635"/>
            <w:vAlign w:val="top"/>
          </w:tcPr>
          <w:p>
            <w:pPr>
              <w:spacing w:after="0" w:line="240" w:lineRule="auto"/>
            </w:pPr>
            <w:r/>
            <w:r>
              <w:rPr>
                <w:b w:val="0"/>
                <w:sz w:val="15"/>
              </w:rPr>
              <w:t>TC-02</w:t>
            </w:r>
          </w:p>
        </w:tc>
        <w:tc>
          <w:tcPr>
            <w:tcW w:type="dxa" w:w="2635"/>
            <w:vAlign w:val="top"/>
          </w:tcPr>
          <w:p>
            <w:pPr>
              <w:spacing w:after="0" w:line="240" w:lineRule="auto"/>
            </w:pPr>
            <w:r/>
            <w:r>
              <w:rPr>
                <w:b w:val="0"/>
                <w:sz w:val="15"/>
              </w:rPr>
              <w:t>Non-US / SEK operating company</w:t>
            </w:r>
          </w:p>
        </w:tc>
        <w:tc>
          <w:tcPr>
            <w:tcW w:type="dxa" w:w="2635"/>
            <w:vAlign w:val="top"/>
          </w:tcPr>
          <w:p>
            <w:pPr>
              <w:spacing w:after="0" w:line="240" w:lineRule="auto"/>
            </w:pPr>
            <w:r/>
            <w:r>
              <w:rPr>
                <w:b w:val="0"/>
                <w:sz w:val="15"/>
              </w:rPr>
              <w:t>STO:VOLV-B</w:t>
            </w:r>
          </w:p>
        </w:tc>
        <w:tc>
          <w:tcPr>
            <w:tcW w:type="dxa" w:w="2635"/>
            <w:vAlign w:val="top"/>
          </w:tcPr>
          <w:p>
            <w:pPr>
              <w:spacing w:after="0" w:line="240" w:lineRule="auto"/>
            </w:pPr>
            <w:r/>
            <w:r>
              <w:rPr>
                <w:b w:val="0"/>
                <w:sz w:val="15"/>
              </w:rPr>
              <w:t>SEK riskfree, FX awareness, cyclical/industrial benchmark.</w:t>
            </w:r>
          </w:p>
        </w:tc>
      </w:tr>
      <w:tr>
        <w:tc>
          <w:tcPr>
            <w:tcW w:type="dxa" w:w="2635"/>
            <w:vAlign w:val="top"/>
          </w:tcPr>
          <w:p>
            <w:pPr>
              <w:spacing w:after="0" w:line="240" w:lineRule="auto"/>
            </w:pPr>
            <w:r/>
            <w:r>
              <w:rPr>
                <w:b w:val="0"/>
                <w:sz w:val="15"/>
              </w:rPr>
              <w:t>TC-03</w:t>
            </w:r>
          </w:p>
        </w:tc>
        <w:tc>
          <w:tcPr>
            <w:tcW w:type="dxa" w:w="2635"/>
            <w:vAlign w:val="top"/>
          </w:tcPr>
          <w:p>
            <w:pPr>
              <w:spacing w:after="0" w:line="240" w:lineRule="auto"/>
            </w:pPr>
            <w:r/>
            <w:r>
              <w:rPr>
                <w:b w:val="0"/>
                <w:sz w:val="15"/>
              </w:rPr>
              <w:t>FX mismatch case</w:t>
            </w:r>
          </w:p>
        </w:tc>
        <w:tc>
          <w:tcPr>
            <w:tcW w:type="dxa" w:w="2635"/>
            <w:vAlign w:val="top"/>
          </w:tcPr>
          <w:p>
            <w:pPr>
              <w:spacing w:after="0" w:line="240" w:lineRule="auto"/>
            </w:pPr>
            <w:r/>
            <w:r>
              <w:rPr>
                <w:b w:val="0"/>
                <w:sz w:val="15"/>
              </w:rPr>
              <w:t>Company with reporting, valuation and trading currencies not all equal</w:t>
            </w:r>
          </w:p>
        </w:tc>
        <w:tc>
          <w:tcPr>
            <w:tcW w:type="dxa" w:w="2635"/>
            <w:vAlign w:val="top"/>
          </w:tcPr>
          <w:p>
            <w:pPr>
              <w:spacing w:after="0" w:line="240" w:lineRule="auto"/>
            </w:pPr>
            <w:r/>
            <w:r>
              <w:rPr>
                <w:b w:val="0"/>
                <w:sz w:val="15"/>
              </w:rPr>
              <w:t>Confirm price FX and currency review.</w:t>
            </w:r>
          </w:p>
        </w:tc>
      </w:tr>
      <w:tr>
        <w:tc>
          <w:tcPr>
            <w:tcW w:type="dxa" w:w="2635"/>
            <w:vAlign w:val="top"/>
          </w:tcPr>
          <w:p>
            <w:pPr>
              <w:spacing w:after="0" w:line="240" w:lineRule="auto"/>
            </w:pPr>
            <w:r/>
            <w:r>
              <w:rPr>
                <w:b w:val="0"/>
                <w:sz w:val="15"/>
              </w:rPr>
              <w:t>TC-04</w:t>
            </w:r>
          </w:p>
        </w:tc>
        <w:tc>
          <w:tcPr>
            <w:tcW w:type="dxa" w:w="2635"/>
            <w:vAlign w:val="top"/>
          </w:tcPr>
          <w:p>
            <w:pPr>
              <w:spacing w:after="0" w:line="240" w:lineRule="auto"/>
            </w:pPr>
            <w:r/>
            <w:r>
              <w:rPr>
                <w:b w:val="0"/>
                <w:sz w:val="15"/>
              </w:rPr>
              <w:t>Negative EBIT / turnaround</w:t>
            </w:r>
          </w:p>
        </w:tc>
        <w:tc>
          <w:tcPr>
            <w:tcW w:type="dxa" w:w="2635"/>
            <w:vAlign w:val="top"/>
          </w:tcPr>
          <w:p>
            <w:pPr>
              <w:spacing w:after="0" w:line="240" w:lineRule="auto"/>
            </w:pPr>
            <w:r/>
            <w:r>
              <w:rPr>
                <w:b w:val="0"/>
                <w:sz w:val="15"/>
              </w:rPr>
              <w:t>Real company selected later</w:t>
            </w:r>
          </w:p>
        </w:tc>
        <w:tc>
          <w:tcPr>
            <w:tcW w:type="dxa" w:w="2635"/>
            <w:vAlign w:val="top"/>
          </w:tcPr>
          <w:p>
            <w:pPr>
              <w:spacing w:after="0" w:line="240" w:lineRule="auto"/>
            </w:pPr>
            <w:r/>
            <w:r>
              <w:rPr>
                <w:b w:val="0"/>
                <w:sz w:val="15"/>
              </w:rPr>
              <w:t>Check stage selection and terminal readiness.</w:t>
            </w:r>
          </w:p>
        </w:tc>
      </w:tr>
      <w:tr>
        <w:tc>
          <w:tcPr>
            <w:tcW w:type="dxa" w:w="2635"/>
            <w:vAlign w:val="top"/>
          </w:tcPr>
          <w:p>
            <w:pPr>
              <w:spacing w:after="0" w:line="240" w:lineRule="auto"/>
            </w:pPr>
            <w:r/>
            <w:r>
              <w:rPr>
                <w:b w:val="0"/>
                <w:sz w:val="15"/>
              </w:rPr>
              <w:t>TC-05</w:t>
            </w:r>
          </w:p>
        </w:tc>
        <w:tc>
          <w:tcPr>
            <w:tcW w:type="dxa" w:w="2635"/>
            <w:vAlign w:val="top"/>
          </w:tcPr>
          <w:p>
            <w:pPr>
              <w:spacing w:after="0" w:line="240" w:lineRule="auto"/>
            </w:pPr>
            <w:r/>
            <w:r>
              <w:rPr>
                <w:b w:val="0"/>
                <w:sz w:val="15"/>
              </w:rPr>
              <w:t>Cyclical / commodity / asset-heavy</w:t>
            </w:r>
          </w:p>
        </w:tc>
        <w:tc>
          <w:tcPr>
            <w:tcW w:type="dxa" w:w="2635"/>
            <w:vAlign w:val="top"/>
          </w:tcPr>
          <w:p>
            <w:pPr>
              <w:spacing w:after="0" w:line="240" w:lineRule="auto"/>
            </w:pPr>
            <w:r/>
            <w:r>
              <w:rPr>
                <w:b w:val="0"/>
                <w:sz w:val="15"/>
              </w:rPr>
              <w:t>Volvo or another case if needed</w:t>
            </w:r>
          </w:p>
        </w:tc>
        <w:tc>
          <w:tcPr>
            <w:tcW w:type="dxa" w:w="2635"/>
            <w:vAlign w:val="top"/>
          </w:tcPr>
          <w:p>
            <w:pPr>
              <w:spacing w:after="0" w:line="240" w:lineRule="auto"/>
            </w:pPr>
            <w:r/>
            <w:r>
              <w:rPr>
                <w:b w:val="0"/>
                <w:sz w:val="15"/>
              </w:rPr>
              <w:t>Check extended history, mid-cycle logic and terminal discipline.</w:t>
            </w:r>
          </w:p>
        </w:tc>
      </w:tr>
      <w:tr>
        <w:tc>
          <w:tcPr>
            <w:tcW w:type="dxa" w:w="2635"/>
            <w:vAlign w:val="top"/>
          </w:tcPr>
          <w:p>
            <w:pPr>
              <w:spacing w:after="0" w:line="240" w:lineRule="auto"/>
            </w:pPr>
            <w:r/>
            <w:r>
              <w:rPr>
                <w:b w:val="0"/>
                <w:sz w:val="15"/>
              </w:rPr>
              <w:t>TC-06</w:t>
            </w:r>
          </w:p>
        </w:tc>
        <w:tc>
          <w:tcPr>
            <w:tcW w:type="dxa" w:w="2635"/>
            <w:vAlign w:val="top"/>
          </w:tcPr>
          <w:p>
            <w:pPr>
              <w:spacing w:after="0" w:line="240" w:lineRule="auto"/>
            </w:pPr>
            <w:r/>
            <w:r>
              <w:rPr>
                <w:b w:val="0"/>
                <w:sz w:val="15"/>
              </w:rPr>
              <w:t>Stable Growth &gt;= Stable WACC blocker</w:t>
            </w:r>
          </w:p>
        </w:tc>
        <w:tc>
          <w:tcPr>
            <w:tcW w:type="dxa" w:w="2635"/>
            <w:vAlign w:val="top"/>
          </w:tcPr>
          <w:p>
            <w:pPr>
              <w:spacing w:after="0" w:line="240" w:lineRule="auto"/>
            </w:pPr>
            <w:r/>
            <w:r>
              <w:rPr>
                <w:b w:val="0"/>
                <w:sz w:val="15"/>
              </w:rPr>
              <w:t>Controlled test inside company sheet</w:t>
            </w:r>
          </w:p>
        </w:tc>
        <w:tc>
          <w:tcPr>
            <w:tcW w:type="dxa" w:w="2635"/>
            <w:vAlign w:val="top"/>
          </w:tcPr>
          <w:p>
            <w:pPr>
              <w:spacing w:after="0" w:line="240" w:lineRule="auto"/>
            </w:pPr>
            <w:r/>
            <w:r>
              <w:rPr>
                <w:b w:val="0"/>
                <w:sz w:val="15"/>
              </w:rPr>
              <w:t>Confirm terminal blocker.</w:t>
            </w:r>
          </w:p>
        </w:tc>
      </w:tr>
      <w:tr>
        <w:tc>
          <w:tcPr>
            <w:tcW w:type="dxa" w:w="2635"/>
            <w:vAlign w:val="top"/>
          </w:tcPr>
          <w:p>
            <w:pPr>
              <w:spacing w:after="0" w:line="240" w:lineRule="auto"/>
            </w:pPr>
            <w:r/>
            <w:r>
              <w:rPr>
                <w:b w:val="0"/>
                <w:sz w:val="15"/>
              </w:rPr>
              <w:t>TC-07</w:t>
            </w:r>
          </w:p>
        </w:tc>
        <w:tc>
          <w:tcPr>
            <w:tcW w:type="dxa" w:w="2635"/>
            <w:vAlign w:val="top"/>
          </w:tcPr>
          <w:p>
            <w:pPr>
              <w:spacing w:after="0" w:line="240" w:lineRule="auto"/>
            </w:pPr>
            <w:r/>
            <w:r>
              <w:rPr>
                <w:b w:val="0"/>
                <w:sz w:val="15"/>
              </w:rPr>
              <w:t>Financial/RE excluded case</w:t>
            </w:r>
          </w:p>
        </w:tc>
        <w:tc>
          <w:tcPr>
            <w:tcW w:type="dxa" w:w="2635"/>
            <w:vAlign w:val="top"/>
          </w:tcPr>
          <w:p>
            <w:pPr>
              <w:spacing w:after="0" w:line="240" w:lineRule="auto"/>
            </w:pPr>
            <w:r/>
            <w:r>
              <w:rPr>
                <w:b w:val="0"/>
                <w:sz w:val="15"/>
              </w:rPr>
              <w:t>Finance/Insurance or REIT ticker if needed</w:t>
            </w:r>
          </w:p>
        </w:tc>
        <w:tc>
          <w:tcPr>
            <w:tcW w:type="dxa" w:w="2635"/>
            <w:vAlign w:val="top"/>
          </w:tcPr>
          <w:p>
            <w:pPr>
              <w:spacing w:after="0" w:line="240" w:lineRule="auto"/>
            </w:pPr>
            <w:r/>
            <w:r>
              <w:rPr>
                <w:b w:val="0"/>
                <w:sz w:val="15"/>
              </w:rPr>
              <w:t>Confirm scope exclusion.</w:t>
            </w:r>
          </w:p>
        </w:tc>
      </w:tr>
    </w:tbl>
    <w:p/>
    <w:p>
      <w:pPr>
        <w:pStyle w:val="Heading1"/>
      </w:pPr>
      <w:r>
        <w:t>38. Build Roadmap</w:t>
      </w:r>
    </w:p>
    <w:p>
      <w:r>
        <w:t>Build Specification should be created separately and should translate this Master Specification into exact Apps Script phases, tables, ranges, formulas, validations and acceptance criteria. Build phases can be stepwise, but the final base template must include central system/reference sheets and engines before calibration.</w:t>
      </w:r>
    </w:p>
    <w:p>
      <w:pPr>
        <w:pStyle w:val="TableTitle"/>
      </w:pPr>
      <w:r>
        <w:rPr>
          <w:b/>
        </w:rPr>
        <w:t>Table - High-Level Build Roadmap</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vAlign w:val="top"/>
            <w:shd w:fill="D9EAF7"/>
          </w:tcPr>
          <w:p>
            <w:pPr>
              <w:spacing w:after="0" w:line="240" w:lineRule="auto"/>
            </w:pPr>
            <w:r/>
            <w:r>
              <w:rPr>
                <w:b/>
                <w:sz w:val="16"/>
              </w:rPr>
              <w:t>Build area</w:t>
            </w:r>
          </w:p>
        </w:tc>
        <w:tc>
          <w:tcPr>
            <w:tcW w:type="dxa" w:w="5270"/>
            <w:vAlign w:val="top"/>
            <w:shd w:fill="D9EAF7"/>
          </w:tcPr>
          <w:p>
            <w:pPr>
              <w:spacing w:after="0" w:line="240" w:lineRule="auto"/>
            </w:pPr>
            <w:r/>
            <w:r>
              <w:rPr>
                <w:b/>
                <w:sz w:val="16"/>
              </w:rPr>
              <w:t>Goal</w:t>
            </w:r>
          </w:p>
        </w:tc>
      </w:tr>
      <w:tr>
        <w:tc>
          <w:tcPr>
            <w:tcW w:type="dxa" w:w="5270"/>
            <w:vAlign w:val="top"/>
          </w:tcPr>
          <w:p>
            <w:pPr>
              <w:spacing w:after="0" w:line="240" w:lineRule="auto"/>
            </w:pPr>
            <w:r/>
            <w:r>
              <w:rPr>
                <w:b w:val="0"/>
                <w:sz w:val="15"/>
              </w:rPr>
              <w:t>Workbook foundation</w:t>
            </w:r>
          </w:p>
        </w:tc>
        <w:tc>
          <w:tcPr>
            <w:tcW w:type="dxa" w:w="5270"/>
            <w:vAlign w:val="top"/>
          </w:tcPr>
          <w:p>
            <w:pPr>
              <w:spacing w:after="0" w:line="240" w:lineRule="auto"/>
            </w:pPr>
            <w:r/>
            <w:r>
              <w:rPr>
                <w:b w:val="0"/>
                <w:sz w:val="15"/>
              </w:rPr>
              <w:t>Settings, Dashboard Config, Script Log and Documentation / Notes.</w:t>
            </w:r>
          </w:p>
        </w:tc>
      </w:tr>
      <w:tr>
        <w:tc>
          <w:tcPr>
            <w:tcW w:type="dxa" w:w="5270"/>
            <w:vAlign w:val="top"/>
          </w:tcPr>
          <w:p>
            <w:pPr>
              <w:spacing w:after="0" w:line="240" w:lineRule="auto"/>
            </w:pPr>
            <w:r/>
            <w:r>
              <w:rPr>
                <w:b w:val="0"/>
                <w:sz w:val="15"/>
              </w:rPr>
              <w:t>Template base sheet</w:t>
            </w:r>
          </w:p>
        </w:tc>
        <w:tc>
          <w:tcPr>
            <w:tcW w:type="dxa" w:w="5270"/>
            <w:vAlign w:val="top"/>
          </w:tcPr>
          <w:p>
            <w:pPr>
              <w:spacing w:after="0" w:line="240" w:lineRule="auto"/>
            </w:pPr>
            <w:r/>
            <w:r>
              <w:rPr>
                <w:b w:val="0"/>
                <w:sz w:val="15"/>
              </w:rPr>
              <w:t>Operating Co Template layout and structural sections.</w:t>
            </w:r>
          </w:p>
        </w:tc>
      </w:tr>
      <w:tr>
        <w:tc>
          <w:tcPr>
            <w:tcW w:type="dxa" w:w="5270"/>
            <w:vAlign w:val="top"/>
          </w:tcPr>
          <w:p>
            <w:pPr>
              <w:spacing w:after="0" w:line="240" w:lineRule="auto"/>
            </w:pPr>
            <w:r/>
            <w:r>
              <w:rPr>
                <w:b w:val="0"/>
                <w:sz w:val="15"/>
              </w:rPr>
              <w:t>Company creation</w:t>
            </w:r>
          </w:p>
        </w:tc>
        <w:tc>
          <w:tcPr>
            <w:tcW w:type="dxa" w:w="5270"/>
            <w:vAlign w:val="top"/>
          </w:tcPr>
          <w:p>
            <w:pPr>
              <w:spacing w:after="0" w:line="240" w:lineRule="auto"/>
            </w:pPr>
            <w:r/>
            <w:r>
              <w:rPr>
                <w:b w:val="0"/>
                <w:sz w:val="15"/>
              </w:rPr>
              <w:t>Full Ticker, Clean Ticker, Exchange and company sheet creation.</w:t>
            </w:r>
          </w:p>
        </w:tc>
      </w:tr>
      <w:tr>
        <w:tc>
          <w:tcPr>
            <w:tcW w:type="dxa" w:w="5270"/>
            <w:vAlign w:val="top"/>
          </w:tcPr>
          <w:p>
            <w:pPr>
              <w:spacing w:after="0" w:line="240" w:lineRule="auto"/>
            </w:pPr>
            <w:r/>
            <w:r>
              <w:rPr>
                <w:b w:val="0"/>
                <w:sz w:val="15"/>
              </w:rPr>
              <w:t>Manual inputs</w:t>
            </w:r>
          </w:p>
        </w:tc>
        <w:tc>
          <w:tcPr>
            <w:tcW w:type="dxa" w:w="5270"/>
            <w:vAlign w:val="top"/>
          </w:tcPr>
          <w:p>
            <w:pPr>
              <w:spacing w:after="0" w:line="240" w:lineRule="auto"/>
            </w:pPr>
            <w:r/>
            <w:r>
              <w:rPr>
                <w:b w:val="0"/>
                <w:sz w:val="15"/>
              </w:rPr>
              <w:t>Input areas, validations and source notes.</w:t>
            </w:r>
          </w:p>
        </w:tc>
      </w:tr>
      <w:tr>
        <w:tc>
          <w:tcPr>
            <w:tcW w:type="dxa" w:w="5270"/>
            <w:vAlign w:val="top"/>
          </w:tcPr>
          <w:p>
            <w:pPr>
              <w:spacing w:after="0" w:line="240" w:lineRule="auto"/>
            </w:pPr>
            <w:r/>
            <w:r>
              <w:rPr>
                <w:b w:val="0"/>
                <w:sz w:val="15"/>
              </w:rPr>
              <w:t>Historical Data</w:t>
            </w:r>
          </w:p>
        </w:tc>
        <w:tc>
          <w:tcPr>
            <w:tcW w:type="dxa" w:w="5270"/>
            <w:vAlign w:val="top"/>
          </w:tcPr>
          <w:p>
            <w:pPr>
              <w:spacing w:after="0" w:line="240" w:lineRule="auto"/>
            </w:pPr>
            <w:r/>
            <w:r>
              <w:rPr>
                <w:b w:val="0"/>
                <w:sz w:val="15"/>
              </w:rPr>
              <w:t>Historical engine and base-year support.</w:t>
            </w:r>
          </w:p>
        </w:tc>
      </w:tr>
      <w:tr>
        <w:tc>
          <w:tcPr>
            <w:tcW w:type="dxa" w:w="5270"/>
            <w:vAlign w:val="top"/>
          </w:tcPr>
          <w:p>
            <w:pPr>
              <w:spacing w:after="0" w:line="240" w:lineRule="auto"/>
            </w:pPr>
            <w:r/>
            <w:r>
              <w:rPr>
                <w:b w:val="0"/>
                <w:sz w:val="15"/>
              </w:rPr>
              <w:t>System data</w:t>
            </w:r>
          </w:p>
        </w:tc>
        <w:tc>
          <w:tcPr>
            <w:tcW w:type="dxa" w:w="5270"/>
            <w:vAlign w:val="top"/>
          </w:tcPr>
          <w:p>
            <w:pPr>
              <w:spacing w:after="0" w:line="240" w:lineRule="auto"/>
            </w:pPr>
            <w:r/>
            <w:r>
              <w:rPr>
                <w:b w:val="0"/>
                <w:sz w:val="15"/>
              </w:rPr>
              <w:t>Riskfree Rates, FX Rates, Country Risk / ERP and Damodaran Data.</w:t>
            </w:r>
          </w:p>
        </w:tc>
      </w:tr>
      <w:tr>
        <w:tc>
          <w:tcPr>
            <w:tcW w:type="dxa" w:w="5270"/>
            <w:vAlign w:val="top"/>
          </w:tcPr>
          <w:p>
            <w:pPr>
              <w:spacing w:after="0" w:line="240" w:lineRule="auto"/>
            </w:pPr>
            <w:r/>
            <w:r>
              <w:rPr>
                <w:b w:val="0"/>
                <w:sz w:val="15"/>
              </w:rPr>
              <w:t>Industry Benchmark Config</w:t>
            </w:r>
          </w:p>
        </w:tc>
        <w:tc>
          <w:tcPr>
            <w:tcW w:type="dxa" w:w="5270"/>
            <w:vAlign w:val="top"/>
          </w:tcPr>
          <w:p>
            <w:pPr>
              <w:spacing w:after="0" w:line="240" w:lineRule="auto"/>
            </w:pPr>
            <w:r/>
            <w:r>
              <w:rPr>
                <w:b w:val="0"/>
                <w:sz w:val="15"/>
              </w:rPr>
              <w:t>Benchmark-first industry config and display mapping.</w:t>
            </w:r>
          </w:p>
        </w:tc>
      </w:tr>
      <w:tr>
        <w:tc>
          <w:tcPr>
            <w:tcW w:type="dxa" w:w="5270"/>
            <w:vAlign w:val="top"/>
          </w:tcPr>
          <w:p>
            <w:pPr>
              <w:spacing w:after="0" w:line="240" w:lineRule="auto"/>
            </w:pPr>
            <w:r/>
            <w:r>
              <w:rPr>
                <w:b w:val="0"/>
                <w:sz w:val="15"/>
              </w:rPr>
              <w:t>Beta Engine</w:t>
            </w:r>
          </w:p>
        </w:tc>
        <w:tc>
          <w:tcPr>
            <w:tcW w:type="dxa" w:w="5270"/>
            <w:vAlign w:val="top"/>
          </w:tcPr>
          <w:p>
            <w:pPr>
              <w:spacing w:after="0" w:line="240" w:lineRule="auto"/>
            </w:pPr>
            <w:r/>
            <w:r>
              <w:rPr>
                <w:b w:val="0"/>
                <w:sz w:val="15"/>
              </w:rPr>
              <w:t>Selected current/stable beta support.</w:t>
            </w:r>
          </w:p>
        </w:tc>
      </w:tr>
      <w:tr>
        <w:tc>
          <w:tcPr>
            <w:tcW w:type="dxa" w:w="5270"/>
            <w:vAlign w:val="top"/>
          </w:tcPr>
          <w:p>
            <w:pPr>
              <w:spacing w:after="0" w:line="240" w:lineRule="auto"/>
            </w:pPr>
            <w:r/>
            <w:r>
              <w:rPr>
                <w:b w:val="0"/>
                <w:sz w:val="15"/>
              </w:rPr>
              <w:t>Forecast &amp; Fade Rules and Engine</w:t>
            </w:r>
          </w:p>
        </w:tc>
        <w:tc>
          <w:tcPr>
            <w:tcW w:type="dxa" w:w="5270"/>
            <w:vAlign w:val="top"/>
          </w:tcPr>
          <w:p>
            <w:pPr>
              <w:spacing w:after="0" w:line="240" w:lineRule="auto"/>
            </w:pPr>
            <w:r/>
            <w:r>
              <w:rPr>
                <w:b w:val="0"/>
                <w:sz w:val="15"/>
              </w:rPr>
              <w:t>Anchor/fade/stable-state logic.</w:t>
            </w:r>
          </w:p>
        </w:tc>
      </w:tr>
      <w:tr>
        <w:tc>
          <w:tcPr>
            <w:tcW w:type="dxa" w:w="5270"/>
            <w:vAlign w:val="top"/>
          </w:tcPr>
          <w:p>
            <w:pPr>
              <w:spacing w:after="0" w:line="240" w:lineRule="auto"/>
            </w:pPr>
            <w:r/>
            <w:r>
              <w:rPr>
                <w:b w:val="0"/>
                <w:sz w:val="15"/>
              </w:rPr>
              <w:t>FCFF / WACC / Terminal / Bridge</w:t>
            </w:r>
          </w:p>
        </w:tc>
        <w:tc>
          <w:tcPr>
            <w:tcW w:type="dxa" w:w="5270"/>
            <w:vAlign w:val="top"/>
          </w:tcPr>
          <w:p>
            <w:pPr>
              <w:spacing w:after="0" w:line="240" w:lineRule="auto"/>
            </w:pPr>
            <w:r/>
            <w:r>
              <w:rPr>
                <w:b w:val="0"/>
                <w:sz w:val="15"/>
              </w:rPr>
              <w:t>Official valuation chain.</w:t>
            </w:r>
          </w:p>
        </w:tc>
      </w:tr>
      <w:tr>
        <w:tc>
          <w:tcPr>
            <w:tcW w:type="dxa" w:w="5270"/>
            <w:vAlign w:val="top"/>
          </w:tcPr>
          <w:p>
            <w:pPr>
              <w:spacing w:after="0" w:line="240" w:lineRule="auto"/>
            </w:pPr>
            <w:r/>
            <w:r>
              <w:rPr>
                <w:b w:val="0"/>
                <w:sz w:val="15"/>
              </w:rPr>
              <w:t>Quality / Snapshot / DashBoard</w:t>
            </w:r>
          </w:p>
        </w:tc>
        <w:tc>
          <w:tcPr>
            <w:tcW w:type="dxa" w:w="5270"/>
            <w:vAlign w:val="top"/>
          </w:tcPr>
          <w:p>
            <w:pPr>
              <w:spacing w:after="0" w:line="240" w:lineRule="auto"/>
            </w:pPr>
            <w:r/>
            <w:r>
              <w:rPr>
                <w:b w:val="0"/>
                <w:sz w:val="15"/>
              </w:rPr>
              <w:t>Review flags, snapshot and dashboard output.</w:t>
            </w:r>
          </w:p>
        </w:tc>
      </w:tr>
      <w:tr>
        <w:tc>
          <w:tcPr>
            <w:tcW w:type="dxa" w:w="5270"/>
            <w:vAlign w:val="top"/>
          </w:tcPr>
          <w:p>
            <w:pPr>
              <w:spacing w:after="0" w:line="240" w:lineRule="auto"/>
            </w:pPr>
            <w:r/>
            <w:r>
              <w:rPr>
                <w:b w:val="0"/>
                <w:sz w:val="15"/>
              </w:rPr>
              <w:t>Calibration</w:t>
            </w:r>
          </w:p>
        </w:tc>
        <w:tc>
          <w:tcPr>
            <w:tcW w:type="dxa" w:w="5270"/>
            <w:vAlign w:val="top"/>
          </w:tcPr>
          <w:p>
            <w:pPr>
              <w:spacing w:after="0" w:line="240" w:lineRule="auto"/>
            </w:pPr>
            <w:r/>
            <w:r>
              <w:rPr>
                <w:b w:val="0"/>
                <w:sz w:val="15"/>
              </w:rPr>
              <w:t>Real company testing and controlled refinement.</w:t>
            </w:r>
          </w:p>
        </w:tc>
      </w:tr>
    </w:tbl>
    <w:p/>
    <w:p>
      <w:pPr>
        <w:pStyle w:val="Heading1"/>
      </w:pPr>
      <w:r>
        <w:t>39. Locked Decisions</w:t>
      </w:r>
    </w:p>
    <w:p>
      <w:pPr>
        <w:pStyle w:val="ListNumber"/>
      </w:pPr>
      <w:r>
        <w:t>Official valuation engine is FCFF/WACC -&gt; Value of Operating Assets -&gt; Firm-to-Equity Bridge -&gt; Equity Value -&gt; Official Intrinsic Value per Share.</w:t>
      </w:r>
    </w:p>
    <w:p>
      <w:pPr>
        <w:pStyle w:val="ListNumber"/>
      </w:pPr>
      <w:r>
        <w:t>Damodaran Industrial Benchmark is the primary industry anchor and selected directly in the company sheet.</w:t>
      </w:r>
    </w:p>
    <w:p>
      <w:pPr>
        <w:pStyle w:val="ListNumber"/>
      </w:pPr>
      <w:r>
        <w:t>ISM-sector is derived display-only information and must not drive engines, review logic or valuation outputs.</w:t>
      </w:r>
    </w:p>
    <w:p>
      <w:pPr>
        <w:pStyle w:val="ListNumber"/>
      </w:pPr>
      <w:r>
        <w:t>Industry benchmark supports assumptions and review; it does not mechanically set company forecasts or intrinsic value.</w:t>
      </w:r>
    </w:p>
    <w:p>
      <w:pPr>
        <w:pStyle w:val="ListNumber"/>
      </w:pPr>
      <w:r>
        <w:t>Scenario, sensitivity and multiples are sanity/support only.</w:t>
      </w:r>
    </w:p>
    <w:p>
      <w:pPr>
        <w:pStyle w:val="ListNumber"/>
      </w:pPr>
      <w:r>
        <w:t>DashBoard is presentation/navigation only, not a valuation engine.</w:t>
      </w:r>
    </w:p>
    <w:p>
      <w:pPr>
        <w:pStyle w:val="ListNumber"/>
      </w:pPr>
      <w:r>
        <w:t>Manual inputs belong in manual input areas; engines calculate automatically.</w:t>
      </w:r>
    </w:p>
    <w:p>
      <w:pPr>
        <w:pStyle w:val="ListNumber"/>
      </w:pPr>
      <w:r>
        <w:t>FCFF = NOPAT - Reinvestment and terminal FCFF must include stable reinvestment.</w:t>
      </w:r>
    </w:p>
    <w:p>
      <w:pPr>
        <w:pStyle w:val="ListNumber"/>
      </w:pPr>
      <w:r>
        <w:t>Stable Growth must be below Stable WACC.</w:t>
      </w:r>
    </w:p>
    <w:p>
      <w:pPr>
        <w:pStyle w:val="ListNumber"/>
      </w:pPr>
      <w:r>
        <w:t>Stable Growth / Stable ROC logic cannot be used when stable ROC is &lt;= 0.</w:t>
      </w:r>
    </w:p>
    <w:p>
      <w:pPr>
        <w:pStyle w:val="ListNumber"/>
      </w:pPr>
      <w:r>
        <w:t>Current WACC, Stable WACC and WACC by forecast year must be kept separate.</w:t>
      </w:r>
    </w:p>
    <w:p>
      <w:pPr>
        <w:pStyle w:val="ListNumber"/>
      </w:pPr>
      <w:r>
        <w:t>Lease liabilities and debt-like claims must be treated consistently in WACC/bridge or flagged for review.</w:t>
      </w:r>
    </w:p>
    <w:p>
      <w:pPr>
        <w:pStyle w:val="ListNumber"/>
      </w:pPr>
      <w:r>
        <w:t>SBC is a dilution/risk/MOS/review signal in the base version and should not be added back to FCFF without offsetting treatment.</w:t>
      </w:r>
    </w:p>
    <w:p>
      <w:pPr>
        <w:pStyle w:val="ListNumber"/>
      </w:pPr>
      <w:r>
        <w:t>Build Specification remains separate from Master Specification.</w:t>
      </w:r>
    </w:p>
    <w:p>
      <w:pPr>
        <w:pStyle w:val="Heading1"/>
      </w:pPr>
      <w:r>
        <w:t>40. Change Log / Version Notes</w:t>
      </w:r>
    </w:p>
    <w:p>
      <w:r>
        <w:t>v1.5 is the clean working specification for the benchmark-first Operating Co Template. It preserves the FCFF/WACC valuation core and defines Damodaran Industrial Benchmark as the primary industry anchor, with benchmark-linked rules for data pulls, forecast/fade support, beta support, review logic, Snapshot and DashBoard presentation.</w:t>
      </w:r>
    </w:p>
    <w:p>
      <w:r>
        <w:t>This section records the current document identity and does not replace the full specification above.</w:t>
      </w:r>
    </w:p>
    <w:p>
      <w:pPr>
        <w:pStyle w:val="TableTitle"/>
      </w:pPr>
      <w:r>
        <w:rPr>
          <w:b/>
        </w:rPr>
        <w:t>Table - Version Notes</w:t>
      </w:r>
    </w:p>
    <w:tbl>
      <w:tblPr>
        <w:tblStyle w:val="TableGrid"/>
        <w:tblW w:type="auto" w:w="0"/>
        <w:jc w:val="center"/>
        <w:tblLayout w:type="autofit"/>
        <w:tblLook w:firstColumn="1" w:firstRow="1" w:lastColumn="0" w:lastRow="0" w:noHBand="0" w:noVBand="1" w:val="04A0"/>
      </w:tblPr>
      <w:tblGrid>
        <w:gridCol w:w="3513"/>
        <w:gridCol w:w="3513"/>
        <w:gridCol w:w="3513"/>
      </w:tblGrid>
      <w:tr>
        <w:tc>
          <w:tcPr>
            <w:tcW w:type="dxa" w:w="3513"/>
            <w:vAlign w:val="top"/>
            <w:shd w:fill="D9EAF7"/>
          </w:tcPr>
          <w:p>
            <w:pPr>
              <w:spacing w:after="0" w:line="240" w:lineRule="auto"/>
            </w:pPr>
            <w:r/>
            <w:r>
              <w:rPr>
                <w:b/>
                <w:sz w:val="16"/>
              </w:rPr>
              <w:t>Version</w:t>
            </w:r>
          </w:p>
        </w:tc>
        <w:tc>
          <w:tcPr>
            <w:tcW w:type="dxa" w:w="3513"/>
            <w:vAlign w:val="top"/>
            <w:shd w:fill="D9EAF7"/>
          </w:tcPr>
          <w:p>
            <w:pPr>
              <w:spacing w:after="0" w:line="240" w:lineRule="auto"/>
            </w:pPr>
            <w:r/>
            <w:r>
              <w:rPr>
                <w:b/>
                <w:sz w:val="16"/>
              </w:rPr>
              <w:t>Status</w:t>
            </w:r>
          </w:p>
        </w:tc>
        <w:tc>
          <w:tcPr>
            <w:tcW w:type="dxa" w:w="3513"/>
            <w:vAlign w:val="top"/>
            <w:shd w:fill="D9EAF7"/>
          </w:tcPr>
          <w:p>
            <w:pPr>
              <w:spacing w:after="0" w:line="240" w:lineRule="auto"/>
            </w:pPr>
            <w:r/>
            <w:r>
              <w:rPr>
                <w:b/>
                <w:sz w:val="16"/>
              </w:rPr>
              <w:t>Main focus</w:t>
            </w:r>
          </w:p>
        </w:tc>
      </w:tr>
      <w:tr>
        <w:tc>
          <w:tcPr>
            <w:tcW w:type="dxa" w:w="3513"/>
            <w:vAlign w:val="top"/>
          </w:tcPr>
          <w:p>
            <w:pPr>
              <w:spacing w:after="0" w:line="240" w:lineRule="auto"/>
            </w:pPr>
            <w:r/>
            <w:r>
              <w:rPr>
                <w:b w:val="0"/>
                <w:sz w:val="15"/>
              </w:rPr>
              <w:t>v1.5</w:t>
            </w:r>
          </w:p>
        </w:tc>
        <w:tc>
          <w:tcPr>
            <w:tcW w:type="dxa" w:w="3513"/>
            <w:vAlign w:val="top"/>
          </w:tcPr>
          <w:p>
            <w:pPr>
              <w:spacing w:after="0" w:line="240" w:lineRule="auto"/>
            </w:pPr>
            <w:r/>
            <w:r>
              <w:rPr>
                <w:b w:val="0"/>
                <w:sz w:val="15"/>
              </w:rPr>
              <w:t>Working Draft</w:t>
            </w:r>
          </w:p>
        </w:tc>
        <w:tc>
          <w:tcPr>
            <w:tcW w:type="dxa" w:w="3513"/>
            <w:vAlign w:val="top"/>
          </w:tcPr>
          <w:p>
            <w:pPr>
              <w:spacing w:after="0" w:line="240" w:lineRule="auto"/>
            </w:pPr>
            <w:r/>
            <w:r>
              <w:rPr>
                <w:b w:val="0"/>
                <w:sz w:val="15"/>
              </w:rPr>
              <w:t>Benchmark-first industry architecture, Industry Benchmark Config, ISM display-only map, Dashboard Industry column and expanded benchmark-linked rule tables.</w:t>
            </w:r>
          </w:p>
        </w:tc>
      </w:tr>
    </w:tbl>
    <w:p/>
    <w:p>
      <w:pPr>
        <w:pStyle w:val="Heading1"/>
      </w:pPr>
      <w:r>
        <w:t>41. Nästa steg efter v1.5</w:t>
      </w:r>
    </w:p>
    <w:p>
      <w:r>
        <w:t>After v1.5 review, a separate Build Specification should be updated so Apps Script can build the benchmark-first workbook cleanly. A separate Damodaran Data Source Pack should also be prepared to document the actual source tables, URLs, Excel files, required columns, import policy and numeric benchmark data needed for beta, margin, ROC/ROIC, sales-to-capital, working capital, tax, cost of capital and sanity multiples.</w:t>
      </w:r>
    </w:p>
    <w:sectPr w:rsidR="00FC693F" w:rsidRPr="0006063C" w:rsidSect="00034616">
      <w:foot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Operating Co Template - Master Specification v1.5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itle">
    <w:name w:val="TableTitle"/>
    <w:pPr>
      <w:spacing w:after="40"/>
    </w:pPr>
    <w:rPr>
      <w:rFonts w:ascii="Aptos" w:hAnsi="Aptos" w:eastAsia="Aptos"/>
      <w:i w:val="0"/>
      <w:sz w:val="18"/>
    </w:rPr>
  </w:style>
  <w:style w:type="paragraph" w:customStyle="1" w:styleId="TablePurpose">
    <w:name w:val="TablePurpose"/>
    <w:pPr>
      <w:spacing w:after="40"/>
    </w:pPr>
    <w:rPr>
      <w:rFonts w:ascii="Aptos" w:hAnsi="Aptos" w:eastAsia="Aptos"/>
      <w:i/>
      <w:sz w:val="16"/>
    </w:rPr>
  </w:style>
  <w:style w:type="paragraph" w:customStyle="1" w:styleId="SmallNote">
    <w:name w:val="SmallNote"/>
    <w:pPr>
      <w:spacing w:after="40"/>
    </w:pPr>
    <w:rPr>
      <w:rFonts w:ascii="Aptos" w:hAnsi="Aptos" w:eastAsia="Aptos"/>
      <w:i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