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e75b5"/>
          <w:sz w:val="32"/>
          <w:szCs w:val="32"/>
          <w:rtl w:val="0"/>
        </w:rPr>
        <w:t xml:space="preserve">SMBI – Informe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6"/>
        <w:gridCol w:w="5948"/>
        <w:tblGridChange w:id="0">
          <w:tblGrid>
            <w:gridCol w:w="2546"/>
            <w:gridCol w:w="5948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 informe: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Indica el nombre del informe del tipo añomesdia_Informe_SMBI, por ejemplo 20160918_Informe_SMBI.doc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 grupo: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11th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informe: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14-12-2016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próximo informe: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La siguiente fecha coincidirá con la finalización del hito 1, el 23 de diciembre de 2016.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Alumnos que presentan: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Samuel Andreo Vilaplana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Sergio Castro Sola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Fernando Gallud Mora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Alberto García Garabal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Juan Sánchez Marín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Pablo Villar Canales</w:t>
            </w:r>
          </w:p>
        </w:tc>
      </w:tr>
      <w:tr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Alumnos y tareas a desarrollar:</w:t>
            </w:r>
          </w:p>
        </w:tc>
      </w:tr>
      <w:tr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Samuel Andreo Vilaplana: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MasterDAO: Clase genérica propia para realizar consultas SQL sencillas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SupportResource: Clase genérica propia para extraer los parámetros pasados por URL en los métodos GET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Usuario: CRUD y consultas avanzadas.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Usuario avanzado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Recuperación de contraseña por email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Sergio Castro Sola: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htaccess: documentación sobre sintaxis y configuración de las URL’s.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Esqueleto API: documentación previa,  métodos genéricos para detectar el tipo de petición, llamar al service adecuado y desechar las  llamadas que no son válidas.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Códigos de error: cambiar el código de la respuesta para mandarlos al cliente.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Métodos genéricos de validación.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Fernando Gallud Mora: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Token de seguridad: Mecanismo de seguridad que garantiza que solo un usuario registrado y logueado podrá acceder a las URLs del sistema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Login: POST de Login y relación con el token de seguridad.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Estancias: CRUD y consultas avanzadas de estancias.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Métricas generales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Alberto García Garabal: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Productos: CRUD y parte de las consultas avanzadas.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Categorías: CRUD y consultas avanzadas.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Ticket: CRUD y consultas avanzadas.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Subida de imágenes al servidor.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Fichero de configuración para la conexión a la base de datos.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TPV: CRUD y consultas avanzadas.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Juan Sánchez Marín: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bookmarkStart w:colFirst="0" w:colLast="0" w:name="_so2sytvyjhvu" w:id="0"/>
            <w:bookmarkEnd w:id="0"/>
            <w:r w:rsidDel="00000000" w:rsidR="00000000" w:rsidRPr="00000000">
              <w:rPr>
                <w:i w:val="1"/>
                <w:color w:val="a6a6a6"/>
                <w:rtl w:val="0"/>
              </w:rPr>
              <w:t xml:space="preserve">Pulsera: CRUD y consultas avanzadas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bookmarkStart w:colFirst="0" w:colLast="0" w:name="_ht9njfu1wc55" w:id="1"/>
            <w:bookmarkEnd w:id="1"/>
            <w:r w:rsidDel="00000000" w:rsidR="00000000" w:rsidRPr="00000000">
              <w:rPr>
                <w:i w:val="1"/>
                <w:color w:val="a6a6a6"/>
                <w:rtl w:val="0"/>
              </w:rPr>
              <w:t xml:space="preserve">Usuarios: CRUD y consultas avanzadas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bookmarkStart w:colFirst="0" w:colLast="0" w:name="_p43fx7rbids6" w:id="2"/>
            <w:bookmarkEnd w:id="2"/>
            <w:r w:rsidDel="00000000" w:rsidR="00000000" w:rsidRPr="00000000">
              <w:rPr>
                <w:i w:val="1"/>
                <w:color w:val="a6a6a6"/>
                <w:rtl w:val="0"/>
              </w:rPr>
              <w:t xml:space="preserve">Rol: CRUD y consultas avanzadas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bookmarkStart w:colFirst="0" w:colLast="0" w:name="_6cwmcgkptbzp" w:id="3"/>
            <w:bookmarkEnd w:id="3"/>
            <w:r w:rsidDel="00000000" w:rsidR="00000000" w:rsidRPr="00000000">
              <w:rPr>
                <w:i w:val="1"/>
                <w:color w:val="a6a6a6"/>
                <w:rtl w:val="0"/>
              </w:rPr>
              <w:t xml:space="preserve">Modelo de base de datos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bookmarkStart w:colFirst="0" w:colLast="0" w:name="_5ik9zfa2x2k7" w:id="4"/>
            <w:bookmarkEnd w:id="4"/>
            <w:r w:rsidDel="00000000" w:rsidR="00000000" w:rsidRPr="00000000">
              <w:rPr>
                <w:i w:val="1"/>
                <w:color w:val="a6a6a6"/>
                <w:rtl w:val="0"/>
              </w:rPr>
              <w:t xml:space="preserve">Permisos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bookmarkStart w:colFirst="0" w:colLast="0" w:name="_gjdgxs" w:id="5"/>
            <w:bookmarkEnd w:id="5"/>
            <w:r w:rsidDel="00000000" w:rsidR="00000000" w:rsidRPr="00000000">
              <w:rPr>
                <w:i w:val="1"/>
                <w:color w:val="a6a6a6"/>
                <w:rtl w:val="0"/>
              </w:rPr>
              <w:t xml:space="preserve">Despliegue del servidor.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Pablo Villar Canales: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Permisos: CRUD y consultas avanzadas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Promociones: CRUD y gestión de contenidos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Cliente completo de promociones y llamadas avanzadas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contextualSpacing w:val="1"/>
              <w:rPr>
                <w:i w:val="1"/>
                <w:color w:val="a6a6a6"/>
                <w:u w:val="none"/>
              </w:rPr>
            </w:pPr>
            <w:r w:rsidDel="00000000" w:rsidR="00000000" w:rsidRPr="00000000">
              <w:rPr>
                <w:i w:val="1"/>
                <w:color w:val="a6a6a6"/>
                <w:rtl w:val="0"/>
              </w:rPr>
              <w:t xml:space="preserve">Instalación y configuración de Nagios para la monitorización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